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En cumplimiento a lo establecido en los artículos 7, 44, 45, 46,47, 49, 52, 53 Y 54 de la Ley de Contabilidad Gubernamental y  al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B06DDA">
        <w:rPr>
          <w:rFonts w:ascii="Arial" w:hAnsi="Arial" w:cs="Arial"/>
          <w:sz w:val="18"/>
          <w:szCs w:val="18"/>
        </w:rPr>
        <w:t>6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fuete 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Asimismo podrá hacer denuncias y quejas de hechos vinculatorios de los derechos humanos ante las autoridades respectivas.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Dentro de los resultados obtenidos del 01 de Enero al 3</w:t>
      </w:r>
      <w:r w:rsidR="008206B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8206B2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3213E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podemos destacar que se ejerció el </w:t>
      </w:r>
      <w:bookmarkStart w:id="0" w:name="_GoBack"/>
      <w:bookmarkEnd w:id="0"/>
      <w:r w:rsidR="00F74A85">
        <w:rPr>
          <w:rFonts w:ascii="Arial" w:hAnsi="Arial" w:cs="Arial"/>
          <w:sz w:val="18"/>
          <w:szCs w:val="18"/>
        </w:rPr>
        <w:t>9</w:t>
      </w:r>
      <w:r w:rsidR="00296F17">
        <w:rPr>
          <w:rFonts w:ascii="Arial" w:hAnsi="Arial" w:cs="Arial"/>
          <w:sz w:val="18"/>
          <w:szCs w:val="18"/>
        </w:rPr>
        <w:t>9.99</w:t>
      </w:r>
      <w:r>
        <w:rPr>
          <w:rFonts w:ascii="Arial" w:hAnsi="Arial" w:cs="Arial"/>
          <w:sz w:val="18"/>
          <w:szCs w:val="18"/>
        </w:rPr>
        <w:t xml:space="preserve">% del total de ingresos recaudados, el gasto más representativo es en el rubro de servicios personales, gasto razonable en función a las actividades que desempeña la </w:t>
      </w:r>
      <w:proofErr w:type="spellStart"/>
      <w:r>
        <w:rPr>
          <w:rFonts w:ascii="Arial" w:hAnsi="Arial" w:cs="Arial"/>
          <w:sz w:val="18"/>
          <w:szCs w:val="18"/>
        </w:rPr>
        <w:t>Cedht</w:t>
      </w:r>
      <w:proofErr w:type="spellEnd"/>
      <w:r>
        <w:rPr>
          <w:rFonts w:ascii="Arial" w:hAnsi="Arial" w:cs="Arial"/>
          <w:sz w:val="18"/>
          <w:szCs w:val="18"/>
        </w:rPr>
        <w:t>. Se cumplió en cada una de las metas del Programa Operativo Anual más del 9</w:t>
      </w:r>
      <w:r w:rsidR="00296F17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% de lo programado. Las adquisiciones de este ejercicio ascienden a un total de $</w:t>
      </w:r>
      <w:r w:rsidR="003213E4">
        <w:rPr>
          <w:rFonts w:ascii="Arial" w:hAnsi="Arial" w:cs="Arial"/>
          <w:sz w:val="18"/>
          <w:szCs w:val="18"/>
        </w:rPr>
        <w:t xml:space="preserve"> 39,526.00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2016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A5" w:rsidRDefault="00496AA5" w:rsidP="00EA5418">
      <w:pPr>
        <w:spacing w:after="0" w:line="240" w:lineRule="auto"/>
      </w:pPr>
      <w:r>
        <w:separator/>
      </w:r>
    </w:p>
  </w:endnote>
  <w:endnote w:type="continuationSeparator" w:id="0">
    <w:p w:rsidR="00496AA5" w:rsidRDefault="00496A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40F6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6F17" w:rsidRPr="00296F1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40F6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6F17" w:rsidRPr="00296F1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A5" w:rsidRDefault="00496AA5" w:rsidP="00EA5418">
      <w:pPr>
        <w:spacing w:after="0" w:line="240" w:lineRule="auto"/>
      </w:pPr>
      <w:r>
        <w:separator/>
      </w:r>
    </w:p>
  </w:footnote>
  <w:footnote w:type="continuationSeparator" w:id="0">
    <w:p w:rsidR="00496AA5" w:rsidRDefault="00496A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40F62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213E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40F6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40F6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5104"/>
    <w:rsid w:val="00056042"/>
    <w:rsid w:val="000E03DD"/>
    <w:rsid w:val="0013011C"/>
    <w:rsid w:val="001646D9"/>
    <w:rsid w:val="001A5CCE"/>
    <w:rsid w:val="001B1B72"/>
    <w:rsid w:val="0026308F"/>
    <w:rsid w:val="0028640E"/>
    <w:rsid w:val="002865A7"/>
    <w:rsid w:val="00296F17"/>
    <w:rsid w:val="002A70B3"/>
    <w:rsid w:val="002E5897"/>
    <w:rsid w:val="00307635"/>
    <w:rsid w:val="003213E4"/>
    <w:rsid w:val="00355821"/>
    <w:rsid w:val="003575A4"/>
    <w:rsid w:val="003610E0"/>
    <w:rsid w:val="00372F40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197F"/>
    <w:rsid w:val="006048D2"/>
    <w:rsid w:val="00611E39"/>
    <w:rsid w:val="006B729B"/>
    <w:rsid w:val="006E6B8E"/>
    <w:rsid w:val="006E77DD"/>
    <w:rsid w:val="0072196D"/>
    <w:rsid w:val="0079582C"/>
    <w:rsid w:val="007D6E9A"/>
    <w:rsid w:val="008206B2"/>
    <w:rsid w:val="00823B7E"/>
    <w:rsid w:val="00840F62"/>
    <w:rsid w:val="00850E90"/>
    <w:rsid w:val="008650FE"/>
    <w:rsid w:val="008A6E4D"/>
    <w:rsid w:val="008B0017"/>
    <w:rsid w:val="008D4272"/>
    <w:rsid w:val="008E3652"/>
    <w:rsid w:val="00931417"/>
    <w:rsid w:val="00946C7D"/>
    <w:rsid w:val="00987DB5"/>
    <w:rsid w:val="009B712E"/>
    <w:rsid w:val="00A14B74"/>
    <w:rsid w:val="00A2120B"/>
    <w:rsid w:val="00AB13B7"/>
    <w:rsid w:val="00AE4F14"/>
    <w:rsid w:val="00B06DDA"/>
    <w:rsid w:val="00B17423"/>
    <w:rsid w:val="00B22B88"/>
    <w:rsid w:val="00B26810"/>
    <w:rsid w:val="00B42A02"/>
    <w:rsid w:val="00B82230"/>
    <w:rsid w:val="00B849EE"/>
    <w:rsid w:val="00BC2010"/>
    <w:rsid w:val="00C44F01"/>
    <w:rsid w:val="00CA2D37"/>
    <w:rsid w:val="00CC5CB6"/>
    <w:rsid w:val="00CD34AB"/>
    <w:rsid w:val="00D055EC"/>
    <w:rsid w:val="00D404ED"/>
    <w:rsid w:val="00D51261"/>
    <w:rsid w:val="00D656BB"/>
    <w:rsid w:val="00D748D3"/>
    <w:rsid w:val="00D91114"/>
    <w:rsid w:val="00DB0827"/>
    <w:rsid w:val="00DB563E"/>
    <w:rsid w:val="00DD230F"/>
    <w:rsid w:val="00E32708"/>
    <w:rsid w:val="00EA5418"/>
    <w:rsid w:val="00F74A85"/>
    <w:rsid w:val="00F96944"/>
    <w:rsid w:val="00FD6F63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6954-407C-4A31-840D-3BAB4203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28</cp:revision>
  <cp:lastPrinted>2016-04-27T14:54:00Z</cp:lastPrinted>
  <dcterms:created xsi:type="dcterms:W3CDTF">2014-09-01T14:30:00Z</dcterms:created>
  <dcterms:modified xsi:type="dcterms:W3CDTF">2017-01-13T23:42:00Z</dcterms:modified>
</cp:coreProperties>
</file>