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78E" w:rsidRPr="00710A06" w:rsidRDefault="0037578E" w:rsidP="0037578E">
      <w:pPr>
        <w:spacing w:line="360" w:lineRule="auto"/>
        <w:jc w:val="center"/>
        <w:rPr>
          <w:rFonts w:ascii="Arial" w:hAnsi="Arial" w:cs="Arial"/>
          <w:b/>
        </w:rPr>
      </w:pPr>
      <w:r w:rsidRPr="00710A06">
        <w:rPr>
          <w:rFonts w:ascii="Arial" w:hAnsi="Arial" w:cs="Arial"/>
          <w:b/>
        </w:rPr>
        <w:t>CRITERIOS DE POLÍTICA ECONÓMICA DEL ESTADO DE TLAXCALA</w:t>
      </w:r>
    </w:p>
    <w:p w:rsidR="0037578E" w:rsidRPr="00710A06" w:rsidRDefault="0037578E" w:rsidP="0037578E">
      <w:pPr>
        <w:spacing w:line="360" w:lineRule="auto"/>
        <w:jc w:val="center"/>
        <w:rPr>
          <w:rFonts w:ascii="Arial" w:hAnsi="Arial" w:cs="Arial"/>
          <w:b/>
        </w:rPr>
      </w:pPr>
    </w:p>
    <w:p w:rsidR="0037578E" w:rsidRPr="00710A06" w:rsidRDefault="0037578E" w:rsidP="00F36D7A">
      <w:pPr>
        <w:pStyle w:val="Prrafodelista"/>
        <w:numPr>
          <w:ilvl w:val="0"/>
          <w:numId w:val="14"/>
        </w:numPr>
        <w:spacing w:line="360" w:lineRule="auto"/>
        <w:ind w:left="709" w:hanging="709"/>
        <w:contextualSpacing/>
        <w:jc w:val="both"/>
        <w:rPr>
          <w:rFonts w:ascii="Arial" w:hAnsi="Arial" w:cs="Arial"/>
          <w:b/>
        </w:rPr>
      </w:pPr>
      <w:r w:rsidRPr="00710A06">
        <w:rPr>
          <w:rFonts w:ascii="Arial" w:hAnsi="Arial" w:cs="Arial"/>
          <w:b/>
        </w:rPr>
        <w:t>INTRODUCCIÓN</w:t>
      </w:r>
    </w:p>
    <w:p w:rsidR="0037578E" w:rsidRDefault="0037578E" w:rsidP="0037578E">
      <w:pPr>
        <w:spacing w:line="360" w:lineRule="auto"/>
        <w:jc w:val="both"/>
        <w:rPr>
          <w:rFonts w:ascii="Arial" w:hAnsi="Arial" w:cs="Arial"/>
          <w:bCs/>
        </w:rPr>
      </w:pPr>
    </w:p>
    <w:p w:rsidR="0037578E" w:rsidRDefault="0037578E" w:rsidP="0037578E">
      <w:pPr>
        <w:pStyle w:val="PRIMERAPLANA"/>
        <w:spacing w:line="360" w:lineRule="auto"/>
        <w:rPr>
          <w:rFonts w:cs="Arial"/>
          <w:bCs/>
          <w:sz w:val="24"/>
          <w:szCs w:val="24"/>
          <w:lang w:val="es-ES"/>
        </w:rPr>
      </w:pPr>
      <w:r w:rsidRPr="00D153A7">
        <w:rPr>
          <w:rFonts w:cs="Arial"/>
          <w:bCs/>
          <w:sz w:val="24"/>
          <w:szCs w:val="24"/>
          <w:lang w:val="es-ES"/>
        </w:rPr>
        <w:t xml:space="preserve">Para </w:t>
      </w:r>
      <w:r>
        <w:rPr>
          <w:rFonts w:cs="Arial"/>
          <w:bCs/>
          <w:sz w:val="24"/>
          <w:szCs w:val="24"/>
          <w:lang w:val="es-ES"/>
        </w:rPr>
        <w:t xml:space="preserve">la </w:t>
      </w:r>
      <w:r w:rsidRPr="00D153A7">
        <w:rPr>
          <w:rFonts w:cs="Arial"/>
          <w:bCs/>
          <w:sz w:val="24"/>
          <w:szCs w:val="24"/>
          <w:lang w:val="es-ES"/>
        </w:rPr>
        <w:t>implementa</w:t>
      </w:r>
      <w:r>
        <w:rPr>
          <w:rFonts w:cs="Arial"/>
          <w:bCs/>
          <w:sz w:val="24"/>
          <w:szCs w:val="24"/>
          <w:lang w:val="es-ES"/>
        </w:rPr>
        <w:t>ción</w:t>
      </w:r>
      <w:r w:rsidRPr="00D153A7">
        <w:rPr>
          <w:rFonts w:cs="Arial"/>
          <w:bCs/>
          <w:sz w:val="24"/>
          <w:szCs w:val="24"/>
          <w:lang w:val="es-ES"/>
        </w:rPr>
        <w:t xml:space="preserve"> y </w:t>
      </w:r>
      <w:r>
        <w:rPr>
          <w:rFonts w:cs="Arial"/>
          <w:bCs/>
          <w:sz w:val="24"/>
          <w:szCs w:val="24"/>
          <w:lang w:val="es-ES"/>
        </w:rPr>
        <w:t xml:space="preserve">debida </w:t>
      </w:r>
      <w:r w:rsidRPr="00D153A7">
        <w:rPr>
          <w:rFonts w:cs="Arial"/>
          <w:bCs/>
          <w:sz w:val="24"/>
          <w:szCs w:val="24"/>
          <w:lang w:val="es-ES"/>
        </w:rPr>
        <w:t>continu</w:t>
      </w:r>
      <w:r>
        <w:rPr>
          <w:rFonts w:cs="Arial"/>
          <w:bCs/>
          <w:sz w:val="24"/>
          <w:szCs w:val="24"/>
          <w:lang w:val="es-ES"/>
        </w:rPr>
        <w:t>idad</w:t>
      </w:r>
      <w:r w:rsidRPr="00D153A7">
        <w:rPr>
          <w:rFonts w:cs="Arial"/>
          <w:bCs/>
          <w:sz w:val="24"/>
          <w:szCs w:val="24"/>
          <w:lang w:val="es-ES"/>
        </w:rPr>
        <w:t xml:space="preserve"> </w:t>
      </w:r>
      <w:r>
        <w:rPr>
          <w:rFonts w:cs="Arial"/>
          <w:bCs/>
          <w:sz w:val="24"/>
          <w:szCs w:val="24"/>
          <w:lang w:val="es-ES"/>
        </w:rPr>
        <w:t>del</w:t>
      </w:r>
      <w:r w:rsidRPr="00D153A7">
        <w:rPr>
          <w:rFonts w:cs="Arial"/>
          <w:bCs/>
          <w:sz w:val="24"/>
          <w:szCs w:val="24"/>
          <w:lang w:val="es-ES"/>
        </w:rPr>
        <w:t xml:space="preserve"> financiamiento</w:t>
      </w:r>
      <w:r>
        <w:rPr>
          <w:rFonts w:cs="Arial"/>
          <w:bCs/>
          <w:sz w:val="24"/>
          <w:szCs w:val="24"/>
          <w:lang w:val="es-ES"/>
        </w:rPr>
        <w:t xml:space="preserve"> y mejora</w:t>
      </w:r>
      <w:r w:rsidRPr="00D153A7">
        <w:rPr>
          <w:rFonts w:cs="Arial"/>
          <w:bCs/>
          <w:sz w:val="24"/>
          <w:szCs w:val="24"/>
          <w:lang w:val="es-ES"/>
        </w:rPr>
        <w:t xml:space="preserve"> de</w:t>
      </w:r>
      <w:r>
        <w:rPr>
          <w:rFonts w:cs="Arial"/>
          <w:bCs/>
          <w:sz w:val="24"/>
          <w:szCs w:val="24"/>
          <w:lang w:val="es-ES"/>
        </w:rPr>
        <w:t xml:space="preserve"> los</w:t>
      </w:r>
      <w:r w:rsidRPr="00D153A7">
        <w:rPr>
          <w:rFonts w:cs="Arial"/>
          <w:bCs/>
          <w:sz w:val="24"/>
          <w:szCs w:val="24"/>
          <w:lang w:val="es-ES"/>
        </w:rPr>
        <w:t xml:space="preserve"> programas </w:t>
      </w:r>
      <w:r>
        <w:rPr>
          <w:rFonts w:cs="Arial"/>
          <w:bCs/>
          <w:sz w:val="24"/>
          <w:szCs w:val="24"/>
          <w:lang w:val="es-ES"/>
        </w:rPr>
        <w:t>de carácter social</w:t>
      </w:r>
      <w:r w:rsidRPr="00D153A7">
        <w:rPr>
          <w:rFonts w:cs="Arial"/>
          <w:bCs/>
          <w:sz w:val="24"/>
          <w:szCs w:val="24"/>
          <w:lang w:val="es-ES"/>
        </w:rPr>
        <w:t xml:space="preserve">, </w:t>
      </w:r>
      <w:r>
        <w:rPr>
          <w:rFonts w:cs="Arial"/>
          <w:bCs/>
          <w:sz w:val="24"/>
          <w:szCs w:val="24"/>
          <w:lang w:val="es-ES"/>
        </w:rPr>
        <w:t>en</w:t>
      </w:r>
      <w:r w:rsidRPr="00D153A7">
        <w:rPr>
          <w:rFonts w:cs="Arial"/>
          <w:bCs/>
          <w:sz w:val="24"/>
          <w:szCs w:val="24"/>
          <w:lang w:val="es-ES"/>
        </w:rPr>
        <w:t xml:space="preserve"> educación y salud,</w:t>
      </w:r>
      <w:r>
        <w:rPr>
          <w:rFonts w:cs="Arial"/>
          <w:bCs/>
          <w:sz w:val="24"/>
          <w:szCs w:val="24"/>
          <w:lang w:val="es-ES"/>
        </w:rPr>
        <w:t xml:space="preserve"> así como</w:t>
      </w:r>
      <w:r w:rsidRPr="00D153A7">
        <w:rPr>
          <w:rFonts w:cs="Arial"/>
          <w:bCs/>
          <w:sz w:val="24"/>
          <w:szCs w:val="24"/>
          <w:lang w:val="es-ES"/>
        </w:rPr>
        <w:t xml:space="preserve"> eficient</w:t>
      </w:r>
      <w:r>
        <w:rPr>
          <w:rFonts w:cs="Arial"/>
          <w:bCs/>
          <w:sz w:val="24"/>
          <w:szCs w:val="24"/>
          <w:lang w:val="es-ES"/>
        </w:rPr>
        <w:t>ar</w:t>
      </w:r>
      <w:r w:rsidRPr="00D153A7">
        <w:rPr>
          <w:rFonts w:cs="Arial"/>
          <w:bCs/>
          <w:sz w:val="24"/>
          <w:szCs w:val="24"/>
          <w:lang w:val="es-ES"/>
        </w:rPr>
        <w:t xml:space="preserve"> la seguridad pública y </w:t>
      </w:r>
      <w:r>
        <w:rPr>
          <w:rFonts w:cs="Arial"/>
          <w:bCs/>
          <w:sz w:val="24"/>
          <w:szCs w:val="24"/>
          <w:lang w:val="es-ES"/>
        </w:rPr>
        <w:t xml:space="preserve">la </w:t>
      </w:r>
      <w:r w:rsidRPr="00D153A7">
        <w:rPr>
          <w:rFonts w:cs="Arial"/>
          <w:bCs/>
          <w:sz w:val="24"/>
          <w:szCs w:val="24"/>
          <w:lang w:val="es-ES"/>
        </w:rPr>
        <w:t xml:space="preserve"> procuración de justicia, </w:t>
      </w:r>
      <w:r>
        <w:rPr>
          <w:rFonts w:cs="Arial"/>
          <w:bCs/>
          <w:sz w:val="24"/>
          <w:szCs w:val="24"/>
          <w:lang w:val="es-ES"/>
        </w:rPr>
        <w:t>y con el objetivo de generar</w:t>
      </w:r>
      <w:r w:rsidRPr="00D153A7">
        <w:rPr>
          <w:rFonts w:cs="Arial"/>
          <w:bCs/>
          <w:sz w:val="24"/>
          <w:szCs w:val="24"/>
          <w:lang w:val="es-ES"/>
        </w:rPr>
        <w:t xml:space="preserve"> las condiciones que permitan impulsar el desarrollo económico</w:t>
      </w:r>
      <w:r>
        <w:rPr>
          <w:rFonts w:cs="Arial"/>
          <w:bCs/>
          <w:sz w:val="24"/>
          <w:szCs w:val="24"/>
          <w:lang w:val="es-ES"/>
        </w:rPr>
        <w:t xml:space="preserve"> y</w:t>
      </w:r>
      <w:r w:rsidRPr="00D153A7">
        <w:rPr>
          <w:rFonts w:cs="Arial"/>
          <w:bCs/>
          <w:sz w:val="24"/>
          <w:szCs w:val="24"/>
          <w:lang w:val="es-ES"/>
        </w:rPr>
        <w:t xml:space="preserve"> social </w:t>
      </w:r>
      <w:r>
        <w:rPr>
          <w:rFonts w:cs="Arial"/>
          <w:bCs/>
          <w:sz w:val="24"/>
          <w:szCs w:val="24"/>
          <w:lang w:val="es-ES"/>
        </w:rPr>
        <w:t xml:space="preserve">para </w:t>
      </w:r>
      <w:r w:rsidRPr="00D153A7">
        <w:rPr>
          <w:rFonts w:cs="Arial"/>
          <w:bCs/>
          <w:sz w:val="24"/>
          <w:szCs w:val="24"/>
          <w:lang w:val="es-ES"/>
        </w:rPr>
        <w:t xml:space="preserve">mejorar la calidad de vida de los </w:t>
      </w:r>
      <w:r>
        <w:rPr>
          <w:rFonts w:cs="Arial"/>
          <w:bCs/>
          <w:sz w:val="24"/>
          <w:szCs w:val="24"/>
          <w:lang w:val="es-ES"/>
        </w:rPr>
        <w:t>tlaxcaltecas</w:t>
      </w:r>
      <w:r w:rsidRPr="00D153A7">
        <w:rPr>
          <w:rFonts w:cs="Arial"/>
          <w:bCs/>
          <w:sz w:val="24"/>
          <w:szCs w:val="24"/>
          <w:lang w:val="es-ES"/>
        </w:rPr>
        <w:t xml:space="preserve">, el Gobierno </w:t>
      </w:r>
      <w:r>
        <w:rPr>
          <w:rFonts w:cs="Arial"/>
          <w:bCs/>
          <w:sz w:val="24"/>
          <w:szCs w:val="24"/>
          <w:lang w:val="es-ES"/>
        </w:rPr>
        <w:t>del Estado necesita</w:t>
      </w:r>
      <w:r w:rsidRPr="00D153A7">
        <w:rPr>
          <w:rFonts w:cs="Arial"/>
          <w:bCs/>
          <w:sz w:val="24"/>
          <w:szCs w:val="24"/>
          <w:lang w:val="es-ES"/>
        </w:rPr>
        <w:t xml:space="preserve"> contar con recursos suficientes</w:t>
      </w:r>
      <w:r>
        <w:rPr>
          <w:rFonts w:cs="Arial"/>
          <w:bCs/>
          <w:sz w:val="24"/>
          <w:szCs w:val="24"/>
          <w:lang w:val="es-ES"/>
        </w:rPr>
        <w:t>,</w:t>
      </w:r>
      <w:r w:rsidRPr="00D153A7">
        <w:rPr>
          <w:rFonts w:cs="Arial"/>
          <w:bCs/>
          <w:sz w:val="24"/>
          <w:szCs w:val="24"/>
          <w:lang w:val="es-ES"/>
        </w:rPr>
        <w:t xml:space="preserve"> </w:t>
      </w:r>
      <w:r>
        <w:rPr>
          <w:rFonts w:cs="Arial"/>
          <w:bCs/>
          <w:sz w:val="24"/>
          <w:szCs w:val="24"/>
          <w:lang w:val="es-ES"/>
        </w:rPr>
        <w:t xml:space="preserve">manteniendo finanzas públicas sanas, </w:t>
      </w:r>
      <w:r w:rsidRPr="00D153A7">
        <w:rPr>
          <w:rFonts w:cs="Arial"/>
          <w:bCs/>
          <w:sz w:val="24"/>
          <w:szCs w:val="24"/>
          <w:lang w:val="es-ES"/>
        </w:rPr>
        <w:t>para lograr la consecución de las metas</w:t>
      </w:r>
      <w:r>
        <w:rPr>
          <w:rFonts w:cs="Arial"/>
          <w:bCs/>
          <w:sz w:val="24"/>
          <w:szCs w:val="24"/>
          <w:lang w:val="es-ES"/>
        </w:rPr>
        <w:t xml:space="preserve"> planteadas</w:t>
      </w:r>
      <w:r w:rsidDel="002D3125">
        <w:rPr>
          <w:rFonts w:cs="Arial"/>
          <w:bCs/>
          <w:sz w:val="24"/>
          <w:szCs w:val="24"/>
          <w:lang w:val="es-ES"/>
        </w:rPr>
        <w:t xml:space="preserve"> </w:t>
      </w:r>
      <w:r>
        <w:rPr>
          <w:rFonts w:cs="Arial"/>
          <w:bCs/>
          <w:sz w:val="24"/>
          <w:szCs w:val="24"/>
          <w:lang w:val="es-ES"/>
        </w:rPr>
        <w:t xml:space="preserve">de conformidad con </w:t>
      </w:r>
      <w:r w:rsidRPr="00D153A7">
        <w:rPr>
          <w:rFonts w:cs="Arial"/>
          <w:bCs/>
          <w:sz w:val="24"/>
          <w:szCs w:val="24"/>
          <w:lang w:val="es-ES"/>
        </w:rPr>
        <w:t xml:space="preserve">el Plan </w:t>
      </w:r>
      <w:r>
        <w:rPr>
          <w:rFonts w:cs="Arial"/>
          <w:bCs/>
          <w:sz w:val="24"/>
          <w:szCs w:val="24"/>
          <w:lang w:val="es-ES"/>
        </w:rPr>
        <w:t xml:space="preserve">Estatal de Desarrollo </w:t>
      </w:r>
      <w:r w:rsidRPr="00D153A7">
        <w:rPr>
          <w:rFonts w:cs="Arial"/>
          <w:bCs/>
          <w:sz w:val="24"/>
          <w:szCs w:val="24"/>
          <w:lang w:val="es-ES"/>
        </w:rPr>
        <w:t>201</w:t>
      </w:r>
      <w:r>
        <w:rPr>
          <w:rFonts w:cs="Arial"/>
          <w:bCs/>
          <w:sz w:val="24"/>
          <w:szCs w:val="24"/>
          <w:lang w:val="es-ES"/>
        </w:rPr>
        <w:t>7</w:t>
      </w:r>
      <w:r w:rsidRPr="00D153A7">
        <w:rPr>
          <w:rFonts w:cs="Arial"/>
          <w:bCs/>
          <w:sz w:val="24"/>
          <w:szCs w:val="24"/>
          <w:lang w:val="es-ES"/>
        </w:rPr>
        <w:t>-20</w:t>
      </w:r>
      <w:r>
        <w:rPr>
          <w:rFonts w:cs="Arial"/>
          <w:bCs/>
          <w:sz w:val="24"/>
          <w:szCs w:val="24"/>
          <w:lang w:val="es-ES"/>
        </w:rPr>
        <w:t>21.</w:t>
      </w:r>
      <w:r w:rsidRPr="00D153A7">
        <w:rPr>
          <w:rFonts w:cs="Arial"/>
          <w:bCs/>
          <w:sz w:val="24"/>
          <w:szCs w:val="24"/>
          <w:lang w:val="es-ES"/>
        </w:rPr>
        <w:t xml:space="preserve"> </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Pr>
          <w:rFonts w:cs="Arial"/>
          <w:bCs/>
          <w:sz w:val="24"/>
          <w:szCs w:val="24"/>
          <w:lang w:val="es-ES"/>
        </w:rPr>
        <w:t>Uno de los</w:t>
      </w:r>
      <w:r w:rsidRPr="00D153A7">
        <w:rPr>
          <w:rFonts w:cs="Arial"/>
          <w:bCs/>
          <w:sz w:val="24"/>
          <w:szCs w:val="24"/>
          <w:lang w:val="es-ES"/>
        </w:rPr>
        <w:t xml:space="preserve"> compromiso</w:t>
      </w:r>
      <w:r>
        <w:rPr>
          <w:rFonts w:cs="Arial"/>
          <w:bCs/>
          <w:sz w:val="24"/>
          <w:szCs w:val="24"/>
          <w:lang w:val="es-ES"/>
        </w:rPr>
        <w:t>s</w:t>
      </w:r>
      <w:r w:rsidRPr="00D153A7">
        <w:rPr>
          <w:rFonts w:cs="Arial"/>
          <w:bCs/>
          <w:sz w:val="24"/>
          <w:szCs w:val="24"/>
          <w:lang w:val="es-ES"/>
        </w:rPr>
        <w:t xml:space="preserve"> de </w:t>
      </w:r>
      <w:r>
        <w:rPr>
          <w:rFonts w:cs="Arial"/>
          <w:bCs/>
          <w:sz w:val="24"/>
          <w:szCs w:val="24"/>
          <w:lang w:val="es-ES"/>
        </w:rPr>
        <w:t>esta Administración</w:t>
      </w:r>
      <w:r w:rsidRPr="00D153A7">
        <w:rPr>
          <w:rFonts w:cs="Arial"/>
          <w:bCs/>
          <w:sz w:val="24"/>
          <w:szCs w:val="24"/>
          <w:lang w:val="es-ES"/>
        </w:rPr>
        <w:t xml:space="preserve"> e</w:t>
      </w:r>
      <w:r>
        <w:rPr>
          <w:rFonts w:cs="Arial"/>
          <w:bCs/>
          <w:sz w:val="24"/>
          <w:szCs w:val="24"/>
          <w:lang w:val="es-ES"/>
        </w:rPr>
        <w:t>s</w:t>
      </w:r>
      <w:r w:rsidRPr="00D153A7">
        <w:rPr>
          <w:rFonts w:cs="Arial"/>
          <w:bCs/>
          <w:sz w:val="24"/>
          <w:szCs w:val="24"/>
          <w:lang w:val="es-ES"/>
        </w:rPr>
        <w:t xml:space="preserve"> eficientar la recaudación y las acciones de fiscalización, que coadyuven a </w:t>
      </w:r>
      <w:r>
        <w:rPr>
          <w:rFonts w:cs="Arial"/>
          <w:bCs/>
          <w:sz w:val="24"/>
          <w:szCs w:val="24"/>
          <w:lang w:val="es-ES"/>
        </w:rPr>
        <w:t>incrementar los</w:t>
      </w:r>
      <w:r w:rsidRPr="00D153A7">
        <w:rPr>
          <w:rFonts w:cs="Arial"/>
          <w:bCs/>
          <w:sz w:val="24"/>
          <w:szCs w:val="24"/>
          <w:lang w:val="es-ES"/>
        </w:rPr>
        <w:t xml:space="preserve"> ingresos propios</w:t>
      </w:r>
      <w:r>
        <w:rPr>
          <w:rFonts w:cs="Arial"/>
          <w:bCs/>
          <w:sz w:val="24"/>
          <w:szCs w:val="24"/>
          <w:lang w:val="es-ES"/>
        </w:rPr>
        <w:t xml:space="preserve"> del Estado</w:t>
      </w:r>
      <w:r w:rsidRPr="00D153A7">
        <w:rPr>
          <w:rFonts w:cs="Arial"/>
          <w:bCs/>
          <w:sz w:val="24"/>
          <w:szCs w:val="24"/>
          <w:lang w:val="es-ES"/>
        </w:rPr>
        <w:t xml:space="preserve">, </w:t>
      </w:r>
      <w:r>
        <w:rPr>
          <w:rFonts w:cs="Arial"/>
          <w:bCs/>
          <w:sz w:val="24"/>
          <w:szCs w:val="24"/>
          <w:lang w:val="es-ES"/>
        </w:rPr>
        <w:t>que permitan complementar</w:t>
      </w:r>
      <w:r w:rsidRPr="00D153A7">
        <w:rPr>
          <w:rFonts w:cs="Arial"/>
          <w:bCs/>
          <w:sz w:val="24"/>
          <w:szCs w:val="24"/>
          <w:lang w:val="es-ES"/>
        </w:rPr>
        <w:t xml:space="preserve"> l</w:t>
      </w:r>
      <w:r>
        <w:rPr>
          <w:rFonts w:cs="Arial"/>
          <w:bCs/>
          <w:sz w:val="24"/>
          <w:szCs w:val="24"/>
          <w:lang w:val="es-ES"/>
        </w:rPr>
        <w:t>os</w:t>
      </w:r>
      <w:r w:rsidRPr="00D153A7">
        <w:rPr>
          <w:rFonts w:cs="Arial"/>
          <w:bCs/>
          <w:sz w:val="24"/>
          <w:szCs w:val="24"/>
          <w:lang w:val="es-ES"/>
        </w:rPr>
        <w:t xml:space="preserve"> ingreso</w:t>
      </w:r>
      <w:r>
        <w:rPr>
          <w:rFonts w:cs="Arial"/>
          <w:bCs/>
          <w:sz w:val="24"/>
          <w:szCs w:val="24"/>
          <w:lang w:val="es-ES"/>
        </w:rPr>
        <w:t>s</w:t>
      </w:r>
      <w:r w:rsidRPr="00D153A7">
        <w:rPr>
          <w:rFonts w:cs="Arial"/>
          <w:bCs/>
          <w:sz w:val="24"/>
          <w:szCs w:val="24"/>
          <w:lang w:val="es-ES"/>
        </w:rPr>
        <w:t xml:space="preserve"> por concepto de </w:t>
      </w:r>
      <w:r>
        <w:rPr>
          <w:rFonts w:cs="Arial"/>
          <w:bCs/>
          <w:sz w:val="24"/>
          <w:szCs w:val="24"/>
          <w:lang w:val="es-ES"/>
        </w:rPr>
        <w:t xml:space="preserve">participaciones, aportaciones y convenios </w:t>
      </w:r>
      <w:r w:rsidRPr="00D153A7">
        <w:rPr>
          <w:rFonts w:cs="Arial"/>
          <w:bCs/>
          <w:sz w:val="24"/>
          <w:szCs w:val="24"/>
          <w:lang w:val="es-ES"/>
        </w:rPr>
        <w:t>federales</w:t>
      </w:r>
      <w:r>
        <w:rPr>
          <w:rFonts w:cs="Arial"/>
          <w:bCs/>
          <w:sz w:val="24"/>
          <w:szCs w:val="24"/>
          <w:lang w:val="es-ES"/>
        </w:rPr>
        <w:t>,</w:t>
      </w:r>
      <w:r w:rsidRPr="00D153A7">
        <w:rPr>
          <w:rFonts w:cs="Arial"/>
          <w:bCs/>
          <w:sz w:val="24"/>
          <w:szCs w:val="24"/>
          <w:lang w:val="es-ES"/>
        </w:rPr>
        <w:t xml:space="preserve"> deriva</w:t>
      </w:r>
      <w:r>
        <w:rPr>
          <w:rFonts w:cs="Arial"/>
          <w:bCs/>
          <w:sz w:val="24"/>
          <w:szCs w:val="24"/>
          <w:lang w:val="es-ES"/>
        </w:rPr>
        <w:t>do</w:t>
      </w:r>
      <w:r w:rsidRPr="00D153A7">
        <w:rPr>
          <w:rFonts w:cs="Arial"/>
          <w:bCs/>
          <w:sz w:val="24"/>
          <w:szCs w:val="24"/>
          <w:lang w:val="es-ES"/>
        </w:rPr>
        <w:t>s del Sistema N</w:t>
      </w:r>
      <w:r>
        <w:rPr>
          <w:rFonts w:cs="Arial"/>
          <w:bCs/>
          <w:sz w:val="24"/>
          <w:szCs w:val="24"/>
          <w:lang w:val="es-ES"/>
        </w:rPr>
        <w:t>acional de Coordinación Fiscal.</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Pr>
          <w:rFonts w:cs="Arial"/>
          <w:bCs/>
          <w:sz w:val="24"/>
          <w:szCs w:val="24"/>
          <w:lang w:val="es-ES"/>
        </w:rPr>
        <w:t>Durante esta Administración, se ha aplicado</w:t>
      </w:r>
      <w:r w:rsidRPr="00D153A7">
        <w:rPr>
          <w:rFonts w:cs="Arial"/>
          <w:bCs/>
          <w:sz w:val="24"/>
          <w:szCs w:val="24"/>
          <w:lang w:val="es-ES"/>
        </w:rPr>
        <w:t xml:space="preserve"> una política de gasto enfocada </w:t>
      </w:r>
      <w:r>
        <w:rPr>
          <w:rFonts w:cs="Arial"/>
          <w:bCs/>
          <w:sz w:val="24"/>
          <w:szCs w:val="24"/>
          <w:lang w:val="es-ES"/>
        </w:rPr>
        <w:t>a</w:t>
      </w:r>
      <w:r w:rsidRPr="00D153A7">
        <w:rPr>
          <w:rFonts w:cs="Arial"/>
          <w:bCs/>
          <w:sz w:val="24"/>
          <w:szCs w:val="24"/>
          <w:lang w:val="es-ES"/>
        </w:rPr>
        <w:t>l uso eficiente d</w:t>
      </w:r>
      <w:r>
        <w:rPr>
          <w:rFonts w:cs="Arial"/>
          <w:bCs/>
          <w:sz w:val="24"/>
          <w:szCs w:val="24"/>
          <w:lang w:val="es-ES"/>
        </w:rPr>
        <w:t>e los recursos, lo cual permite</w:t>
      </w:r>
      <w:r w:rsidRPr="00D153A7">
        <w:rPr>
          <w:rFonts w:cs="Arial"/>
          <w:bCs/>
          <w:sz w:val="24"/>
          <w:szCs w:val="24"/>
          <w:lang w:val="es-ES"/>
        </w:rPr>
        <w:t xml:space="preserve"> dar seguimiento puntual a los objetivos de los programas y proyectos e</w:t>
      </w:r>
      <w:r>
        <w:rPr>
          <w:rFonts w:cs="Arial"/>
          <w:bCs/>
          <w:sz w:val="24"/>
          <w:szCs w:val="24"/>
          <w:lang w:val="es-ES"/>
        </w:rPr>
        <w:t>manados</w:t>
      </w:r>
      <w:r w:rsidRPr="00D153A7">
        <w:rPr>
          <w:rFonts w:cs="Arial"/>
          <w:bCs/>
          <w:sz w:val="24"/>
          <w:szCs w:val="24"/>
          <w:lang w:val="es-ES"/>
        </w:rPr>
        <w:t xml:space="preserve"> </w:t>
      </w:r>
      <w:r>
        <w:rPr>
          <w:rFonts w:cs="Arial"/>
          <w:bCs/>
          <w:sz w:val="24"/>
          <w:szCs w:val="24"/>
          <w:lang w:val="es-ES"/>
        </w:rPr>
        <w:t>d</w:t>
      </w:r>
      <w:r w:rsidRPr="00D153A7">
        <w:rPr>
          <w:rFonts w:cs="Arial"/>
          <w:bCs/>
          <w:sz w:val="24"/>
          <w:szCs w:val="24"/>
          <w:lang w:val="es-ES"/>
        </w:rPr>
        <w:t xml:space="preserve">el Plan </w:t>
      </w:r>
      <w:r>
        <w:rPr>
          <w:rFonts w:cs="Arial"/>
          <w:bCs/>
          <w:sz w:val="24"/>
          <w:szCs w:val="24"/>
          <w:lang w:val="es-ES"/>
        </w:rPr>
        <w:t xml:space="preserve">Estatal de </w:t>
      </w:r>
      <w:r w:rsidRPr="00D153A7">
        <w:rPr>
          <w:rFonts w:cs="Arial"/>
          <w:bCs/>
          <w:sz w:val="24"/>
          <w:szCs w:val="24"/>
          <w:lang w:val="es-ES"/>
        </w:rPr>
        <w:t>Desarrollo 2017</w:t>
      </w:r>
      <w:r>
        <w:rPr>
          <w:rFonts w:cs="Arial"/>
          <w:bCs/>
          <w:sz w:val="24"/>
          <w:szCs w:val="24"/>
          <w:lang w:val="es-ES"/>
        </w:rPr>
        <w:t>-2021</w:t>
      </w:r>
      <w:r w:rsidRPr="00D153A7">
        <w:rPr>
          <w:rFonts w:cs="Arial"/>
          <w:bCs/>
          <w:sz w:val="24"/>
          <w:szCs w:val="24"/>
          <w:lang w:val="es-ES"/>
        </w:rPr>
        <w:t xml:space="preserve">. </w:t>
      </w:r>
      <w:r>
        <w:rPr>
          <w:rFonts w:cs="Arial"/>
          <w:bCs/>
          <w:sz w:val="24"/>
          <w:szCs w:val="24"/>
          <w:lang w:val="es-ES"/>
        </w:rPr>
        <w:t>L</w:t>
      </w:r>
      <w:r w:rsidRPr="00D153A7">
        <w:rPr>
          <w:rFonts w:cs="Arial"/>
          <w:bCs/>
          <w:sz w:val="24"/>
          <w:szCs w:val="24"/>
          <w:lang w:val="es-ES"/>
        </w:rPr>
        <w:t xml:space="preserve">a creciente demanda de bienes y servicios públicos </w:t>
      </w:r>
      <w:r>
        <w:rPr>
          <w:rFonts w:cs="Arial"/>
          <w:bCs/>
          <w:sz w:val="24"/>
          <w:szCs w:val="24"/>
          <w:lang w:val="es-ES"/>
        </w:rPr>
        <w:t xml:space="preserve">de la población tlaxcalteca </w:t>
      </w:r>
      <w:r w:rsidRPr="00D153A7">
        <w:rPr>
          <w:rFonts w:cs="Arial"/>
          <w:bCs/>
          <w:sz w:val="24"/>
          <w:szCs w:val="24"/>
          <w:lang w:val="es-ES"/>
        </w:rPr>
        <w:t xml:space="preserve">nos impulsa a servir con mayor calidad </w:t>
      </w:r>
      <w:r>
        <w:rPr>
          <w:rFonts w:cs="Arial"/>
          <w:bCs/>
          <w:sz w:val="24"/>
          <w:szCs w:val="24"/>
          <w:lang w:val="es-ES"/>
        </w:rPr>
        <w:t>y eficiencia</w:t>
      </w:r>
      <w:r w:rsidRPr="00D153A7">
        <w:rPr>
          <w:rFonts w:cs="Arial"/>
          <w:bCs/>
          <w:sz w:val="24"/>
          <w:szCs w:val="24"/>
          <w:lang w:val="es-ES"/>
        </w:rPr>
        <w:t xml:space="preserve">, </w:t>
      </w:r>
      <w:r>
        <w:rPr>
          <w:rFonts w:cs="Arial"/>
          <w:bCs/>
          <w:sz w:val="24"/>
          <w:szCs w:val="24"/>
          <w:lang w:val="es-ES"/>
        </w:rPr>
        <w:lastRenderedPageBreak/>
        <w:t xml:space="preserve">atendiendo </w:t>
      </w:r>
      <w:r w:rsidRPr="00D153A7">
        <w:rPr>
          <w:rFonts w:cs="Arial"/>
          <w:bCs/>
          <w:sz w:val="24"/>
          <w:szCs w:val="24"/>
          <w:lang w:val="es-ES"/>
        </w:rPr>
        <w:t>los valores y principios de honestidad, transparencia y rendición de cuentas</w:t>
      </w:r>
      <w:r>
        <w:rPr>
          <w:rFonts w:cs="Arial"/>
          <w:bCs/>
          <w:sz w:val="24"/>
          <w:szCs w:val="24"/>
          <w:lang w:val="es-ES"/>
        </w:rPr>
        <w:t>, optimizando el</w:t>
      </w:r>
      <w:r w:rsidRPr="00D153A7">
        <w:rPr>
          <w:rFonts w:cs="Arial"/>
          <w:bCs/>
          <w:sz w:val="24"/>
          <w:szCs w:val="24"/>
          <w:lang w:val="es-ES"/>
        </w:rPr>
        <w:t xml:space="preserve"> uso de los recursos </w:t>
      </w:r>
      <w:r>
        <w:rPr>
          <w:rFonts w:cs="Arial"/>
          <w:bCs/>
          <w:sz w:val="24"/>
          <w:szCs w:val="24"/>
          <w:lang w:val="es-ES"/>
        </w:rPr>
        <w:t xml:space="preserve">públicos </w:t>
      </w:r>
      <w:r w:rsidRPr="00D153A7">
        <w:rPr>
          <w:rFonts w:cs="Arial"/>
          <w:bCs/>
          <w:sz w:val="24"/>
          <w:szCs w:val="24"/>
          <w:lang w:val="es-ES"/>
        </w:rPr>
        <w:t xml:space="preserve">para lograr el bienestar general. </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Pr>
          <w:rFonts w:cs="Arial"/>
          <w:bCs/>
          <w:sz w:val="24"/>
          <w:szCs w:val="24"/>
          <w:lang w:val="es-ES"/>
        </w:rPr>
        <w:t>En el ejercicio f</w:t>
      </w:r>
      <w:r w:rsidRPr="0004561E">
        <w:rPr>
          <w:rFonts w:cs="Arial"/>
          <w:bCs/>
          <w:sz w:val="24"/>
          <w:szCs w:val="24"/>
          <w:lang w:val="es-ES"/>
        </w:rPr>
        <w:t>iscal 201</w:t>
      </w:r>
      <w:r>
        <w:rPr>
          <w:rFonts w:cs="Arial"/>
          <w:bCs/>
          <w:sz w:val="24"/>
          <w:szCs w:val="24"/>
          <w:lang w:val="es-ES"/>
        </w:rPr>
        <w:t>9</w:t>
      </w:r>
      <w:r w:rsidRPr="0004561E">
        <w:rPr>
          <w:rFonts w:cs="Arial"/>
          <w:bCs/>
          <w:sz w:val="24"/>
          <w:szCs w:val="24"/>
          <w:lang w:val="es-ES"/>
        </w:rPr>
        <w:t>, la pol</w:t>
      </w:r>
      <w:r w:rsidRPr="0004561E">
        <w:rPr>
          <w:rFonts w:cs="Arial" w:hint="eastAsia"/>
          <w:bCs/>
          <w:sz w:val="24"/>
          <w:szCs w:val="24"/>
          <w:lang w:val="es-ES"/>
        </w:rPr>
        <w:t>í</w:t>
      </w:r>
      <w:r w:rsidRPr="0004561E">
        <w:rPr>
          <w:rFonts w:cs="Arial"/>
          <w:bCs/>
          <w:sz w:val="24"/>
          <w:szCs w:val="24"/>
          <w:lang w:val="es-ES"/>
        </w:rPr>
        <w:t>tica de ingresos se enfocar</w:t>
      </w:r>
      <w:r w:rsidRPr="0004561E">
        <w:rPr>
          <w:rFonts w:cs="Arial" w:hint="eastAsia"/>
          <w:bCs/>
          <w:sz w:val="24"/>
          <w:szCs w:val="24"/>
          <w:lang w:val="es-ES"/>
        </w:rPr>
        <w:t>á</w:t>
      </w:r>
      <w:r w:rsidRPr="0004561E">
        <w:rPr>
          <w:rFonts w:cs="Arial"/>
          <w:bCs/>
          <w:sz w:val="24"/>
          <w:szCs w:val="24"/>
          <w:lang w:val="es-ES"/>
        </w:rPr>
        <w:t xml:space="preserve"> en asegurar el logro</w:t>
      </w:r>
      <w:r>
        <w:rPr>
          <w:rFonts w:cs="Arial"/>
          <w:bCs/>
          <w:sz w:val="24"/>
          <w:szCs w:val="24"/>
          <w:lang w:val="es-ES"/>
        </w:rPr>
        <w:t xml:space="preserve"> </w:t>
      </w:r>
      <w:r w:rsidRPr="0004561E">
        <w:rPr>
          <w:rFonts w:cs="Arial"/>
          <w:bCs/>
          <w:sz w:val="24"/>
          <w:szCs w:val="24"/>
          <w:lang w:val="es-ES"/>
        </w:rPr>
        <w:t xml:space="preserve">de las metas </w:t>
      </w:r>
      <w:r>
        <w:rPr>
          <w:rFonts w:cs="Arial"/>
          <w:bCs/>
          <w:sz w:val="24"/>
          <w:szCs w:val="24"/>
          <w:lang w:val="es-ES"/>
        </w:rPr>
        <w:t xml:space="preserve">planteadas en materia de recaudación, </w:t>
      </w:r>
      <w:r w:rsidRPr="0004561E">
        <w:rPr>
          <w:rFonts w:cs="Arial"/>
          <w:bCs/>
          <w:sz w:val="24"/>
          <w:szCs w:val="24"/>
          <w:lang w:val="es-ES"/>
        </w:rPr>
        <w:t xml:space="preserve">para </w:t>
      </w:r>
      <w:r>
        <w:rPr>
          <w:rFonts w:cs="Arial"/>
          <w:bCs/>
          <w:sz w:val="24"/>
          <w:szCs w:val="24"/>
          <w:lang w:val="es-ES"/>
        </w:rPr>
        <w:t>reforzar</w:t>
      </w:r>
      <w:r w:rsidRPr="0004561E">
        <w:rPr>
          <w:rFonts w:cs="Arial"/>
          <w:bCs/>
          <w:sz w:val="24"/>
          <w:szCs w:val="24"/>
          <w:lang w:val="es-ES"/>
        </w:rPr>
        <w:t xml:space="preserve"> el margen de maniobra </w:t>
      </w:r>
      <w:r>
        <w:rPr>
          <w:rFonts w:cs="Arial"/>
          <w:bCs/>
          <w:sz w:val="24"/>
          <w:szCs w:val="24"/>
          <w:lang w:val="es-ES"/>
        </w:rPr>
        <w:t>de</w:t>
      </w:r>
      <w:r w:rsidRPr="0004561E">
        <w:rPr>
          <w:rFonts w:cs="Arial"/>
          <w:bCs/>
          <w:sz w:val="24"/>
          <w:szCs w:val="24"/>
          <w:lang w:val="es-ES"/>
        </w:rPr>
        <w:t>l Presupuesto de</w:t>
      </w:r>
      <w:r>
        <w:rPr>
          <w:rFonts w:cs="Arial"/>
          <w:bCs/>
          <w:sz w:val="24"/>
          <w:szCs w:val="24"/>
          <w:lang w:val="es-ES"/>
        </w:rPr>
        <w:t xml:space="preserve"> </w:t>
      </w:r>
      <w:r w:rsidRPr="0004561E">
        <w:rPr>
          <w:rFonts w:cs="Arial"/>
          <w:bCs/>
          <w:sz w:val="24"/>
          <w:szCs w:val="24"/>
          <w:lang w:val="es-ES"/>
        </w:rPr>
        <w:t xml:space="preserve">Egresos, </w:t>
      </w:r>
      <w:r>
        <w:rPr>
          <w:rFonts w:cs="Arial"/>
          <w:bCs/>
          <w:sz w:val="24"/>
          <w:szCs w:val="24"/>
          <w:lang w:val="es-ES"/>
        </w:rPr>
        <w:t>priorizando</w:t>
      </w:r>
      <w:r w:rsidRPr="0004561E">
        <w:rPr>
          <w:rFonts w:cs="Arial"/>
          <w:bCs/>
          <w:sz w:val="24"/>
          <w:szCs w:val="24"/>
          <w:lang w:val="es-ES"/>
        </w:rPr>
        <w:t xml:space="preserve"> el gasto social y la inversi</w:t>
      </w:r>
      <w:r w:rsidRPr="0004561E">
        <w:rPr>
          <w:rFonts w:cs="Arial" w:hint="eastAsia"/>
          <w:bCs/>
          <w:sz w:val="24"/>
          <w:szCs w:val="24"/>
          <w:lang w:val="es-ES"/>
        </w:rPr>
        <w:t>ó</w:t>
      </w:r>
      <w:r w:rsidRPr="0004561E">
        <w:rPr>
          <w:rFonts w:cs="Arial"/>
          <w:bCs/>
          <w:sz w:val="24"/>
          <w:szCs w:val="24"/>
          <w:lang w:val="es-ES"/>
        </w:rPr>
        <w:t>n en infraestructura f</w:t>
      </w:r>
      <w:r w:rsidRPr="0004561E">
        <w:rPr>
          <w:rFonts w:cs="Arial" w:hint="eastAsia"/>
          <w:bCs/>
          <w:sz w:val="24"/>
          <w:szCs w:val="24"/>
          <w:lang w:val="es-ES"/>
        </w:rPr>
        <w:t>í</w:t>
      </w:r>
      <w:r w:rsidRPr="0004561E">
        <w:rPr>
          <w:rFonts w:cs="Arial"/>
          <w:bCs/>
          <w:sz w:val="24"/>
          <w:szCs w:val="24"/>
          <w:lang w:val="es-ES"/>
        </w:rPr>
        <w:t>sica. La</w:t>
      </w:r>
      <w:r>
        <w:rPr>
          <w:rFonts w:cs="Arial"/>
          <w:bCs/>
          <w:sz w:val="24"/>
          <w:szCs w:val="24"/>
          <w:lang w:val="es-ES"/>
        </w:rPr>
        <w:t xml:space="preserve"> </w:t>
      </w:r>
      <w:r w:rsidRPr="0004561E">
        <w:rPr>
          <w:rFonts w:cs="Arial"/>
          <w:bCs/>
          <w:sz w:val="24"/>
          <w:szCs w:val="24"/>
          <w:lang w:val="es-ES"/>
        </w:rPr>
        <w:t>gesti</w:t>
      </w:r>
      <w:r w:rsidRPr="0004561E">
        <w:rPr>
          <w:rFonts w:cs="Arial" w:hint="eastAsia"/>
          <w:bCs/>
          <w:sz w:val="24"/>
          <w:szCs w:val="24"/>
          <w:lang w:val="es-ES"/>
        </w:rPr>
        <w:t>ó</w:t>
      </w:r>
      <w:r w:rsidRPr="0004561E">
        <w:rPr>
          <w:rFonts w:cs="Arial"/>
          <w:bCs/>
          <w:sz w:val="24"/>
          <w:szCs w:val="24"/>
          <w:lang w:val="es-ES"/>
        </w:rPr>
        <w:t>n efectiva de los ingresos presupuestarios buscar</w:t>
      </w:r>
      <w:r w:rsidRPr="0004561E">
        <w:rPr>
          <w:rFonts w:cs="Arial" w:hint="eastAsia"/>
          <w:bCs/>
          <w:sz w:val="24"/>
          <w:szCs w:val="24"/>
          <w:lang w:val="es-ES"/>
        </w:rPr>
        <w:t>á</w:t>
      </w:r>
      <w:r w:rsidRPr="0004561E">
        <w:rPr>
          <w:rFonts w:cs="Arial"/>
          <w:bCs/>
          <w:sz w:val="24"/>
          <w:szCs w:val="24"/>
          <w:lang w:val="es-ES"/>
        </w:rPr>
        <w:t xml:space="preserve"> incrementar los Ingresos</w:t>
      </w:r>
      <w:r>
        <w:rPr>
          <w:rFonts w:cs="Arial"/>
          <w:bCs/>
          <w:sz w:val="24"/>
          <w:szCs w:val="24"/>
          <w:lang w:val="es-ES"/>
        </w:rPr>
        <w:t xml:space="preserve"> </w:t>
      </w:r>
      <w:r w:rsidRPr="0004561E">
        <w:rPr>
          <w:rFonts w:cs="Arial"/>
          <w:bCs/>
          <w:sz w:val="24"/>
          <w:szCs w:val="24"/>
          <w:lang w:val="es-ES"/>
        </w:rPr>
        <w:t xml:space="preserve">Propios </w:t>
      </w:r>
      <w:r>
        <w:rPr>
          <w:rFonts w:cs="Arial"/>
          <w:bCs/>
          <w:sz w:val="24"/>
          <w:szCs w:val="24"/>
          <w:lang w:val="es-ES"/>
        </w:rPr>
        <w:t>fortaleciendo la actividad</w:t>
      </w:r>
      <w:r w:rsidRPr="0004561E">
        <w:rPr>
          <w:rFonts w:cs="Arial"/>
          <w:bCs/>
          <w:sz w:val="24"/>
          <w:szCs w:val="24"/>
          <w:lang w:val="es-ES"/>
        </w:rPr>
        <w:t xml:space="preserve"> recaudatori</w:t>
      </w:r>
      <w:r>
        <w:rPr>
          <w:rFonts w:cs="Arial"/>
          <w:bCs/>
          <w:sz w:val="24"/>
          <w:szCs w:val="24"/>
          <w:lang w:val="es-ES"/>
        </w:rPr>
        <w:t>a</w:t>
      </w:r>
      <w:r w:rsidRPr="0004561E">
        <w:rPr>
          <w:rFonts w:cs="Arial"/>
          <w:bCs/>
          <w:sz w:val="24"/>
          <w:szCs w:val="24"/>
          <w:lang w:val="es-ES"/>
        </w:rPr>
        <w:t xml:space="preserve"> sustentad</w:t>
      </w:r>
      <w:r>
        <w:rPr>
          <w:rFonts w:cs="Arial"/>
          <w:bCs/>
          <w:sz w:val="24"/>
          <w:szCs w:val="24"/>
          <w:lang w:val="es-ES"/>
        </w:rPr>
        <w:t>a</w:t>
      </w:r>
      <w:r w:rsidRPr="0004561E">
        <w:rPr>
          <w:rFonts w:cs="Arial"/>
          <w:bCs/>
          <w:sz w:val="24"/>
          <w:szCs w:val="24"/>
          <w:lang w:val="es-ES"/>
        </w:rPr>
        <w:t xml:space="preserve"> en la</w:t>
      </w:r>
      <w:r>
        <w:rPr>
          <w:rFonts w:cs="Arial"/>
          <w:bCs/>
          <w:sz w:val="24"/>
          <w:szCs w:val="24"/>
          <w:lang w:val="es-ES"/>
        </w:rPr>
        <w:t xml:space="preserve"> </w:t>
      </w:r>
      <w:r w:rsidRPr="0004561E">
        <w:rPr>
          <w:rFonts w:cs="Arial"/>
          <w:bCs/>
          <w:sz w:val="24"/>
          <w:szCs w:val="24"/>
          <w:lang w:val="es-ES"/>
        </w:rPr>
        <w:t>implementaci</w:t>
      </w:r>
      <w:r w:rsidRPr="0004561E">
        <w:rPr>
          <w:rFonts w:cs="Arial" w:hint="eastAsia"/>
          <w:bCs/>
          <w:sz w:val="24"/>
          <w:szCs w:val="24"/>
          <w:lang w:val="es-ES"/>
        </w:rPr>
        <w:t>ó</w:t>
      </w:r>
      <w:r w:rsidRPr="0004561E">
        <w:rPr>
          <w:rFonts w:cs="Arial"/>
          <w:bCs/>
          <w:sz w:val="24"/>
          <w:szCs w:val="24"/>
          <w:lang w:val="es-ES"/>
        </w:rPr>
        <w:t>n de programas y en la modernizaci</w:t>
      </w:r>
      <w:r w:rsidRPr="0004561E">
        <w:rPr>
          <w:rFonts w:cs="Arial" w:hint="eastAsia"/>
          <w:bCs/>
          <w:sz w:val="24"/>
          <w:szCs w:val="24"/>
          <w:lang w:val="es-ES"/>
        </w:rPr>
        <w:t>ó</w:t>
      </w:r>
      <w:r w:rsidRPr="0004561E">
        <w:rPr>
          <w:rFonts w:cs="Arial"/>
          <w:bCs/>
          <w:sz w:val="24"/>
          <w:szCs w:val="24"/>
          <w:lang w:val="es-ES"/>
        </w:rPr>
        <w:t xml:space="preserve">n </w:t>
      </w:r>
      <w:r>
        <w:rPr>
          <w:rFonts w:cs="Arial"/>
          <w:bCs/>
          <w:sz w:val="24"/>
          <w:szCs w:val="24"/>
          <w:lang w:val="es-ES"/>
        </w:rPr>
        <w:t xml:space="preserve">continua e </w:t>
      </w:r>
      <w:r w:rsidRPr="0004561E">
        <w:rPr>
          <w:rFonts w:cs="Arial"/>
          <w:bCs/>
          <w:sz w:val="24"/>
          <w:szCs w:val="24"/>
          <w:lang w:val="es-ES"/>
        </w:rPr>
        <w:t>integral</w:t>
      </w:r>
      <w:r>
        <w:rPr>
          <w:rFonts w:cs="Arial"/>
          <w:bCs/>
          <w:sz w:val="24"/>
          <w:szCs w:val="24"/>
          <w:lang w:val="es-ES"/>
        </w:rPr>
        <w:t xml:space="preserve"> </w:t>
      </w:r>
      <w:r w:rsidRPr="0004561E">
        <w:rPr>
          <w:rFonts w:cs="Arial"/>
          <w:bCs/>
          <w:sz w:val="24"/>
          <w:szCs w:val="24"/>
          <w:lang w:val="es-ES"/>
        </w:rPr>
        <w:t>de la administraci</w:t>
      </w:r>
      <w:r w:rsidRPr="0004561E">
        <w:rPr>
          <w:rFonts w:cs="Arial" w:hint="eastAsia"/>
          <w:bCs/>
          <w:sz w:val="24"/>
          <w:szCs w:val="24"/>
          <w:lang w:val="es-ES"/>
        </w:rPr>
        <w:t>ó</w:t>
      </w:r>
      <w:r w:rsidRPr="0004561E">
        <w:rPr>
          <w:rFonts w:cs="Arial"/>
          <w:bCs/>
          <w:sz w:val="24"/>
          <w:szCs w:val="24"/>
          <w:lang w:val="es-ES"/>
        </w:rPr>
        <w:t>n tributaria.</w:t>
      </w:r>
      <w:r>
        <w:rPr>
          <w:rFonts w:cs="Arial"/>
          <w:bCs/>
          <w:sz w:val="24"/>
          <w:szCs w:val="24"/>
          <w:lang w:val="es-ES"/>
        </w:rPr>
        <w:t xml:space="preserve"> Asimismo, s</w:t>
      </w:r>
      <w:r w:rsidRPr="0004561E">
        <w:rPr>
          <w:rFonts w:cs="Arial"/>
          <w:bCs/>
          <w:sz w:val="24"/>
          <w:szCs w:val="24"/>
          <w:lang w:val="es-ES"/>
        </w:rPr>
        <w:t>e reforza</w:t>
      </w:r>
      <w:r>
        <w:rPr>
          <w:rFonts w:cs="Arial"/>
          <w:bCs/>
          <w:sz w:val="24"/>
          <w:szCs w:val="24"/>
          <w:lang w:val="es-ES"/>
        </w:rPr>
        <w:t>rán</w:t>
      </w:r>
      <w:r w:rsidRPr="0004561E">
        <w:rPr>
          <w:rFonts w:cs="Arial"/>
          <w:bCs/>
          <w:sz w:val="24"/>
          <w:szCs w:val="24"/>
          <w:lang w:val="es-ES"/>
        </w:rPr>
        <w:t xml:space="preserve"> los v</w:t>
      </w:r>
      <w:r w:rsidRPr="0004561E">
        <w:rPr>
          <w:rFonts w:cs="Arial" w:hint="eastAsia"/>
          <w:bCs/>
          <w:sz w:val="24"/>
          <w:szCs w:val="24"/>
          <w:lang w:val="es-ES"/>
        </w:rPr>
        <w:t>í</w:t>
      </w:r>
      <w:r w:rsidRPr="0004561E">
        <w:rPr>
          <w:rFonts w:cs="Arial"/>
          <w:bCs/>
          <w:sz w:val="24"/>
          <w:szCs w:val="24"/>
          <w:lang w:val="es-ES"/>
        </w:rPr>
        <w:t>nculos de coordinaci</w:t>
      </w:r>
      <w:r w:rsidRPr="0004561E">
        <w:rPr>
          <w:rFonts w:cs="Arial" w:hint="eastAsia"/>
          <w:bCs/>
          <w:sz w:val="24"/>
          <w:szCs w:val="24"/>
          <w:lang w:val="es-ES"/>
        </w:rPr>
        <w:t>ó</w:t>
      </w:r>
      <w:r w:rsidRPr="0004561E">
        <w:rPr>
          <w:rFonts w:cs="Arial"/>
          <w:bCs/>
          <w:sz w:val="24"/>
          <w:szCs w:val="24"/>
          <w:lang w:val="es-ES"/>
        </w:rPr>
        <w:t xml:space="preserve">n fiscal </w:t>
      </w:r>
      <w:r>
        <w:rPr>
          <w:rFonts w:cs="Arial"/>
          <w:bCs/>
          <w:sz w:val="24"/>
          <w:szCs w:val="24"/>
          <w:lang w:val="es-ES"/>
        </w:rPr>
        <w:t>entre los t</w:t>
      </w:r>
      <w:r w:rsidRPr="0004561E">
        <w:rPr>
          <w:rFonts w:cs="Arial"/>
          <w:bCs/>
          <w:sz w:val="24"/>
          <w:szCs w:val="24"/>
          <w:lang w:val="es-ES"/>
        </w:rPr>
        <w:t xml:space="preserve">res </w:t>
      </w:r>
      <w:r w:rsidRPr="0004561E">
        <w:rPr>
          <w:rFonts w:cs="Arial" w:hint="eastAsia"/>
          <w:bCs/>
          <w:sz w:val="24"/>
          <w:szCs w:val="24"/>
          <w:lang w:val="es-ES"/>
        </w:rPr>
        <w:t>ó</w:t>
      </w:r>
      <w:r w:rsidRPr="0004561E">
        <w:rPr>
          <w:rFonts w:cs="Arial"/>
          <w:bCs/>
          <w:sz w:val="24"/>
          <w:szCs w:val="24"/>
          <w:lang w:val="es-ES"/>
        </w:rPr>
        <w:t>rdenes de gobierno</w:t>
      </w:r>
      <w:r>
        <w:rPr>
          <w:rFonts w:cs="Arial"/>
          <w:bCs/>
          <w:sz w:val="24"/>
          <w:szCs w:val="24"/>
          <w:lang w:val="es-ES"/>
        </w:rPr>
        <w:t xml:space="preserve">, que permitan </w:t>
      </w:r>
      <w:r w:rsidRPr="007A2650">
        <w:rPr>
          <w:rFonts w:cs="Arial"/>
          <w:bCs/>
          <w:sz w:val="24"/>
          <w:szCs w:val="24"/>
          <w:lang w:val="es-ES"/>
        </w:rPr>
        <w:t>aprovechar aquellas figuras impositivas que son delegadas a la Entidad por parte del Gobierno Federal, para incidir positivamente en el incremento de los coeficientes de distribución de participaciones federales a través de un esquema fiscal eficiente.</w:t>
      </w:r>
    </w:p>
    <w:p w:rsidR="0037578E" w:rsidRPr="00AA2E86" w:rsidRDefault="0037578E" w:rsidP="0037578E">
      <w:pPr>
        <w:pStyle w:val="PRIMERAPLANA"/>
        <w:spacing w:line="360" w:lineRule="auto"/>
        <w:rPr>
          <w:rFonts w:cs="Arial"/>
          <w:bCs/>
          <w:sz w:val="24"/>
          <w:szCs w:val="24"/>
          <w:lang w:val="es-ES"/>
        </w:rPr>
      </w:pPr>
    </w:p>
    <w:p w:rsidR="0037578E" w:rsidRPr="00AA2E86" w:rsidRDefault="0037578E" w:rsidP="0037578E">
      <w:pPr>
        <w:pStyle w:val="PRIMERAPLANA"/>
        <w:spacing w:line="360" w:lineRule="auto"/>
        <w:rPr>
          <w:rFonts w:cs="Arial"/>
          <w:bCs/>
          <w:sz w:val="24"/>
          <w:szCs w:val="24"/>
          <w:lang w:val="es-ES"/>
        </w:rPr>
      </w:pPr>
      <w:r w:rsidRPr="00AA2E86">
        <w:rPr>
          <w:rFonts w:cs="Arial"/>
          <w:bCs/>
          <w:sz w:val="24"/>
          <w:szCs w:val="24"/>
          <w:lang w:val="es-ES"/>
        </w:rPr>
        <w:t>La pol</w:t>
      </w:r>
      <w:r w:rsidRPr="00AA2E86">
        <w:rPr>
          <w:rFonts w:cs="Arial" w:hint="eastAsia"/>
          <w:bCs/>
          <w:sz w:val="24"/>
          <w:szCs w:val="24"/>
          <w:lang w:val="es-ES"/>
        </w:rPr>
        <w:t>í</w:t>
      </w:r>
      <w:r w:rsidRPr="00AA2E86">
        <w:rPr>
          <w:rFonts w:cs="Arial"/>
          <w:bCs/>
          <w:sz w:val="24"/>
          <w:szCs w:val="24"/>
          <w:lang w:val="es-ES"/>
        </w:rPr>
        <w:t>tica de ingresos</w:t>
      </w:r>
      <w:r>
        <w:rPr>
          <w:rFonts w:cs="Arial"/>
          <w:bCs/>
          <w:sz w:val="24"/>
          <w:szCs w:val="24"/>
          <w:lang w:val="es-ES"/>
        </w:rPr>
        <w:t xml:space="preserve"> está apegada a</w:t>
      </w:r>
      <w:r w:rsidRPr="00AA2E86">
        <w:rPr>
          <w:rFonts w:cs="Arial"/>
          <w:bCs/>
          <w:sz w:val="24"/>
          <w:szCs w:val="24"/>
          <w:lang w:val="es-ES"/>
        </w:rPr>
        <w:t xml:space="preserve"> los objetivos, estrategias y l</w:t>
      </w:r>
      <w:r w:rsidRPr="00AA2E86">
        <w:rPr>
          <w:rFonts w:cs="Arial" w:hint="eastAsia"/>
          <w:bCs/>
          <w:sz w:val="24"/>
          <w:szCs w:val="24"/>
          <w:lang w:val="es-ES"/>
        </w:rPr>
        <w:t>í</w:t>
      </w:r>
      <w:r w:rsidRPr="00AA2E86">
        <w:rPr>
          <w:rFonts w:cs="Arial"/>
          <w:bCs/>
          <w:sz w:val="24"/>
          <w:szCs w:val="24"/>
          <w:lang w:val="es-ES"/>
        </w:rPr>
        <w:t>neas de acci</w:t>
      </w:r>
      <w:r w:rsidRPr="00AA2E86">
        <w:rPr>
          <w:rFonts w:cs="Arial" w:hint="eastAsia"/>
          <w:bCs/>
          <w:sz w:val="24"/>
          <w:szCs w:val="24"/>
          <w:lang w:val="es-ES"/>
        </w:rPr>
        <w:t>ó</w:t>
      </w:r>
      <w:r w:rsidRPr="00AA2E86">
        <w:rPr>
          <w:rFonts w:cs="Arial"/>
          <w:bCs/>
          <w:sz w:val="24"/>
          <w:szCs w:val="24"/>
          <w:lang w:val="es-ES"/>
        </w:rPr>
        <w:t>n</w:t>
      </w:r>
      <w:r>
        <w:rPr>
          <w:rFonts w:cs="Arial"/>
          <w:bCs/>
          <w:sz w:val="24"/>
          <w:szCs w:val="24"/>
          <w:lang w:val="es-ES"/>
        </w:rPr>
        <w:t xml:space="preserve"> establecida</w:t>
      </w:r>
      <w:r w:rsidRPr="00AA2E86">
        <w:rPr>
          <w:rFonts w:cs="Arial"/>
          <w:bCs/>
          <w:sz w:val="24"/>
          <w:szCs w:val="24"/>
          <w:lang w:val="es-ES"/>
        </w:rPr>
        <w:t>s en el Plan Estatal de Desarrollo 2017-2021, concen</w:t>
      </w:r>
      <w:r>
        <w:rPr>
          <w:rFonts w:cs="Arial"/>
          <w:bCs/>
          <w:sz w:val="24"/>
          <w:szCs w:val="24"/>
          <w:lang w:val="es-ES"/>
        </w:rPr>
        <w:t>trando</w:t>
      </w:r>
      <w:r w:rsidRPr="00AA2E86">
        <w:rPr>
          <w:rFonts w:cs="Arial"/>
          <w:bCs/>
          <w:sz w:val="24"/>
          <w:szCs w:val="24"/>
          <w:lang w:val="es-ES"/>
        </w:rPr>
        <w:t xml:space="preserve"> </w:t>
      </w:r>
      <w:r>
        <w:rPr>
          <w:rFonts w:cs="Arial"/>
          <w:bCs/>
          <w:sz w:val="24"/>
          <w:szCs w:val="24"/>
          <w:lang w:val="es-ES"/>
        </w:rPr>
        <w:t>los</w:t>
      </w:r>
      <w:r w:rsidRPr="00AA2E86">
        <w:rPr>
          <w:rFonts w:cs="Arial"/>
          <w:bCs/>
          <w:sz w:val="24"/>
          <w:szCs w:val="24"/>
          <w:lang w:val="es-ES"/>
        </w:rPr>
        <w:t xml:space="preserve"> esfuerzos </w:t>
      </w:r>
      <w:r>
        <w:rPr>
          <w:rFonts w:cs="Arial"/>
          <w:bCs/>
          <w:sz w:val="24"/>
          <w:szCs w:val="24"/>
          <w:lang w:val="es-ES"/>
        </w:rPr>
        <w:t xml:space="preserve">del Gobierno del Estado </w:t>
      </w:r>
      <w:r w:rsidR="001F2F78">
        <w:rPr>
          <w:rFonts w:cs="Arial"/>
          <w:bCs/>
          <w:sz w:val="24"/>
          <w:szCs w:val="24"/>
          <w:lang w:val="es-ES"/>
        </w:rPr>
        <w:t>en:</w:t>
      </w:r>
    </w:p>
    <w:p w:rsidR="0037578E" w:rsidRPr="00AA2E86" w:rsidRDefault="0037578E" w:rsidP="0037578E">
      <w:pPr>
        <w:pStyle w:val="PRIMERAPLANA"/>
        <w:spacing w:line="360" w:lineRule="auto"/>
        <w:rPr>
          <w:rFonts w:cs="Arial"/>
          <w:bCs/>
          <w:sz w:val="24"/>
          <w:szCs w:val="24"/>
          <w:lang w:val="es-ES"/>
        </w:rPr>
      </w:pPr>
    </w:p>
    <w:p w:rsidR="0037578E" w:rsidRDefault="0037578E" w:rsidP="00F36D7A">
      <w:pPr>
        <w:pStyle w:val="PRIMERAPLANA"/>
        <w:numPr>
          <w:ilvl w:val="0"/>
          <w:numId w:val="5"/>
        </w:numPr>
        <w:spacing w:line="360" w:lineRule="auto"/>
        <w:rPr>
          <w:rFonts w:cs="Arial"/>
          <w:bCs/>
          <w:sz w:val="24"/>
          <w:szCs w:val="24"/>
          <w:lang w:val="es-ES"/>
        </w:rPr>
      </w:pPr>
      <w:r w:rsidRPr="00AA2E86">
        <w:rPr>
          <w:rFonts w:cs="Arial"/>
          <w:bCs/>
          <w:sz w:val="24"/>
          <w:szCs w:val="24"/>
          <w:lang w:val="es-ES"/>
        </w:rPr>
        <w:t>Fortalecer la recaudación de ingresos propios y atraer mayores recursos federales.</w:t>
      </w:r>
    </w:p>
    <w:p w:rsidR="0037578E" w:rsidRPr="00AA2E86" w:rsidRDefault="0037578E" w:rsidP="0037578E">
      <w:pPr>
        <w:pStyle w:val="PRIMERAPLANA"/>
        <w:spacing w:line="360" w:lineRule="auto"/>
        <w:ind w:left="1080"/>
        <w:rPr>
          <w:rFonts w:cs="Arial"/>
          <w:bCs/>
          <w:sz w:val="24"/>
          <w:szCs w:val="24"/>
          <w:lang w:val="es-ES"/>
        </w:rPr>
      </w:pPr>
    </w:p>
    <w:p w:rsidR="0037578E" w:rsidRDefault="0037578E" w:rsidP="00F36D7A">
      <w:pPr>
        <w:pStyle w:val="PRIMERAPLANA"/>
        <w:numPr>
          <w:ilvl w:val="0"/>
          <w:numId w:val="5"/>
        </w:numPr>
        <w:spacing w:line="360" w:lineRule="auto"/>
        <w:rPr>
          <w:rFonts w:cs="Arial"/>
          <w:bCs/>
          <w:sz w:val="24"/>
          <w:szCs w:val="24"/>
          <w:lang w:val="es-ES"/>
        </w:rPr>
      </w:pPr>
      <w:r w:rsidRPr="00AA2E86">
        <w:rPr>
          <w:rFonts w:cs="Arial"/>
          <w:bCs/>
          <w:sz w:val="24"/>
          <w:szCs w:val="24"/>
          <w:lang w:val="es-ES"/>
        </w:rPr>
        <w:lastRenderedPageBreak/>
        <w:t>Consolidar el sistema de recaudaci</w:t>
      </w:r>
      <w:r w:rsidRPr="00AA2E86">
        <w:rPr>
          <w:rFonts w:cs="Arial" w:hint="eastAsia"/>
          <w:bCs/>
          <w:sz w:val="24"/>
          <w:szCs w:val="24"/>
          <w:lang w:val="es-ES"/>
        </w:rPr>
        <w:t>ó</w:t>
      </w:r>
      <w:r w:rsidRPr="00AA2E86">
        <w:rPr>
          <w:rFonts w:cs="Arial"/>
          <w:bCs/>
          <w:sz w:val="24"/>
          <w:szCs w:val="24"/>
          <w:lang w:val="es-ES"/>
        </w:rPr>
        <w:t>n, a través de la mejora continua de la administraci</w:t>
      </w:r>
      <w:r w:rsidRPr="00AA2E86">
        <w:rPr>
          <w:rFonts w:cs="Arial" w:hint="eastAsia"/>
          <w:bCs/>
          <w:sz w:val="24"/>
          <w:szCs w:val="24"/>
          <w:lang w:val="es-ES"/>
        </w:rPr>
        <w:t>ó</w:t>
      </w:r>
      <w:r w:rsidRPr="00AA2E86">
        <w:rPr>
          <w:rFonts w:cs="Arial"/>
          <w:bCs/>
          <w:sz w:val="24"/>
          <w:szCs w:val="24"/>
          <w:lang w:val="es-ES"/>
        </w:rPr>
        <w:t>n tributaria del Estado, y</w:t>
      </w:r>
    </w:p>
    <w:p w:rsidR="0037578E" w:rsidRDefault="0037578E" w:rsidP="0037578E">
      <w:pPr>
        <w:pStyle w:val="PRIMERAPLANA"/>
        <w:spacing w:line="360" w:lineRule="auto"/>
        <w:ind w:left="1080"/>
        <w:rPr>
          <w:rFonts w:cs="Arial"/>
          <w:bCs/>
          <w:sz w:val="24"/>
          <w:szCs w:val="24"/>
          <w:lang w:val="es-ES"/>
        </w:rPr>
      </w:pPr>
    </w:p>
    <w:p w:rsidR="0037578E" w:rsidRPr="00AA2E86" w:rsidRDefault="0037578E" w:rsidP="00F36D7A">
      <w:pPr>
        <w:pStyle w:val="PRIMERAPLANA"/>
        <w:numPr>
          <w:ilvl w:val="0"/>
          <w:numId w:val="5"/>
        </w:numPr>
        <w:spacing w:line="360" w:lineRule="auto"/>
        <w:rPr>
          <w:rFonts w:cs="Arial"/>
          <w:bCs/>
          <w:sz w:val="24"/>
          <w:szCs w:val="24"/>
          <w:lang w:val="es-ES"/>
        </w:rPr>
      </w:pPr>
      <w:r w:rsidRPr="00AA2E86">
        <w:rPr>
          <w:rFonts w:cs="Arial"/>
          <w:bCs/>
          <w:sz w:val="24"/>
          <w:szCs w:val="24"/>
          <w:lang w:val="es-ES"/>
        </w:rPr>
        <w:t>Mantener la salud y fortaleza de las finanzas p</w:t>
      </w:r>
      <w:r w:rsidRPr="00AA2E86">
        <w:rPr>
          <w:rFonts w:cs="Arial" w:hint="eastAsia"/>
          <w:bCs/>
          <w:sz w:val="24"/>
          <w:szCs w:val="24"/>
          <w:lang w:val="es-ES"/>
        </w:rPr>
        <w:t>ú</w:t>
      </w:r>
      <w:r w:rsidRPr="00AA2E86">
        <w:rPr>
          <w:rFonts w:cs="Arial"/>
          <w:bCs/>
          <w:sz w:val="24"/>
          <w:szCs w:val="24"/>
          <w:lang w:val="es-ES"/>
        </w:rPr>
        <w:t>blicas estatales.</w:t>
      </w:r>
    </w:p>
    <w:p w:rsidR="0037578E" w:rsidRPr="00AA2E86" w:rsidRDefault="0037578E" w:rsidP="0037578E">
      <w:pPr>
        <w:pStyle w:val="PRIMERAPLANA"/>
        <w:spacing w:line="360" w:lineRule="auto"/>
        <w:rPr>
          <w:rFonts w:cs="Arial"/>
          <w:bCs/>
          <w:sz w:val="24"/>
          <w:szCs w:val="24"/>
          <w:lang w:val="es-ES"/>
        </w:rPr>
      </w:pPr>
    </w:p>
    <w:p w:rsidR="0037578E" w:rsidRPr="00AA2E86" w:rsidRDefault="0037578E" w:rsidP="0037578E">
      <w:pPr>
        <w:pStyle w:val="PRIMERAPLANA"/>
        <w:spacing w:line="360" w:lineRule="auto"/>
        <w:rPr>
          <w:rFonts w:cs="Arial"/>
          <w:bCs/>
          <w:sz w:val="24"/>
          <w:szCs w:val="24"/>
          <w:lang w:val="es-ES"/>
        </w:rPr>
      </w:pPr>
      <w:r w:rsidRPr="00AA2E86">
        <w:rPr>
          <w:rFonts w:cs="Arial"/>
          <w:bCs/>
          <w:sz w:val="24"/>
          <w:szCs w:val="24"/>
          <w:lang w:val="es-ES"/>
        </w:rPr>
        <w:t xml:space="preserve">Los esfuerzos </w:t>
      </w:r>
      <w:r>
        <w:rPr>
          <w:rFonts w:cs="Arial"/>
          <w:bCs/>
          <w:sz w:val="24"/>
          <w:szCs w:val="24"/>
          <w:lang w:val="es-ES"/>
        </w:rPr>
        <w:t>del Estado en materia de</w:t>
      </w:r>
      <w:r w:rsidRPr="00AA2E86">
        <w:rPr>
          <w:rFonts w:cs="Arial"/>
          <w:bCs/>
          <w:sz w:val="24"/>
          <w:szCs w:val="24"/>
          <w:lang w:val="es-ES"/>
        </w:rPr>
        <w:t xml:space="preserve"> planeaci</w:t>
      </w:r>
      <w:r w:rsidRPr="00AA2E86">
        <w:rPr>
          <w:rFonts w:cs="Arial" w:hint="eastAsia"/>
          <w:bCs/>
          <w:sz w:val="24"/>
          <w:szCs w:val="24"/>
          <w:lang w:val="es-ES"/>
        </w:rPr>
        <w:t>ó</w:t>
      </w:r>
      <w:r w:rsidRPr="00AA2E86">
        <w:rPr>
          <w:rFonts w:cs="Arial"/>
          <w:bCs/>
          <w:sz w:val="24"/>
          <w:szCs w:val="24"/>
          <w:lang w:val="es-ES"/>
        </w:rPr>
        <w:t>n, programaci</w:t>
      </w:r>
      <w:r w:rsidRPr="00AA2E86">
        <w:rPr>
          <w:rFonts w:cs="Arial" w:hint="eastAsia"/>
          <w:bCs/>
          <w:sz w:val="24"/>
          <w:szCs w:val="24"/>
          <w:lang w:val="es-ES"/>
        </w:rPr>
        <w:t>ó</w:t>
      </w:r>
      <w:r w:rsidRPr="00AA2E86">
        <w:rPr>
          <w:rFonts w:cs="Arial"/>
          <w:bCs/>
          <w:sz w:val="24"/>
          <w:szCs w:val="24"/>
          <w:lang w:val="es-ES"/>
        </w:rPr>
        <w:t>n y presu</w:t>
      </w:r>
      <w:bookmarkStart w:id="0" w:name="_GoBack"/>
      <w:bookmarkEnd w:id="0"/>
      <w:r w:rsidRPr="00AA2E86">
        <w:rPr>
          <w:rFonts w:cs="Arial"/>
          <w:bCs/>
          <w:sz w:val="24"/>
          <w:szCs w:val="24"/>
          <w:lang w:val="es-ES"/>
        </w:rPr>
        <w:t>puestaci</w:t>
      </w:r>
      <w:r w:rsidRPr="00AA2E86">
        <w:rPr>
          <w:rFonts w:cs="Arial" w:hint="eastAsia"/>
          <w:bCs/>
          <w:sz w:val="24"/>
          <w:szCs w:val="24"/>
          <w:lang w:val="es-ES"/>
        </w:rPr>
        <w:t>ó</w:t>
      </w:r>
      <w:r w:rsidRPr="00AA2E86">
        <w:rPr>
          <w:rFonts w:cs="Arial"/>
          <w:bCs/>
          <w:sz w:val="24"/>
          <w:szCs w:val="24"/>
          <w:lang w:val="es-ES"/>
        </w:rPr>
        <w:t xml:space="preserve">n, consideran metas de ingresos prudentes y realistas, </w:t>
      </w:r>
      <w:r>
        <w:rPr>
          <w:rFonts w:cs="Arial"/>
          <w:bCs/>
          <w:sz w:val="24"/>
          <w:szCs w:val="24"/>
          <w:lang w:val="es-ES"/>
        </w:rPr>
        <w:t>en relación</w:t>
      </w:r>
      <w:r w:rsidRPr="00AA2E86">
        <w:rPr>
          <w:rFonts w:cs="Arial"/>
          <w:bCs/>
          <w:sz w:val="24"/>
          <w:szCs w:val="24"/>
          <w:lang w:val="es-ES"/>
        </w:rPr>
        <w:t xml:space="preserve"> a los</w:t>
      </w:r>
      <w:r>
        <w:rPr>
          <w:rFonts w:cs="Arial"/>
          <w:bCs/>
          <w:sz w:val="24"/>
          <w:szCs w:val="24"/>
          <w:lang w:val="es-ES"/>
        </w:rPr>
        <w:t xml:space="preserve"> </w:t>
      </w:r>
      <w:r w:rsidRPr="00AA2E86">
        <w:rPr>
          <w:rFonts w:cs="Arial"/>
          <w:bCs/>
          <w:sz w:val="24"/>
          <w:szCs w:val="24"/>
          <w:lang w:val="es-ES"/>
        </w:rPr>
        <w:t>supuestos del marco macroecon</w:t>
      </w:r>
      <w:r w:rsidRPr="00AA2E86">
        <w:rPr>
          <w:rFonts w:cs="Arial" w:hint="eastAsia"/>
          <w:bCs/>
          <w:sz w:val="24"/>
          <w:szCs w:val="24"/>
          <w:lang w:val="es-ES"/>
        </w:rPr>
        <w:t>ó</w:t>
      </w:r>
      <w:r w:rsidRPr="00AA2E86">
        <w:rPr>
          <w:rFonts w:cs="Arial"/>
          <w:bCs/>
          <w:sz w:val="24"/>
          <w:szCs w:val="24"/>
          <w:lang w:val="es-ES"/>
        </w:rPr>
        <w:t>mico y fiscal que ha definido el Gobierno Federal en</w:t>
      </w:r>
      <w:r>
        <w:rPr>
          <w:rFonts w:cs="Arial"/>
          <w:bCs/>
          <w:sz w:val="24"/>
          <w:szCs w:val="24"/>
          <w:lang w:val="es-ES"/>
        </w:rPr>
        <w:t xml:space="preserve"> el Documento relativo al Cumplimiento de las Disposiciones Contenidas en el Artículo 42, Fracción I, de la Ley Federal de Presupuesto y Responsabilidad Hacendaria (Pre-Criterios 2019)</w:t>
      </w:r>
      <w:r w:rsidRPr="00AA2E86">
        <w:rPr>
          <w:rFonts w:cs="Arial"/>
          <w:bCs/>
          <w:sz w:val="24"/>
          <w:szCs w:val="24"/>
          <w:lang w:val="es-ES"/>
        </w:rPr>
        <w:t>.</w:t>
      </w:r>
    </w:p>
    <w:p w:rsidR="0037578E" w:rsidRDefault="0037578E" w:rsidP="0037578E">
      <w:pPr>
        <w:pStyle w:val="PRIMERAPLANA"/>
        <w:spacing w:line="360" w:lineRule="auto"/>
        <w:rPr>
          <w:rFonts w:cs="Arial"/>
          <w:bCs/>
          <w:sz w:val="24"/>
          <w:szCs w:val="24"/>
          <w:lang w:val="es-ES"/>
        </w:rPr>
      </w:pPr>
    </w:p>
    <w:p w:rsidR="0037578E" w:rsidRPr="00AA2E86" w:rsidRDefault="0037578E" w:rsidP="0037578E">
      <w:pPr>
        <w:pStyle w:val="PRIMERAPLANA"/>
        <w:spacing w:line="360" w:lineRule="auto"/>
        <w:rPr>
          <w:rFonts w:cs="Arial"/>
          <w:bCs/>
          <w:sz w:val="24"/>
          <w:szCs w:val="24"/>
          <w:lang w:val="es-ES"/>
        </w:rPr>
      </w:pPr>
      <w:r>
        <w:rPr>
          <w:rFonts w:cs="Arial"/>
          <w:bCs/>
          <w:sz w:val="24"/>
          <w:szCs w:val="24"/>
          <w:lang w:val="es-ES"/>
        </w:rPr>
        <w:t>El</w:t>
      </w:r>
      <w:r w:rsidRPr="0004561E">
        <w:rPr>
          <w:rFonts w:cs="Arial"/>
          <w:bCs/>
          <w:sz w:val="24"/>
          <w:szCs w:val="24"/>
          <w:lang w:val="es-ES"/>
        </w:rPr>
        <w:t xml:space="preserve"> art</w:t>
      </w:r>
      <w:r w:rsidRPr="0004561E">
        <w:rPr>
          <w:rFonts w:cs="Arial" w:hint="eastAsia"/>
          <w:bCs/>
          <w:sz w:val="24"/>
          <w:szCs w:val="24"/>
          <w:lang w:val="es-ES"/>
        </w:rPr>
        <w:t>í</w:t>
      </w:r>
      <w:r w:rsidRPr="0004561E">
        <w:rPr>
          <w:rFonts w:cs="Arial"/>
          <w:bCs/>
          <w:sz w:val="24"/>
          <w:szCs w:val="24"/>
          <w:lang w:val="es-ES"/>
        </w:rPr>
        <w:t>culo 5 de la Ley de Disciplina Financiera de las Entidades Federativas y los</w:t>
      </w:r>
      <w:r>
        <w:rPr>
          <w:rFonts w:cs="Arial"/>
          <w:bCs/>
          <w:sz w:val="24"/>
          <w:szCs w:val="24"/>
          <w:lang w:val="es-ES"/>
        </w:rPr>
        <w:t xml:space="preserve"> </w:t>
      </w:r>
      <w:r w:rsidRPr="0004561E">
        <w:rPr>
          <w:rFonts w:cs="Arial"/>
          <w:bCs/>
          <w:sz w:val="24"/>
          <w:szCs w:val="24"/>
          <w:lang w:val="es-ES"/>
        </w:rPr>
        <w:t>Municipios</w:t>
      </w:r>
      <w:r>
        <w:rPr>
          <w:rFonts w:cs="Arial"/>
          <w:bCs/>
          <w:sz w:val="24"/>
          <w:szCs w:val="24"/>
          <w:lang w:val="es-ES"/>
        </w:rPr>
        <w:t>,</w:t>
      </w:r>
      <w:r w:rsidRPr="0004561E">
        <w:rPr>
          <w:rFonts w:cs="Arial"/>
          <w:bCs/>
          <w:sz w:val="24"/>
          <w:szCs w:val="24"/>
          <w:lang w:val="es-ES"/>
        </w:rPr>
        <w:t xml:space="preserve"> </w:t>
      </w:r>
      <w:r>
        <w:rPr>
          <w:rFonts w:cs="Arial"/>
          <w:bCs/>
          <w:sz w:val="24"/>
          <w:szCs w:val="24"/>
          <w:lang w:val="es-ES"/>
        </w:rPr>
        <w:t>establece</w:t>
      </w:r>
      <w:r w:rsidRPr="0004561E">
        <w:rPr>
          <w:rFonts w:cs="Arial"/>
          <w:bCs/>
          <w:sz w:val="24"/>
          <w:szCs w:val="24"/>
          <w:lang w:val="es-ES"/>
        </w:rPr>
        <w:t xml:space="preserve"> que las iniciativas de la Ley de Ingresos y el Proyecto de</w:t>
      </w:r>
      <w:r>
        <w:rPr>
          <w:rFonts w:cs="Arial"/>
          <w:bCs/>
          <w:sz w:val="24"/>
          <w:szCs w:val="24"/>
          <w:lang w:val="es-ES"/>
        </w:rPr>
        <w:t xml:space="preserve"> </w:t>
      </w:r>
      <w:r w:rsidRPr="0004561E">
        <w:rPr>
          <w:rFonts w:cs="Arial"/>
          <w:bCs/>
          <w:sz w:val="24"/>
          <w:szCs w:val="24"/>
          <w:lang w:val="es-ES"/>
        </w:rPr>
        <w:t>Presupuesto de Egresos deben elaborarse conforme a lo establecido en la legislaci</w:t>
      </w:r>
      <w:r w:rsidRPr="0004561E">
        <w:rPr>
          <w:rFonts w:cs="Arial" w:hint="eastAsia"/>
          <w:bCs/>
          <w:sz w:val="24"/>
          <w:szCs w:val="24"/>
          <w:lang w:val="es-ES"/>
        </w:rPr>
        <w:t>ó</w:t>
      </w:r>
      <w:r w:rsidRPr="0004561E">
        <w:rPr>
          <w:rFonts w:cs="Arial"/>
          <w:bCs/>
          <w:sz w:val="24"/>
          <w:szCs w:val="24"/>
          <w:lang w:val="es-ES"/>
        </w:rPr>
        <w:t>n</w:t>
      </w:r>
      <w:r>
        <w:rPr>
          <w:rFonts w:cs="Arial"/>
          <w:bCs/>
          <w:sz w:val="24"/>
          <w:szCs w:val="24"/>
          <w:lang w:val="es-ES"/>
        </w:rPr>
        <w:t xml:space="preserve"> </w:t>
      </w:r>
      <w:r w:rsidRPr="0004561E">
        <w:rPr>
          <w:rFonts w:cs="Arial"/>
          <w:bCs/>
          <w:sz w:val="24"/>
          <w:szCs w:val="24"/>
          <w:lang w:val="es-ES"/>
        </w:rPr>
        <w:t>local. Adem</w:t>
      </w:r>
      <w:r w:rsidRPr="0004561E">
        <w:rPr>
          <w:rFonts w:cs="Arial" w:hint="eastAsia"/>
          <w:bCs/>
          <w:sz w:val="24"/>
          <w:szCs w:val="24"/>
          <w:lang w:val="es-ES"/>
        </w:rPr>
        <w:t>á</w:t>
      </w:r>
      <w:r w:rsidRPr="0004561E">
        <w:rPr>
          <w:rFonts w:cs="Arial"/>
          <w:bCs/>
          <w:sz w:val="24"/>
          <w:szCs w:val="24"/>
          <w:lang w:val="es-ES"/>
        </w:rPr>
        <w:t>s, contendr</w:t>
      </w:r>
      <w:r w:rsidRPr="0004561E">
        <w:rPr>
          <w:rFonts w:cs="Arial" w:hint="eastAsia"/>
          <w:bCs/>
          <w:sz w:val="24"/>
          <w:szCs w:val="24"/>
          <w:lang w:val="es-ES"/>
        </w:rPr>
        <w:t>á</w:t>
      </w:r>
      <w:r w:rsidRPr="0004561E">
        <w:rPr>
          <w:rFonts w:cs="Arial"/>
          <w:bCs/>
          <w:sz w:val="24"/>
          <w:szCs w:val="24"/>
          <w:lang w:val="es-ES"/>
        </w:rPr>
        <w:t>n entre otros los apartados siguientes: 1) Los objetivos</w:t>
      </w:r>
      <w:r>
        <w:rPr>
          <w:rFonts w:cs="Arial"/>
          <w:bCs/>
          <w:sz w:val="24"/>
          <w:szCs w:val="24"/>
          <w:lang w:val="es-ES"/>
        </w:rPr>
        <w:t xml:space="preserve"> </w:t>
      </w:r>
      <w:r w:rsidRPr="0004561E">
        <w:rPr>
          <w:rFonts w:cs="Arial"/>
          <w:bCs/>
          <w:sz w:val="24"/>
          <w:szCs w:val="24"/>
          <w:lang w:val="es-ES"/>
        </w:rPr>
        <w:t>anuales, las estrategias y las metas</w:t>
      </w:r>
      <w:r>
        <w:rPr>
          <w:rFonts w:cs="Arial"/>
          <w:bCs/>
          <w:sz w:val="24"/>
          <w:szCs w:val="24"/>
          <w:lang w:val="es-ES"/>
        </w:rPr>
        <w:t>;</w:t>
      </w:r>
      <w:r w:rsidRPr="0004561E">
        <w:rPr>
          <w:rFonts w:cs="Arial"/>
          <w:bCs/>
          <w:sz w:val="24"/>
          <w:szCs w:val="24"/>
          <w:lang w:val="es-ES"/>
        </w:rPr>
        <w:t xml:space="preserve"> 2) Las proyecciones de finanzas p</w:t>
      </w:r>
      <w:r w:rsidRPr="0004561E">
        <w:rPr>
          <w:rFonts w:cs="Arial" w:hint="eastAsia"/>
          <w:bCs/>
          <w:sz w:val="24"/>
          <w:szCs w:val="24"/>
          <w:lang w:val="es-ES"/>
        </w:rPr>
        <w:t>ú</w:t>
      </w:r>
      <w:r w:rsidRPr="0004561E">
        <w:rPr>
          <w:rFonts w:cs="Arial"/>
          <w:bCs/>
          <w:sz w:val="24"/>
          <w:szCs w:val="24"/>
          <w:lang w:val="es-ES"/>
        </w:rPr>
        <w:t>blicas a partir</w:t>
      </w:r>
      <w:r>
        <w:rPr>
          <w:rFonts w:cs="Arial"/>
          <w:bCs/>
          <w:sz w:val="24"/>
          <w:szCs w:val="24"/>
          <w:lang w:val="es-ES"/>
        </w:rPr>
        <w:t xml:space="preserve"> </w:t>
      </w:r>
      <w:r w:rsidRPr="0004561E">
        <w:rPr>
          <w:rFonts w:cs="Arial"/>
          <w:bCs/>
          <w:sz w:val="24"/>
          <w:szCs w:val="24"/>
          <w:lang w:val="es-ES"/>
        </w:rPr>
        <w:t>de los Criterios Generales de Pol</w:t>
      </w:r>
      <w:r w:rsidRPr="0004561E">
        <w:rPr>
          <w:rFonts w:cs="Arial" w:hint="eastAsia"/>
          <w:bCs/>
          <w:sz w:val="24"/>
          <w:szCs w:val="24"/>
          <w:lang w:val="es-ES"/>
        </w:rPr>
        <w:t>í</w:t>
      </w:r>
      <w:r w:rsidRPr="0004561E">
        <w:rPr>
          <w:rFonts w:cs="Arial"/>
          <w:bCs/>
          <w:sz w:val="24"/>
          <w:szCs w:val="24"/>
          <w:lang w:val="es-ES"/>
        </w:rPr>
        <w:t>tica Econ</w:t>
      </w:r>
      <w:r w:rsidRPr="0004561E">
        <w:rPr>
          <w:rFonts w:cs="Arial" w:hint="eastAsia"/>
          <w:bCs/>
          <w:sz w:val="24"/>
          <w:szCs w:val="24"/>
          <w:lang w:val="es-ES"/>
        </w:rPr>
        <w:t>ó</w:t>
      </w:r>
      <w:r w:rsidRPr="0004561E">
        <w:rPr>
          <w:rFonts w:cs="Arial"/>
          <w:bCs/>
          <w:sz w:val="24"/>
          <w:szCs w:val="24"/>
          <w:lang w:val="es-ES"/>
        </w:rPr>
        <w:t>mica del gobierno federal, as</w:t>
      </w:r>
      <w:r w:rsidRPr="0004561E">
        <w:rPr>
          <w:rFonts w:cs="Arial" w:hint="eastAsia"/>
          <w:bCs/>
          <w:sz w:val="24"/>
          <w:szCs w:val="24"/>
          <w:lang w:val="es-ES"/>
        </w:rPr>
        <w:t>í</w:t>
      </w:r>
      <w:r w:rsidRPr="0004561E">
        <w:rPr>
          <w:rFonts w:cs="Arial"/>
          <w:bCs/>
          <w:sz w:val="24"/>
          <w:szCs w:val="24"/>
          <w:lang w:val="es-ES"/>
        </w:rPr>
        <w:t xml:space="preserve"> como la</w:t>
      </w:r>
      <w:r>
        <w:rPr>
          <w:rFonts w:cs="Arial"/>
          <w:bCs/>
          <w:sz w:val="24"/>
          <w:szCs w:val="24"/>
          <w:lang w:val="es-ES"/>
        </w:rPr>
        <w:t xml:space="preserve"> </w:t>
      </w:r>
      <w:r w:rsidRPr="0004561E">
        <w:rPr>
          <w:rFonts w:cs="Arial"/>
          <w:bCs/>
          <w:sz w:val="24"/>
          <w:szCs w:val="24"/>
          <w:lang w:val="es-ES"/>
        </w:rPr>
        <w:t>estimaci</w:t>
      </w:r>
      <w:r w:rsidRPr="0004561E">
        <w:rPr>
          <w:rFonts w:cs="Arial" w:hint="eastAsia"/>
          <w:bCs/>
          <w:sz w:val="24"/>
          <w:szCs w:val="24"/>
          <w:lang w:val="es-ES"/>
        </w:rPr>
        <w:t>ó</w:t>
      </w:r>
      <w:r w:rsidRPr="0004561E">
        <w:rPr>
          <w:rFonts w:cs="Arial"/>
          <w:bCs/>
          <w:sz w:val="24"/>
          <w:szCs w:val="24"/>
          <w:lang w:val="es-ES"/>
        </w:rPr>
        <w:t>n de las transferencias federales etiquetadas y no etiquetadas</w:t>
      </w:r>
      <w:r>
        <w:rPr>
          <w:rFonts w:cs="Arial"/>
          <w:bCs/>
          <w:sz w:val="24"/>
          <w:szCs w:val="24"/>
          <w:lang w:val="es-ES"/>
        </w:rPr>
        <w:t>;</w:t>
      </w:r>
      <w:r w:rsidRPr="0004561E">
        <w:rPr>
          <w:rFonts w:cs="Arial"/>
          <w:bCs/>
          <w:sz w:val="24"/>
          <w:szCs w:val="24"/>
          <w:lang w:val="es-ES"/>
        </w:rPr>
        <w:t xml:space="preserve"> y 3) La</w:t>
      </w:r>
      <w:r>
        <w:rPr>
          <w:rFonts w:cs="Arial"/>
          <w:bCs/>
          <w:sz w:val="24"/>
          <w:szCs w:val="24"/>
          <w:lang w:val="es-ES"/>
        </w:rPr>
        <w:t xml:space="preserve"> </w:t>
      </w:r>
      <w:r w:rsidRPr="0004561E">
        <w:rPr>
          <w:rFonts w:cs="Arial"/>
          <w:bCs/>
          <w:sz w:val="24"/>
          <w:szCs w:val="24"/>
          <w:lang w:val="es-ES"/>
        </w:rPr>
        <w:t>identificaci</w:t>
      </w:r>
      <w:r w:rsidRPr="0004561E">
        <w:rPr>
          <w:rFonts w:cs="Arial" w:hint="eastAsia"/>
          <w:bCs/>
          <w:sz w:val="24"/>
          <w:szCs w:val="24"/>
          <w:lang w:val="es-ES"/>
        </w:rPr>
        <w:t>ó</w:t>
      </w:r>
      <w:r w:rsidRPr="0004561E">
        <w:rPr>
          <w:rFonts w:cs="Arial"/>
          <w:bCs/>
          <w:sz w:val="24"/>
          <w:szCs w:val="24"/>
          <w:lang w:val="es-ES"/>
        </w:rPr>
        <w:t>n de los riesgos relevantes para las finanzas p</w:t>
      </w:r>
      <w:r w:rsidRPr="0004561E">
        <w:rPr>
          <w:rFonts w:cs="Arial" w:hint="eastAsia"/>
          <w:bCs/>
          <w:sz w:val="24"/>
          <w:szCs w:val="24"/>
          <w:lang w:val="es-ES"/>
        </w:rPr>
        <w:t>ú</w:t>
      </w:r>
      <w:r w:rsidRPr="0004561E">
        <w:rPr>
          <w:rFonts w:cs="Arial"/>
          <w:bCs/>
          <w:sz w:val="24"/>
          <w:szCs w:val="24"/>
          <w:lang w:val="es-ES"/>
        </w:rPr>
        <w:t>blicas, incluyendo los</w:t>
      </w:r>
      <w:r>
        <w:rPr>
          <w:rFonts w:cs="Arial"/>
          <w:bCs/>
          <w:sz w:val="24"/>
          <w:szCs w:val="24"/>
          <w:lang w:val="es-ES"/>
        </w:rPr>
        <w:t xml:space="preserve"> </w:t>
      </w:r>
      <w:r w:rsidRPr="0004561E">
        <w:rPr>
          <w:rFonts w:cs="Arial"/>
          <w:bCs/>
          <w:sz w:val="24"/>
          <w:szCs w:val="24"/>
          <w:lang w:val="es-ES"/>
        </w:rPr>
        <w:t>montos de la deuda contingente</w:t>
      </w:r>
      <w:r>
        <w:rPr>
          <w:rFonts w:cs="Arial"/>
          <w:bCs/>
          <w:sz w:val="24"/>
          <w:szCs w:val="24"/>
          <w:lang w:val="es-ES"/>
        </w:rPr>
        <w:t xml:space="preserve">. </w:t>
      </w:r>
    </w:p>
    <w:p w:rsidR="0037578E" w:rsidRDefault="0037578E" w:rsidP="0037578E">
      <w:pPr>
        <w:pStyle w:val="PRIMERAPLANA"/>
        <w:spacing w:line="360" w:lineRule="auto"/>
        <w:rPr>
          <w:rFonts w:cs="Arial"/>
          <w:bCs/>
          <w:sz w:val="24"/>
          <w:szCs w:val="24"/>
        </w:rPr>
      </w:pPr>
    </w:p>
    <w:p w:rsidR="0037578E" w:rsidRDefault="0037578E" w:rsidP="0037578E">
      <w:pPr>
        <w:pStyle w:val="PRIMERAPLANA"/>
        <w:spacing w:line="360" w:lineRule="auto"/>
        <w:rPr>
          <w:rFonts w:cs="Arial"/>
          <w:bCs/>
          <w:sz w:val="24"/>
          <w:szCs w:val="24"/>
          <w:lang w:val="es-ES"/>
        </w:rPr>
      </w:pPr>
      <w:r>
        <w:rPr>
          <w:rFonts w:cs="Arial"/>
          <w:bCs/>
          <w:sz w:val="24"/>
          <w:szCs w:val="24"/>
        </w:rPr>
        <w:lastRenderedPageBreak/>
        <w:t xml:space="preserve">Para </w:t>
      </w:r>
      <w:r w:rsidRPr="00E53733">
        <w:rPr>
          <w:rFonts w:cs="Arial"/>
          <w:bCs/>
          <w:sz w:val="24"/>
          <w:szCs w:val="24"/>
          <w:lang w:val="es-ES"/>
        </w:rPr>
        <w:t>el uso eficiente de los recursos públicos y la promoción óptima del desarrollo del Estado</w:t>
      </w:r>
      <w:r>
        <w:rPr>
          <w:rFonts w:cs="Arial"/>
          <w:bCs/>
          <w:sz w:val="24"/>
          <w:szCs w:val="24"/>
          <w:lang w:val="es-ES"/>
        </w:rPr>
        <w:t>, esta</w:t>
      </w:r>
      <w:r>
        <w:rPr>
          <w:rFonts w:cs="Arial"/>
          <w:bCs/>
          <w:sz w:val="24"/>
          <w:szCs w:val="24"/>
        </w:rPr>
        <w:t xml:space="preserve"> Administración ha considerado </w:t>
      </w:r>
      <w:r>
        <w:rPr>
          <w:rFonts w:cs="Arial"/>
          <w:bCs/>
          <w:sz w:val="24"/>
          <w:szCs w:val="24"/>
          <w:lang w:val="es-ES"/>
        </w:rPr>
        <w:t>como</w:t>
      </w:r>
      <w:r w:rsidRPr="00E53733">
        <w:rPr>
          <w:rFonts w:cs="Arial"/>
          <w:bCs/>
          <w:sz w:val="24"/>
          <w:szCs w:val="24"/>
          <w:lang w:val="es-ES"/>
        </w:rPr>
        <w:t xml:space="preserve"> un pilar fundamental la gestión basada en resultados, cuyo objetivo es el construir un gobierno abierto, democrático, organizado y orientado al logro de resultados.</w:t>
      </w:r>
    </w:p>
    <w:p w:rsidR="0037578E" w:rsidRDefault="0037578E"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B8501C" w:rsidRDefault="00B8501C" w:rsidP="0037578E">
      <w:pPr>
        <w:pStyle w:val="PRIMERAPLANA"/>
        <w:spacing w:line="360" w:lineRule="auto"/>
        <w:rPr>
          <w:rFonts w:cs="Arial"/>
          <w:bCs/>
          <w:sz w:val="24"/>
          <w:szCs w:val="24"/>
          <w:lang w:val="es-ES"/>
        </w:rPr>
      </w:pPr>
    </w:p>
    <w:p w:rsidR="00711CF9" w:rsidRDefault="00711CF9" w:rsidP="0037578E">
      <w:pPr>
        <w:pStyle w:val="PRIMERAPLANA"/>
        <w:spacing w:line="360" w:lineRule="auto"/>
        <w:rPr>
          <w:rFonts w:cs="Arial"/>
          <w:bCs/>
          <w:sz w:val="24"/>
          <w:szCs w:val="24"/>
          <w:lang w:val="es-ES"/>
        </w:rPr>
      </w:pPr>
    </w:p>
    <w:p w:rsidR="00711CF9" w:rsidRDefault="00711CF9" w:rsidP="0037578E">
      <w:pPr>
        <w:pStyle w:val="PRIMERAPLANA"/>
        <w:spacing w:line="360" w:lineRule="auto"/>
        <w:rPr>
          <w:rFonts w:cs="Arial"/>
          <w:bCs/>
          <w:sz w:val="24"/>
          <w:szCs w:val="24"/>
          <w:lang w:val="es-ES"/>
        </w:rPr>
      </w:pPr>
    </w:p>
    <w:p w:rsidR="00711CF9" w:rsidRDefault="00711CF9" w:rsidP="0037578E">
      <w:pPr>
        <w:pStyle w:val="PRIMERAPLANA"/>
        <w:spacing w:line="360" w:lineRule="auto"/>
        <w:rPr>
          <w:rFonts w:cs="Arial"/>
          <w:bCs/>
          <w:sz w:val="24"/>
          <w:szCs w:val="24"/>
          <w:lang w:val="es-ES"/>
        </w:rPr>
      </w:pPr>
    </w:p>
    <w:p w:rsidR="00711CF9" w:rsidRDefault="00711CF9" w:rsidP="0037578E">
      <w:pPr>
        <w:pStyle w:val="PRIMERAPLANA"/>
        <w:spacing w:line="360" w:lineRule="auto"/>
        <w:rPr>
          <w:rFonts w:cs="Arial"/>
          <w:bCs/>
          <w:sz w:val="24"/>
          <w:szCs w:val="24"/>
          <w:lang w:val="es-ES"/>
        </w:rPr>
      </w:pPr>
    </w:p>
    <w:p w:rsidR="00711CF9" w:rsidRDefault="00711CF9" w:rsidP="0037578E">
      <w:pPr>
        <w:pStyle w:val="PRIMERAPLANA"/>
        <w:spacing w:line="360" w:lineRule="auto"/>
        <w:rPr>
          <w:rFonts w:cs="Arial"/>
          <w:bCs/>
          <w:sz w:val="24"/>
          <w:szCs w:val="24"/>
          <w:lang w:val="es-ES"/>
        </w:rPr>
      </w:pPr>
    </w:p>
    <w:p w:rsidR="00711CF9" w:rsidRDefault="00711CF9" w:rsidP="0037578E">
      <w:pPr>
        <w:pStyle w:val="PRIMERAPLANA"/>
        <w:spacing w:line="360" w:lineRule="auto"/>
        <w:rPr>
          <w:rFonts w:cs="Arial"/>
          <w:bCs/>
          <w:sz w:val="24"/>
          <w:szCs w:val="24"/>
          <w:lang w:val="es-ES"/>
        </w:rPr>
      </w:pPr>
    </w:p>
    <w:p w:rsidR="00711CF9" w:rsidRDefault="00711CF9" w:rsidP="0037578E">
      <w:pPr>
        <w:pStyle w:val="PRIMERAPLANA"/>
        <w:spacing w:line="360" w:lineRule="auto"/>
        <w:rPr>
          <w:rFonts w:cs="Arial"/>
          <w:bCs/>
          <w:sz w:val="24"/>
          <w:szCs w:val="24"/>
          <w:lang w:val="es-ES"/>
        </w:rPr>
      </w:pPr>
    </w:p>
    <w:p w:rsidR="00711CF9" w:rsidRDefault="00711CF9" w:rsidP="0037578E">
      <w:pPr>
        <w:pStyle w:val="PRIMERAPLANA"/>
        <w:spacing w:line="360" w:lineRule="auto"/>
        <w:rPr>
          <w:rFonts w:cs="Arial"/>
          <w:bCs/>
          <w:sz w:val="24"/>
          <w:szCs w:val="24"/>
          <w:lang w:val="es-ES"/>
        </w:rPr>
      </w:pPr>
    </w:p>
    <w:p w:rsidR="00711CF9" w:rsidRPr="00710A06" w:rsidRDefault="00711CF9" w:rsidP="00F36D7A">
      <w:pPr>
        <w:pStyle w:val="Prrafodelista"/>
        <w:numPr>
          <w:ilvl w:val="0"/>
          <w:numId w:val="15"/>
        </w:numPr>
        <w:spacing w:line="360" w:lineRule="auto"/>
        <w:ind w:left="709"/>
        <w:contextualSpacing/>
        <w:rPr>
          <w:rFonts w:ascii="Arial" w:hAnsi="Arial" w:cs="Arial"/>
          <w:b/>
        </w:rPr>
      </w:pPr>
      <w:r w:rsidRPr="00710A06">
        <w:rPr>
          <w:rFonts w:ascii="Arial" w:hAnsi="Arial" w:cs="Arial"/>
          <w:b/>
        </w:rPr>
        <w:lastRenderedPageBreak/>
        <w:t>EN MATERIA DE INGRESOS</w:t>
      </w:r>
    </w:p>
    <w:p w:rsidR="00711CF9" w:rsidRPr="00710A06" w:rsidRDefault="00711CF9" w:rsidP="00711CF9">
      <w:pPr>
        <w:spacing w:line="360" w:lineRule="auto"/>
        <w:rPr>
          <w:rFonts w:ascii="Arial" w:hAnsi="Arial" w:cs="Arial"/>
        </w:rPr>
      </w:pPr>
    </w:p>
    <w:p w:rsidR="00711CF9" w:rsidRPr="00710A06" w:rsidRDefault="00711CF9" w:rsidP="00711CF9">
      <w:pPr>
        <w:pStyle w:val="PRIMERAPLANA"/>
        <w:spacing w:line="360" w:lineRule="auto"/>
        <w:rPr>
          <w:rFonts w:cs="Arial"/>
          <w:b/>
          <w:sz w:val="24"/>
          <w:szCs w:val="24"/>
          <w:lang w:val="es-ES"/>
        </w:rPr>
      </w:pPr>
      <w:r w:rsidRPr="00710A06">
        <w:rPr>
          <w:rFonts w:cs="Arial"/>
          <w:b/>
          <w:sz w:val="24"/>
          <w:szCs w:val="24"/>
          <w:lang w:val="es-ES"/>
        </w:rPr>
        <w:t>CONSIDERACIONES GENERALES</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sidRPr="000A59C5">
        <w:rPr>
          <w:rFonts w:cs="Arial"/>
          <w:bCs/>
          <w:sz w:val="24"/>
          <w:szCs w:val="24"/>
          <w:lang w:val="es-ES"/>
        </w:rPr>
        <w:t>Para 2018 y 2019, se prevé una mejora en</w:t>
      </w:r>
      <w:r>
        <w:rPr>
          <w:rFonts w:cs="Arial"/>
          <w:bCs/>
          <w:sz w:val="24"/>
          <w:szCs w:val="24"/>
          <w:lang w:val="es-ES"/>
        </w:rPr>
        <w:t xml:space="preserve"> </w:t>
      </w:r>
      <w:r w:rsidRPr="000A59C5">
        <w:rPr>
          <w:rFonts w:cs="Arial"/>
          <w:bCs/>
          <w:sz w:val="24"/>
          <w:szCs w:val="24"/>
          <w:lang w:val="es-ES"/>
        </w:rPr>
        <w:t>las perspectivas globales, las cuales además se han revisado al alza. En enero de 2018,</w:t>
      </w:r>
      <w:r>
        <w:rPr>
          <w:rFonts w:cs="Arial"/>
          <w:bCs/>
          <w:sz w:val="24"/>
          <w:szCs w:val="24"/>
          <w:lang w:val="es-ES"/>
        </w:rPr>
        <w:t xml:space="preserve"> </w:t>
      </w:r>
      <w:r w:rsidRPr="000A59C5">
        <w:rPr>
          <w:rFonts w:cs="Arial"/>
          <w:bCs/>
          <w:sz w:val="24"/>
          <w:szCs w:val="24"/>
          <w:lang w:val="es-ES"/>
        </w:rPr>
        <w:t>el Fondo Monetario Internacional (FMI) incrementó el estimado de crecimiento del P</w:t>
      </w:r>
      <w:r>
        <w:rPr>
          <w:rFonts w:cs="Arial"/>
          <w:bCs/>
          <w:sz w:val="24"/>
          <w:szCs w:val="24"/>
          <w:lang w:val="es-ES"/>
        </w:rPr>
        <w:t xml:space="preserve">roducto </w:t>
      </w:r>
      <w:r w:rsidRPr="000A59C5">
        <w:rPr>
          <w:rFonts w:cs="Arial"/>
          <w:bCs/>
          <w:sz w:val="24"/>
          <w:szCs w:val="24"/>
          <w:lang w:val="es-ES"/>
        </w:rPr>
        <w:t>I</w:t>
      </w:r>
      <w:r>
        <w:rPr>
          <w:rFonts w:cs="Arial"/>
          <w:bCs/>
          <w:sz w:val="24"/>
          <w:szCs w:val="24"/>
          <w:lang w:val="es-ES"/>
        </w:rPr>
        <w:t xml:space="preserve">nterno </w:t>
      </w:r>
      <w:r w:rsidRPr="000A59C5">
        <w:rPr>
          <w:rFonts w:cs="Arial"/>
          <w:bCs/>
          <w:sz w:val="24"/>
          <w:szCs w:val="24"/>
          <w:lang w:val="es-ES"/>
        </w:rPr>
        <w:t>B</w:t>
      </w:r>
      <w:r>
        <w:rPr>
          <w:rFonts w:cs="Arial"/>
          <w:bCs/>
          <w:sz w:val="24"/>
          <w:szCs w:val="24"/>
          <w:lang w:val="es-ES"/>
        </w:rPr>
        <w:t xml:space="preserve">ruto </w:t>
      </w:r>
      <w:r w:rsidRPr="000A59C5">
        <w:rPr>
          <w:rFonts w:cs="Arial"/>
          <w:bCs/>
          <w:sz w:val="24"/>
          <w:szCs w:val="24"/>
          <w:lang w:val="es-ES"/>
        </w:rPr>
        <w:t>mundial de 3.7</w:t>
      </w:r>
      <w:r>
        <w:rPr>
          <w:rFonts w:cs="Arial"/>
          <w:bCs/>
          <w:sz w:val="24"/>
          <w:szCs w:val="24"/>
          <w:lang w:val="es-ES"/>
        </w:rPr>
        <w:t>%</w:t>
      </w:r>
      <w:r w:rsidRPr="000A59C5">
        <w:rPr>
          <w:rFonts w:cs="Arial"/>
          <w:bCs/>
          <w:sz w:val="24"/>
          <w:szCs w:val="24"/>
          <w:lang w:val="es-ES"/>
        </w:rPr>
        <w:t xml:space="preserve"> a 3.9%, tanto para 2018 como para 2019. Este comportamiento refleja</w:t>
      </w:r>
      <w:r>
        <w:rPr>
          <w:rFonts w:cs="Arial"/>
          <w:bCs/>
          <w:sz w:val="24"/>
          <w:szCs w:val="24"/>
          <w:lang w:val="es-ES"/>
        </w:rPr>
        <w:t xml:space="preserve"> </w:t>
      </w:r>
      <w:r w:rsidRPr="000A59C5">
        <w:rPr>
          <w:rFonts w:cs="Arial"/>
          <w:bCs/>
          <w:sz w:val="24"/>
          <w:szCs w:val="24"/>
          <w:lang w:val="es-ES"/>
        </w:rPr>
        <w:t>el repunte en la economía de E</w:t>
      </w:r>
      <w:r>
        <w:rPr>
          <w:rFonts w:cs="Arial"/>
          <w:bCs/>
          <w:sz w:val="24"/>
          <w:szCs w:val="24"/>
          <w:lang w:val="es-ES"/>
        </w:rPr>
        <w:t xml:space="preserve">stados </w:t>
      </w:r>
      <w:r w:rsidRPr="000A59C5">
        <w:rPr>
          <w:rFonts w:cs="Arial"/>
          <w:bCs/>
          <w:sz w:val="24"/>
          <w:szCs w:val="24"/>
          <w:lang w:val="es-ES"/>
        </w:rPr>
        <w:t>U</w:t>
      </w:r>
      <w:r>
        <w:rPr>
          <w:rFonts w:cs="Arial"/>
          <w:bCs/>
          <w:sz w:val="24"/>
          <w:szCs w:val="24"/>
          <w:lang w:val="es-ES"/>
        </w:rPr>
        <w:t>nidos</w:t>
      </w:r>
      <w:r w:rsidRPr="000A59C5">
        <w:rPr>
          <w:rFonts w:cs="Arial"/>
          <w:bCs/>
          <w:sz w:val="24"/>
          <w:szCs w:val="24"/>
          <w:lang w:val="es-ES"/>
        </w:rPr>
        <w:t>, en parte por los efectos esperados de la</w:t>
      </w:r>
      <w:r>
        <w:rPr>
          <w:rFonts w:cs="Arial"/>
          <w:bCs/>
          <w:sz w:val="24"/>
          <w:szCs w:val="24"/>
          <w:lang w:val="es-ES"/>
        </w:rPr>
        <w:t xml:space="preserve"> </w:t>
      </w:r>
      <w:r w:rsidRPr="000A59C5">
        <w:rPr>
          <w:rFonts w:cs="Arial"/>
          <w:bCs/>
          <w:sz w:val="24"/>
          <w:szCs w:val="24"/>
          <w:lang w:val="es-ES"/>
        </w:rPr>
        <w:t>implementación de la Reforma Fiscal en ese país, y la recuperación de la demanda</w:t>
      </w:r>
      <w:r>
        <w:rPr>
          <w:rFonts w:cs="Arial"/>
          <w:bCs/>
          <w:sz w:val="24"/>
          <w:szCs w:val="24"/>
          <w:lang w:val="es-ES"/>
        </w:rPr>
        <w:t xml:space="preserve"> </w:t>
      </w:r>
      <w:r w:rsidRPr="000A59C5">
        <w:rPr>
          <w:rFonts w:cs="Arial"/>
          <w:bCs/>
          <w:sz w:val="24"/>
          <w:szCs w:val="24"/>
          <w:lang w:val="es-ES"/>
        </w:rPr>
        <w:t>interna y externa en la Unión Europea (UE).</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sidRPr="000A59C5">
        <w:rPr>
          <w:rFonts w:cs="Arial"/>
          <w:bCs/>
          <w:sz w:val="24"/>
          <w:szCs w:val="24"/>
          <w:lang w:val="es-ES"/>
        </w:rPr>
        <w:t>La economía mexicana se ha mostrado resiliente gracias a la solidez de sus</w:t>
      </w:r>
      <w:r>
        <w:rPr>
          <w:rFonts w:cs="Arial"/>
          <w:bCs/>
          <w:sz w:val="24"/>
          <w:szCs w:val="24"/>
          <w:lang w:val="es-ES"/>
        </w:rPr>
        <w:t xml:space="preserve"> </w:t>
      </w:r>
      <w:r w:rsidRPr="000A59C5">
        <w:rPr>
          <w:rFonts w:cs="Arial"/>
          <w:bCs/>
          <w:sz w:val="24"/>
          <w:szCs w:val="24"/>
          <w:lang w:val="es-ES"/>
        </w:rPr>
        <w:t>fundamentos macroeconómicos que se han visto robustecidos por la consolidación</w:t>
      </w:r>
      <w:r>
        <w:rPr>
          <w:rFonts w:cs="Arial"/>
          <w:bCs/>
          <w:sz w:val="24"/>
          <w:szCs w:val="24"/>
          <w:lang w:val="es-ES"/>
        </w:rPr>
        <w:t xml:space="preserve"> </w:t>
      </w:r>
      <w:r w:rsidRPr="000A59C5">
        <w:rPr>
          <w:rFonts w:cs="Arial"/>
          <w:bCs/>
          <w:sz w:val="24"/>
          <w:szCs w:val="24"/>
          <w:lang w:val="es-ES"/>
        </w:rPr>
        <w:t>fiscal y una política monetaria autónoma y creíble. El avance en la implementación de</w:t>
      </w:r>
      <w:r>
        <w:rPr>
          <w:rFonts w:cs="Arial"/>
          <w:bCs/>
          <w:sz w:val="24"/>
          <w:szCs w:val="24"/>
          <w:lang w:val="es-ES"/>
        </w:rPr>
        <w:t xml:space="preserve"> </w:t>
      </w:r>
      <w:r w:rsidRPr="000A59C5">
        <w:rPr>
          <w:rFonts w:cs="Arial"/>
          <w:bCs/>
          <w:sz w:val="24"/>
          <w:szCs w:val="24"/>
          <w:lang w:val="es-ES"/>
        </w:rPr>
        <w:t>las Reformas Estructurales ha favorecido el crecimiento económico</w:t>
      </w:r>
      <w:r>
        <w:rPr>
          <w:rFonts w:cs="Arial"/>
          <w:bCs/>
          <w:sz w:val="24"/>
          <w:szCs w:val="24"/>
          <w:lang w:val="es-ES"/>
        </w:rPr>
        <w:t>; se</w:t>
      </w:r>
      <w:r w:rsidRPr="000A59C5">
        <w:rPr>
          <w:rFonts w:cs="Arial"/>
          <w:bCs/>
          <w:sz w:val="24"/>
          <w:szCs w:val="24"/>
          <w:lang w:val="es-ES"/>
        </w:rPr>
        <w:t xml:space="preserve"> estima que las exportaciones continúen con un desempeño positivo,</w:t>
      </w:r>
      <w:r>
        <w:rPr>
          <w:rFonts w:cs="Arial"/>
          <w:bCs/>
          <w:sz w:val="24"/>
          <w:szCs w:val="24"/>
          <w:lang w:val="es-ES"/>
        </w:rPr>
        <w:t xml:space="preserve"> </w:t>
      </w:r>
      <w:r w:rsidRPr="000A59C5">
        <w:rPr>
          <w:rFonts w:cs="Arial"/>
          <w:bCs/>
          <w:sz w:val="24"/>
          <w:szCs w:val="24"/>
          <w:lang w:val="es-ES"/>
        </w:rPr>
        <w:t>consistente con una mejora en la producción industrial de E</w:t>
      </w:r>
      <w:r>
        <w:rPr>
          <w:rFonts w:cs="Arial"/>
          <w:bCs/>
          <w:sz w:val="24"/>
          <w:szCs w:val="24"/>
          <w:lang w:val="es-ES"/>
        </w:rPr>
        <w:t xml:space="preserve">stados </w:t>
      </w:r>
      <w:r w:rsidRPr="000A59C5">
        <w:rPr>
          <w:rFonts w:cs="Arial"/>
          <w:bCs/>
          <w:sz w:val="24"/>
          <w:szCs w:val="24"/>
          <w:lang w:val="es-ES"/>
        </w:rPr>
        <w:t>U</w:t>
      </w:r>
      <w:r>
        <w:rPr>
          <w:rFonts w:cs="Arial"/>
          <w:bCs/>
          <w:sz w:val="24"/>
          <w:szCs w:val="24"/>
          <w:lang w:val="es-ES"/>
        </w:rPr>
        <w:t>nidos</w:t>
      </w:r>
      <w:r w:rsidRPr="000A59C5">
        <w:rPr>
          <w:rFonts w:cs="Arial"/>
          <w:bCs/>
          <w:sz w:val="24"/>
          <w:szCs w:val="24"/>
          <w:lang w:val="es-ES"/>
        </w:rPr>
        <w:t>. Por otro lado, se prevé</w:t>
      </w:r>
      <w:r>
        <w:rPr>
          <w:rFonts w:cs="Arial"/>
          <w:bCs/>
          <w:sz w:val="24"/>
          <w:szCs w:val="24"/>
          <w:lang w:val="es-ES"/>
        </w:rPr>
        <w:t xml:space="preserve"> </w:t>
      </w:r>
      <w:r w:rsidRPr="000A59C5">
        <w:rPr>
          <w:rFonts w:cs="Arial"/>
          <w:bCs/>
          <w:sz w:val="24"/>
          <w:szCs w:val="24"/>
          <w:lang w:val="es-ES"/>
        </w:rPr>
        <w:t>un mercado interno impulsado por el consumo privado. Asimismo, se prevé que la</w:t>
      </w:r>
      <w:r>
        <w:rPr>
          <w:rFonts w:cs="Arial"/>
          <w:bCs/>
          <w:sz w:val="24"/>
          <w:szCs w:val="24"/>
          <w:lang w:val="es-ES"/>
        </w:rPr>
        <w:t xml:space="preserve"> </w:t>
      </w:r>
      <w:r w:rsidRPr="000A59C5">
        <w:rPr>
          <w:rFonts w:cs="Arial"/>
          <w:bCs/>
          <w:sz w:val="24"/>
          <w:szCs w:val="24"/>
          <w:lang w:val="es-ES"/>
        </w:rPr>
        <w:t>plataforma de producción petrolera deje de tener un impacto negativo sobre el</w:t>
      </w:r>
      <w:r>
        <w:rPr>
          <w:rFonts w:cs="Arial"/>
          <w:bCs/>
          <w:sz w:val="24"/>
          <w:szCs w:val="24"/>
          <w:lang w:val="es-ES"/>
        </w:rPr>
        <w:t xml:space="preserve"> </w:t>
      </w:r>
      <w:r w:rsidRPr="000A59C5">
        <w:rPr>
          <w:rFonts w:cs="Arial"/>
          <w:bCs/>
          <w:sz w:val="24"/>
          <w:szCs w:val="24"/>
          <w:lang w:val="es-ES"/>
        </w:rPr>
        <w:t>crecimiento económico. Por último, se espera que la inflación disminuya en 2018 y</w:t>
      </w:r>
      <w:r>
        <w:rPr>
          <w:rFonts w:cs="Arial"/>
          <w:bCs/>
          <w:sz w:val="24"/>
          <w:szCs w:val="24"/>
          <w:lang w:val="es-ES"/>
        </w:rPr>
        <w:t xml:space="preserve"> </w:t>
      </w:r>
      <w:r w:rsidRPr="000A59C5">
        <w:rPr>
          <w:rFonts w:cs="Arial"/>
          <w:bCs/>
          <w:sz w:val="24"/>
          <w:szCs w:val="24"/>
          <w:lang w:val="es-ES"/>
        </w:rPr>
        <w:t>2019, después del aumento temporal observado en 2017.</w:t>
      </w:r>
    </w:p>
    <w:p w:rsidR="0037578E" w:rsidRPr="00C15556" w:rsidRDefault="0037578E" w:rsidP="0037578E">
      <w:pPr>
        <w:pStyle w:val="PRIMERAPLANA"/>
        <w:spacing w:line="360" w:lineRule="auto"/>
        <w:rPr>
          <w:rFonts w:cs="Arial"/>
          <w:bCs/>
          <w:sz w:val="24"/>
          <w:szCs w:val="24"/>
          <w:lang w:val="es-ES"/>
        </w:rPr>
      </w:pPr>
      <w:r w:rsidRPr="00C15556">
        <w:rPr>
          <w:rFonts w:cs="Arial"/>
          <w:bCs/>
          <w:sz w:val="24"/>
          <w:szCs w:val="24"/>
          <w:lang w:val="es-ES"/>
        </w:rPr>
        <w:lastRenderedPageBreak/>
        <w:t>Considerando el entorno externo descrito y la evolución reciente de la actividad</w:t>
      </w:r>
      <w:r>
        <w:rPr>
          <w:rFonts w:cs="Arial"/>
          <w:bCs/>
          <w:sz w:val="24"/>
          <w:szCs w:val="24"/>
          <w:lang w:val="es-ES"/>
        </w:rPr>
        <w:t xml:space="preserve"> </w:t>
      </w:r>
      <w:r w:rsidRPr="00C15556">
        <w:rPr>
          <w:rFonts w:cs="Arial"/>
          <w:bCs/>
          <w:sz w:val="24"/>
          <w:szCs w:val="24"/>
          <w:lang w:val="es-ES"/>
        </w:rPr>
        <w:t>económica, se anticipa que en 2018 el PIB de México crezca entre 2.0 y 3.0%. Para</w:t>
      </w:r>
      <w:r>
        <w:rPr>
          <w:rFonts w:cs="Arial"/>
          <w:bCs/>
          <w:sz w:val="24"/>
          <w:szCs w:val="24"/>
          <w:lang w:val="es-ES"/>
        </w:rPr>
        <w:t xml:space="preserve"> </w:t>
      </w:r>
      <w:r w:rsidRPr="00C15556">
        <w:rPr>
          <w:rFonts w:cs="Arial"/>
          <w:bCs/>
          <w:sz w:val="24"/>
          <w:szCs w:val="24"/>
          <w:lang w:val="es-ES"/>
        </w:rPr>
        <w:t>2019 se anticipa una expansión de entre 2.5</w:t>
      </w:r>
      <w:r>
        <w:rPr>
          <w:rFonts w:cs="Arial"/>
          <w:bCs/>
          <w:sz w:val="24"/>
          <w:szCs w:val="24"/>
          <w:lang w:val="es-ES"/>
        </w:rPr>
        <w:t>%</w:t>
      </w:r>
      <w:r w:rsidRPr="00C15556">
        <w:rPr>
          <w:rFonts w:cs="Arial"/>
          <w:bCs/>
          <w:sz w:val="24"/>
          <w:szCs w:val="24"/>
          <w:lang w:val="es-ES"/>
        </w:rPr>
        <w:t xml:space="preserve"> y 3.5%</w:t>
      </w:r>
      <w:r>
        <w:rPr>
          <w:rFonts w:cs="Arial"/>
          <w:bCs/>
          <w:sz w:val="24"/>
          <w:szCs w:val="24"/>
          <w:lang w:val="es-ES"/>
        </w:rPr>
        <w:t>;</w:t>
      </w:r>
      <w:r w:rsidRPr="00C15556">
        <w:rPr>
          <w:rFonts w:cs="Arial"/>
          <w:bCs/>
          <w:sz w:val="24"/>
          <w:szCs w:val="24"/>
          <w:lang w:val="es-ES"/>
        </w:rPr>
        <w:t xml:space="preserve"> </w:t>
      </w:r>
      <w:r>
        <w:rPr>
          <w:rFonts w:cs="Arial"/>
          <w:bCs/>
          <w:sz w:val="24"/>
          <w:szCs w:val="24"/>
          <w:lang w:val="es-ES"/>
        </w:rPr>
        <w:t>en</w:t>
      </w:r>
      <w:r w:rsidRPr="00C15556">
        <w:rPr>
          <w:rFonts w:cs="Arial"/>
          <w:bCs/>
          <w:sz w:val="24"/>
          <w:szCs w:val="24"/>
          <w:lang w:val="es-ES"/>
        </w:rPr>
        <w:t xml:space="preserve"> las estimaciones de finanzas</w:t>
      </w:r>
      <w:r>
        <w:rPr>
          <w:rFonts w:cs="Arial"/>
          <w:bCs/>
          <w:sz w:val="24"/>
          <w:szCs w:val="24"/>
          <w:lang w:val="es-ES"/>
        </w:rPr>
        <w:t xml:space="preserve"> </w:t>
      </w:r>
      <w:r w:rsidRPr="00C15556">
        <w:rPr>
          <w:rFonts w:cs="Arial"/>
          <w:bCs/>
          <w:sz w:val="24"/>
          <w:szCs w:val="24"/>
          <w:lang w:val="es-ES"/>
        </w:rPr>
        <w:t>públicas se utiliza la estimación puntual de un crecimiento del PIB de 2.5% para 2018</w:t>
      </w:r>
      <w:r>
        <w:rPr>
          <w:rFonts w:cs="Arial"/>
          <w:bCs/>
          <w:sz w:val="24"/>
          <w:szCs w:val="24"/>
          <w:lang w:val="es-ES"/>
        </w:rPr>
        <w:t xml:space="preserve"> </w:t>
      </w:r>
      <w:r w:rsidRPr="00C15556">
        <w:rPr>
          <w:rFonts w:cs="Arial"/>
          <w:bCs/>
          <w:sz w:val="24"/>
          <w:szCs w:val="24"/>
          <w:lang w:val="es-ES"/>
        </w:rPr>
        <w:t>y de 3.0% para 2019.</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sidRPr="00C15556">
        <w:rPr>
          <w:rFonts w:cs="Arial"/>
          <w:bCs/>
          <w:sz w:val="24"/>
          <w:szCs w:val="24"/>
          <w:lang w:val="es-ES"/>
        </w:rPr>
        <w:t>Los pronósticos de inflación son consistentes con las previsiones realizadas</w:t>
      </w:r>
      <w:r>
        <w:rPr>
          <w:rFonts w:cs="Arial"/>
          <w:bCs/>
          <w:sz w:val="24"/>
          <w:szCs w:val="24"/>
          <w:lang w:val="es-ES"/>
        </w:rPr>
        <w:t xml:space="preserve"> </w:t>
      </w:r>
      <w:r w:rsidRPr="00C15556">
        <w:rPr>
          <w:rFonts w:cs="Arial"/>
          <w:bCs/>
          <w:sz w:val="24"/>
          <w:szCs w:val="24"/>
          <w:lang w:val="es-ES"/>
        </w:rPr>
        <w:t>por el Banco de México, así como con su objetivo de inflación. El precio promedio del</w:t>
      </w:r>
      <w:r>
        <w:rPr>
          <w:rFonts w:cs="Arial"/>
          <w:bCs/>
          <w:sz w:val="24"/>
          <w:szCs w:val="24"/>
          <w:lang w:val="es-ES"/>
        </w:rPr>
        <w:t xml:space="preserve"> </w:t>
      </w:r>
      <w:r w:rsidRPr="00C15556">
        <w:rPr>
          <w:rFonts w:cs="Arial"/>
          <w:bCs/>
          <w:sz w:val="24"/>
          <w:szCs w:val="24"/>
          <w:lang w:val="es-ES"/>
        </w:rPr>
        <w:t>crudo se estima en 53 y 51 dólares por barril (dpb) para 2018 y 2019,</w:t>
      </w:r>
      <w:r>
        <w:rPr>
          <w:rFonts w:cs="Arial"/>
          <w:bCs/>
          <w:sz w:val="24"/>
          <w:szCs w:val="24"/>
          <w:lang w:val="es-ES"/>
        </w:rPr>
        <w:t xml:space="preserve"> </w:t>
      </w:r>
      <w:r w:rsidRPr="00C15556">
        <w:rPr>
          <w:rFonts w:cs="Arial"/>
          <w:bCs/>
          <w:sz w:val="24"/>
          <w:szCs w:val="24"/>
          <w:lang w:val="es-ES"/>
        </w:rPr>
        <w:t>respectivamente. Por otro lado, se utiliza un tipo de cambio promedio para ambos años</w:t>
      </w:r>
      <w:r>
        <w:rPr>
          <w:rFonts w:cs="Arial"/>
          <w:bCs/>
          <w:sz w:val="24"/>
          <w:szCs w:val="24"/>
          <w:lang w:val="es-ES"/>
        </w:rPr>
        <w:t xml:space="preserve"> </w:t>
      </w:r>
      <w:r w:rsidRPr="00C15556">
        <w:rPr>
          <w:rFonts w:cs="Arial"/>
          <w:bCs/>
          <w:sz w:val="24"/>
          <w:szCs w:val="24"/>
          <w:lang w:val="es-ES"/>
        </w:rPr>
        <w:t>de 18.4 pesos por dólar.</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sidRPr="00C15556">
        <w:rPr>
          <w:rFonts w:cs="Arial"/>
          <w:bCs/>
          <w:sz w:val="24"/>
          <w:szCs w:val="24"/>
          <w:lang w:val="es-ES"/>
        </w:rPr>
        <w:t>El Gobierno Federal ha implementado acciones de política para que las finanzas</w:t>
      </w:r>
      <w:r>
        <w:rPr>
          <w:rFonts w:cs="Arial"/>
          <w:bCs/>
          <w:sz w:val="24"/>
          <w:szCs w:val="24"/>
          <w:lang w:val="es-ES"/>
        </w:rPr>
        <w:t xml:space="preserve"> </w:t>
      </w:r>
      <w:r w:rsidRPr="00C15556">
        <w:rPr>
          <w:rFonts w:cs="Arial"/>
          <w:bCs/>
          <w:sz w:val="24"/>
          <w:szCs w:val="24"/>
          <w:lang w:val="es-ES"/>
        </w:rPr>
        <w:t>públicas permanezcan sólidas aun en situaciones adversas. Si bien el panorama</w:t>
      </w:r>
      <w:r>
        <w:rPr>
          <w:rFonts w:cs="Arial"/>
          <w:bCs/>
          <w:sz w:val="24"/>
          <w:szCs w:val="24"/>
          <w:lang w:val="es-ES"/>
        </w:rPr>
        <w:t xml:space="preserve"> </w:t>
      </w:r>
      <w:r w:rsidRPr="00C15556">
        <w:rPr>
          <w:rFonts w:cs="Arial"/>
          <w:bCs/>
          <w:sz w:val="24"/>
          <w:szCs w:val="24"/>
          <w:lang w:val="es-ES"/>
        </w:rPr>
        <w:t xml:space="preserve">económico ha mejorado, persisten riesgos, entre los que destacan: </w:t>
      </w:r>
    </w:p>
    <w:p w:rsidR="0037578E" w:rsidRDefault="0037578E" w:rsidP="0037578E">
      <w:pPr>
        <w:pStyle w:val="PRIMERAPLANA"/>
        <w:spacing w:line="360" w:lineRule="auto"/>
        <w:rPr>
          <w:rFonts w:cs="Arial"/>
          <w:bCs/>
          <w:sz w:val="24"/>
          <w:szCs w:val="24"/>
          <w:lang w:val="es-ES"/>
        </w:rPr>
      </w:pPr>
    </w:p>
    <w:p w:rsidR="0037578E" w:rsidRDefault="0037578E" w:rsidP="00F36D7A">
      <w:pPr>
        <w:pStyle w:val="PRIMERAPLANA"/>
        <w:numPr>
          <w:ilvl w:val="0"/>
          <w:numId w:val="6"/>
        </w:numPr>
        <w:spacing w:line="360" w:lineRule="auto"/>
        <w:rPr>
          <w:rFonts w:cs="Arial"/>
          <w:bCs/>
          <w:sz w:val="24"/>
          <w:szCs w:val="24"/>
          <w:lang w:val="es-ES"/>
        </w:rPr>
      </w:pPr>
      <w:r>
        <w:rPr>
          <w:rFonts w:cs="Arial"/>
          <w:bCs/>
          <w:sz w:val="24"/>
          <w:szCs w:val="24"/>
          <w:lang w:val="es-ES"/>
        </w:rPr>
        <w:t>L</w:t>
      </w:r>
      <w:r w:rsidRPr="00C15556">
        <w:rPr>
          <w:rFonts w:cs="Arial"/>
          <w:bCs/>
          <w:sz w:val="24"/>
          <w:szCs w:val="24"/>
          <w:lang w:val="es-ES"/>
        </w:rPr>
        <w:t>a renegociación</w:t>
      </w:r>
      <w:r>
        <w:rPr>
          <w:rFonts w:cs="Arial"/>
          <w:bCs/>
          <w:sz w:val="24"/>
          <w:szCs w:val="24"/>
          <w:lang w:val="es-ES"/>
        </w:rPr>
        <w:t xml:space="preserve"> </w:t>
      </w:r>
      <w:r w:rsidRPr="00C15556">
        <w:rPr>
          <w:rFonts w:cs="Arial"/>
          <w:bCs/>
          <w:sz w:val="24"/>
          <w:szCs w:val="24"/>
          <w:lang w:val="es-ES"/>
        </w:rPr>
        <w:t xml:space="preserve">del Tratado de Libre Comercio de América del Norte (TLCAN); </w:t>
      </w:r>
    </w:p>
    <w:p w:rsidR="0037578E" w:rsidRDefault="0037578E" w:rsidP="0037578E">
      <w:pPr>
        <w:pStyle w:val="PRIMERAPLANA"/>
        <w:spacing w:line="360" w:lineRule="auto"/>
        <w:ind w:left="720"/>
        <w:rPr>
          <w:rFonts w:cs="Arial"/>
          <w:bCs/>
          <w:sz w:val="24"/>
          <w:szCs w:val="24"/>
          <w:lang w:val="es-ES"/>
        </w:rPr>
      </w:pPr>
    </w:p>
    <w:p w:rsidR="0037578E" w:rsidRDefault="0037578E" w:rsidP="00F36D7A">
      <w:pPr>
        <w:pStyle w:val="PRIMERAPLANA"/>
        <w:numPr>
          <w:ilvl w:val="0"/>
          <w:numId w:val="6"/>
        </w:numPr>
        <w:spacing w:line="360" w:lineRule="auto"/>
        <w:rPr>
          <w:rFonts w:cs="Arial"/>
          <w:bCs/>
          <w:sz w:val="24"/>
          <w:szCs w:val="24"/>
          <w:lang w:val="es-ES"/>
        </w:rPr>
      </w:pPr>
      <w:r w:rsidRPr="00C15556">
        <w:rPr>
          <w:rFonts w:cs="Arial"/>
          <w:bCs/>
          <w:sz w:val="24"/>
          <w:szCs w:val="24"/>
          <w:lang w:val="es-ES"/>
        </w:rPr>
        <w:t>Un dinamismo menor</w:t>
      </w:r>
      <w:r>
        <w:rPr>
          <w:rFonts w:cs="Arial"/>
          <w:bCs/>
          <w:sz w:val="24"/>
          <w:szCs w:val="24"/>
          <w:lang w:val="es-ES"/>
        </w:rPr>
        <w:t xml:space="preserve"> </w:t>
      </w:r>
      <w:r w:rsidRPr="00C15556">
        <w:rPr>
          <w:rFonts w:cs="Arial"/>
          <w:bCs/>
          <w:sz w:val="24"/>
          <w:szCs w:val="24"/>
          <w:lang w:val="es-ES"/>
        </w:rPr>
        <w:t xml:space="preserve">al anticipado en la economía mundial debido a políticas proteccionistas; </w:t>
      </w:r>
    </w:p>
    <w:p w:rsidR="0037578E" w:rsidRDefault="0037578E" w:rsidP="0037578E">
      <w:pPr>
        <w:pStyle w:val="PRIMERAPLANA"/>
        <w:spacing w:line="360" w:lineRule="auto"/>
        <w:ind w:left="720"/>
        <w:rPr>
          <w:rFonts w:cs="Arial"/>
          <w:bCs/>
          <w:sz w:val="24"/>
          <w:szCs w:val="24"/>
          <w:lang w:val="es-ES"/>
        </w:rPr>
      </w:pPr>
    </w:p>
    <w:p w:rsidR="0037578E" w:rsidRDefault="0037578E" w:rsidP="00F36D7A">
      <w:pPr>
        <w:pStyle w:val="PRIMERAPLANA"/>
        <w:numPr>
          <w:ilvl w:val="0"/>
          <w:numId w:val="6"/>
        </w:numPr>
        <w:spacing w:line="360" w:lineRule="auto"/>
        <w:rPr>
          <w:rFonts w:cs="Arial"/>
          <w:bCs/>
          <w:sz w:val="24"/>
          <w:szCs w:val="24"/>
          <w:lang w:val="es-ES"/>
        </w:rPr>
      </w:pPr>
      <w:r w:rsidRPr="00C15556">
        <w:rPr>
          <w:rFonts w:cs="Arial"/>
          <w:bCs/>
          <w:sz w:val="24"/>
          <w:szCs w:val="24"/>
          <w:lang w:val="es-ES"/>
        </w:rPr>
        <w:lastRenderedPageBreak/>
        <w:t>Una normalización acelerada de la política monetaria en EU; y los efectos de la Reforma</w:t>
      </w:r>
      <w:r>
        <w:rPr>
          <w:rFonts w:cs="Arial"/>
          <w:bCs/>
          <w:sz w:val="24"/>
          <w:szCs w:val="24"/>
          <w:lang w:val="es-ES"/>
        </w:rPr>
        <w:t xml:space="preserve"> Fiscal en ese país.</w:t>
      </w:r>
    </w:p>
    <w:p w:rsidR="00F3036F" w:rsidRDefault="00F3036F"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sidRPr="00C15556">
        <w:rPr>
          <w:rFonts w:cs="Arial"/>
          <w:bCs/>
          <w:sz w:val="24"/>
          <w:szCs w:val="24"/>
          <w:lang w:val="es-ES"/>
        </w:rPr>
        <w:t xml:space="preserve">Entre las acciones para compensar estos riesgos, sobresalen: </w:t>
      </w:r>
    </w:p>
    <w:p w:rsidR="00F3036F" w:rsidRDefault="00F3036F" w:rsidP="0037578E">
      <w:pPr>
        <w:pStyle w:val="PRIMERAPLANA"/>
        <w:spacing w:line="360" w:lineRule="auto"/>
        <w:rPr>
          <w:rFonts w:cs="Arial"/>
          <w:bCs/>
          <w:sz w:val="24"/>
          <w:szCs w:val="24"/>
          <w:lang w:val="es-ES"/>
        </w:rPr>
      </w:pPr>
    </w:p>
    <w:p w:rsidR="0037578E" w:rsidRDefault="0037578E" w:rsidP="00F36D7A">
      <w:pPr>
        <w:pStyle w:val="PRIMERAPLANA"/>
        <w:numPr>
          <w:ilvl w:val="0"/>
          <w:numId w:val="7"/>
        </w:numPr>
        <w:spacing w:line="360" w:lineRule="auto"/>
        <w:rPr>
          <w:rFonts w:cs="Arial"/>
          <w:bCs/>
          <w:sz w:val="24"/>
          <w:szCs w:val="24"/>
          <w:lang w:val="es-ES"/>
        </w:rPr>
      </w:pPr>
      <w:r w:rsidRPr="00C15556">
        <w:rPr>
          <w:rFonts w:cs="Arial"/>
          <w:bCs/>
          <w:sz w:val="24"/>
          <w:szCs w:val="24"/>
          <w:lang w:val="es-ES"/>
        </w:rPr>
        <w:t>La</w:t>
      </w:r>
      <w:r>
        <w:rPr>
          <w:rFonts w:cs="Arial"/>
          <w:bCs/>
          <w:sz w:val="24"/>
          <w:szCs w:val="24"/>
          <w:lang w:val="es-ES"/>
        </w:rPr>
        <w:t xml:space="preserve"> </w:t>
      </w:r>
      <w:r w:rsidRPr="00C15556">
        <w:rPr>
          <w:rFonts w:cs="Arial"/>
          <w:bCs/>
          <w:sz w:val="24"/>
          <w:szCs w:val="24"/>
          <w:lang w:val="es-ES"/>
        </w:rPr>
        <w:t>contratación de coberturas petroleras tanto por el Gobierno Federal como por PEMEX;</w:t>
      </w:r>
    </w:p>
    <w:p w:rsidR="0037578E" w:rsidRDefault="0037578E" w:rsidP="0037578E">
      <w:pPr>
        <w:pStyle w:val="PRIMERAPLANA"/>
        <w:spacing w:line="360" w:lineRule="auto"/>
        <w:ind w:left="1080"/>
        <w:rPr>
          <w:rFonts w:cs="Arial"/>
          <w:bCs/>
          <w:sz w:val="24"/>
          <w:szCs w:val="24"/>
          <w:lang w:val="es-ES"/>
        </w:rPr>
      </w:pPr>
    </w:p>
    <w:p w:rsidR="0037578E" w:rsidRDefault="0037578E" w:rsidP="00F36D7A">
      <w:pPr>
        <w:pStyle w:val="PRIMERAPLANA"/>
        <w:numPr>
          <w:ilvl w:val="0"/>
          <w:numId w:val="7"/>
        </w:numPr>
        <w:spacing w:line="360" w:lineRule="auto"/>
        <w:rPr>
          <w:rFonts w:cs="Arial"/>
          <w:bCs/>
          <w:sz w:val="24"/>
          <w:szCs w:val="24"/>
          <w:lang w:val="es-ES"/>
        </w:rPr>
      </w:pPr>
      <w:r w:rsidRPr="00C15556">
        <w:rPr>
          <w:rFonts w:cs="Arial"/>
          <w:bCs/>
          <w:sz w:val="24"/>
          <w:szCs w:val="24"/>
          <w:lang w:val="es-ES"/>
        </w:rPr>
        <w:t>Mayores recursos en el Fondo de Estabilización de los Ingresos Presupuestarios (FEIP) a fin de compensar posibles caídas en los ingresos en caso de una desaceleración</w:t>
      </w:r>
      <w:r>
        <w:rPr>
          <w:rFonts w:cs="Arial"/>
          <w:bCs/>
          <w:sz w:val="24"/>
          <w:szCs w:val="24"/>
          <w:lang w:val="es-ES"/>
        </w:rPr>
        <w:t xml:space="preserve"> </w:t>
      </w:r>
      <w:r w:rsidRPr="00C15556">
        <w:rPr>
          <w:rFonts w:cs="Arial"/>
          <w:bCs/>
          <w:sz w:val="24"/>
          <w:szCs w:val="24"/>
          <w:lang w:val="es-ES"/>
        </w:rPr>
        <w:t xml:space="preserve">económica; y </w:t>
      </w:r>
    </w:p>
    <w:p w:rsidR="0037578E" w:rsidRDefault="0037578E" w:rsidP="0037578E">
      <w:pPr>
        <w:pStyle w:val="PRIMERAPLANA"/>
        <w:spacing w:line="360" w:lineRule="auto"/>
        <w:ind w:left="1080"/>
        <w:rPr>
          <w:rFonts w:cs="Arial"/>
          <w:bCs/>
          <w:sz w:val="24"/>
          <w:szCs w:val="24"/>
          <w:lang w:val="es-ES"/>
        </w:rPr>
      </w:pPr>
    </w:p>
    <w:p w:rsidR="0037578E" w:rsidRPr="00C15556" w:rsidRDefault="0037578E" w:rsidP="00F36D7A">
      <w:pPr>
        <w:pStyle w:val="PRIMERAPLANA"/>
        <w:numPr>
          <w:ilvl w:val="0"/>
          <w:numId w:val="7"/>
        </w:numPr>
        <w:spacing w:line="360" w:lineRule="auto"/>
        <w:rPr>
          <w:rFonts w:cs="Arial"/>
          <w:bCs/>
          <w:sz w:val="24"/>
          <w:szCs w:val="24"/>
          <w:lang w:val="es-ES"/>
        </w:rPr>
      </w:pPr>
      <w:r w:rsidRPr="00C15556">
        <w:rPr>
          <w:rFonts w:cs="Arial"/>
          <w:bCs/>
          <w:sz w:val="24"/>
          <w:szCs w:val="24"/>
          <w:lang w:val="es-ES"/>
        </w:rPr>
        <w:t>Un mejoramiento en el perfil de deuda.</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sidRPr="00C15556">
        <w:rPr>
          <w:rFonts w:cs="Arial"/>
          <w:bCs/>
          <w:sz w:val="24"/>
          <w:szCs w:val="24"/>
          <w:lang w:val="es-ES"/>
        </w:rPr>
        <w:t>La solidez macroeconómica con la que México cuenta es resultado del manejo</w:t>
      </w:r>
      <w:r>
        <w:rPr>
          <w:rFonts w:cs="Arial"/>
          <w:bCs/>
          <w:sz w:val="24"/>
          <w:szCs w:val="24"/>
          <w:lang w:val="es-ES"/>
        </w:rPr>
        <w:t xml:space="preserve"> </w:t>
      </w:r>
      <w:r w:rsidRPr="00C15556">
        <w:rPr>
          <w:rFonts w:cs="Arial"/>
          <w:bCs/>
          <w:sz w:val="24"/>
          <w:szCs w:val="24"/>
          <w:lang w:val="es-ES"/>
        </w:rPr>
        <w:t>responsable de la política fiscal y monetaria durante las últimas décadas. Los</w:t>
      </w:r>
      <w:r>
        <w:rPr>
          <w:rFonts w:cs="Arial"/>
          <w:bCs/>
          <w:sz w:val="24"/>
          <w:szCs w:val="24"/>
          <w:lang w:val="es-ES"/>
        </w:rPr>
        <w:t xml:space="preserve"> </w:t>
      </w:r>
      <w:r w:rsidRPr="00C15556">
        <w:rPr>
          <w:rFonts w:cs="Arial"/>
          <w:bCs/>
          <w:sz w:val="24"/>
          <w:szCs w:val="24"/>
          <w:lang w:val="es-ES"/>
        </w:rPr>
        <w:t>elementos de riesgo latentes en el entorno internacional indican que México debe</w:t>
      </w:r>
      <w:r>
        <w:rPr>
          <w:rFonts w:cs="Arial"/>
          <w:bCs/>
          <w:sz w:val="24"/>
          <w:szCs w:val="24"/>
          <w:lang w:val="es-ES"/>
        </w:rPr>
        <w:t xml:space="preserve"> </w:t>
      </w:r>
      <w:r w:rsidRPr="00C15556">
        <w:rPr>
          <w:rFonts w:cs="Arial"/>
          <w:bCs/>
          <w:sz w:val="24"/>
          <w:szCs w:val="24"/>
          <w:lang w:val="es-ES"/>
        </w:rPr>
        <w:t>continuar con la tarea de fortalecer sus fundamentos macroeconómicos para</w:t>
      </w:r>
      <w:r>
        <w:rPr>
          <w:rFonts w:cs="Arial"/>
          <w:bCs/>
          <w:sz w:val="24"/>
          <w:szCs w:val="24"/>
          <w:lang w:val="es-ES"/>
        </w:rPr>
        <w:t xml:space="preserve"> </w:t>
      </w:r>
      <w:r w:rsidRPr="00C15556">
        <w:rPr>
          <w:rFonts w:cs="Arial"/>
          <w:bCs/>
          <w:sz w:val="24"/>
          <w:szCs w:val="24"/>
          <w:lang w:val="es-ES"/>
        </w:rPr>
        <w:t>enfrentar estos riesgos y exhibir un crecimiento sostenido.</w:t>
      </w:r>
    </w:p>
    <w:p w:rsidR="0037578E" w:rsidRDefault="0037578E" w:rsidP="0037578E">
      <w:pPr>
        <w:pStyle w:val="PRIMERAPLANA"/>
        <w:spacing w:line="360" w:lineRule="auto"/>
        <w:rPr>
          <w:rFonts w:cs="Arial"/>
          <w:bCs/>
          <w:sz w:val="24"/>
          <w:szCs w:val="24"/>
          <w:lang w:val="es-ES"/>
        </w:rPr>
      </w:pPr>
    </w:p>
    <w:p w:rsidR="0037578E" w:rsidRPr="000D48BE" w:rsidRDefault="0037578E" w:rsidP="0037578E">
      <w:pPr>
        <w:pStyle w:val="PRIMERAPLANA"/>
        <w:spacing w:line="360" w:lineRule="auto"/>
        <w:rPr>
          <w:rFonts w:cs="Arial"/>
          <w:bCs/>
          <w:sz w:val="24"/>
          <w:szCs w:val="24"/>
          <w:lang w:val="es-ES"/>
        </w:rPr>
      </w:pPr>
      <w:r>
        <w:rPr>
          <w:rFonts w:cs="Arial"/>
          <w:sz w:val="24"/>
          <w:szCs w:val="24"/>
          <w:lang w:val="es-ES"/>
        </w:rPr>
        <w:t>Para la formulación de</w:t>
      </w:r>
      <w:r w:rsidR="00423BFC">
        <w:rPr>
          <w:rFonts w:cs="Arial"/>
          <w:sz w:val="24"/>
          <w:szCs w:val="24"/>
          <w:lang w:val="es-ES"/>
        </w:rPr>
        <w:t xml:space="preserve">l Paquete Económico </w:t>
      </w:r>
      <w:r>
        <w:rPr>
          <w:rFonts w:cs="Arial"/>
          <w:sz w:val="24"/>
          <w:szCs w:val="24"/>
          <w:lang w:val="es-ES"/>
        </w:rPr>
        <w:t>del Estado de Tlaxcala para el Ejercicio Fiscal 2019, se tom</w:t>
      </w:r>
      <w:r w:rsidR="00BA08B6">
        <w:rPr>
          <w:rFonts w:cs="Arial"/>
          <w:sz w:val="24"/>
          <w:szCs w:val="24"/>
          <w:lang w:val="es-ES"/>
        </w:rPr>
        <w:t>aron</w:t>
      </w:r>
      <w:r>
        <w:rPr>
          <w:rFonts w:cs="Arial"/>
          <w:sz w:val="24"/>
          <w:szCs w:val="24"/>
          <w:lang w:val="es-ES"/>
        </w:rPr>
        <w:t xml:space="preserve"> como referencia </w:t>
      </w:r>
      <w:r>
        <w:rPr>
          <w:rFonts w:cs="Arial"/>
          <w:bCs/>
          <w:sz w:val="24"/>
          <w:szCs w:val="24"/>
          <w:lang w:val="es-ES"/>
        </w:rPr>
        <w:t xml:space="preserve">el </w:t>
      </w:r>
      <w:r w:rsidRPr="00ED4D86">
        <w:rPr>
          <w:rFonts w:cs="Arial"/>
          <w:bCs/>
          <w:i/>
          <w:sz w:val="24"/>
          <w:szCs w:val="24"/>
          <w:lang w:val="es-ES"/>
        </w:rPr>
        <w:t xml:space="preserve">Documento relativo al Cumplimiento de las Disposiciones Contenidas en el Artículo 42, Fracción I, </w:t>
      </w:r>
      <w:r w:rsidRPr="00ED4D86">
        <w:rPr>
          <w:rFonts w:cs="Arial"/>
          <w:bCs/>
          <w:i/>
          <w:sz w:val="24"/>
          <w:szCs w:val="24"/>
          <w:lang w:val="es-ES"/>
        </w:rPr>
        <w:lastRenderedPageBreak/>
        <w:t>de la Ley Federal de Presupuesto y Responsabilidad Hacendaria (Pre-Criterios 2019) presentado por el Ejecutivo Federal al Congreso de la Unión,</w:t>
      </w:r>
      <w:r w:rsidRPr="00ED4D86">
        <w:rPr>
          <w:rFonts w:cs="Arial"/>
          <w:i/>
          <w:sz w:val="24"/>
          <w:szCs w:val="24"/>
          <w:lang w:val="es-ES"/>
        </w:rPr>
        <w:t xml:space="preserve"> así como, el Global Economic Prospects elaborado por el World Bank Group y el World Economic Outlook del mes de enero y su</w:t>
      </w:r>
      <w:r>
        <w:rPr>
          <w:rFonts w:cs="Arial"/>
          <w:i/>
          <w:sz w:val="24"/>
          <w:szCs w:val="24"/>
          <w:lang w:val="es-ES"/>
        </w:rPr>
        <w:t>s actualizacio</w:t>
      </w:r>
      <w:r w:rsidRPr="00ED4D86">
        <w:rPr>
          <w:rFonts w:cs="Arial"/>
          <w:i/>
          <w:sz w:val="24"/>
          <w:szCs w:val="24"/>
          <w:lang w:val="es-ES"/>
        </w:rPr>
        <w:t>n</w:t>
      </w:r>
      <w:r>
        <w:rPr>
          <w:rFonts w:cs="Arial"/>
          <w:i/>
          <w:sz w:val="24"/>
          <w:szCs w:val="24"/>
          <w:lang w:val="es-ES"/>
        </w:rPr>
        <w:t>es</w:t>
      </w:r>
      <w:r w:rsidRPr="00ED4D86">
        <w:rPr>
          <w:rFonts w:cs="Arial"/>
          <w:i/>
          <w:sz w:val="24"/>
          <w:szCs w:val="24"/>
          <w:lang w:val="es-ES"/>
        </w:rPr>
        <w:t xml:space="preserve"> a</w:t>
      </w:r>
      <w:r>
        <w:rPr>
          <w:rFonts w:cs="Arial"/>
          <w:i/>
          <w:sz w:val="24"/>
          <w:szCs w:val="24"/>
          <w:lang w:val="es-ES"/>
        </w:rPr>
        <w:t xml:space="preserve"> </w:t>
      </w:r>
      <w:r w:rsidRPr="00ED4D86">
        <w:rPr>
          <w:rFonts w:cs="Arial"/>
          <w:i/>
          <w:sz w:val="24"/>
          <w:szCs w:val="24"/>
          <w:lang w:val="es-ES"/>
        </w:rPr>
        <w:t>l</w:t>
      </w:r>
      <w:r>
        <w:rPr>
          <w:rFonts w:cs="Arial"/>
          <w:i/>
          <w:sz w:val="24"/>
          <w:szCs w:val="24"/>
          <w:lang w:val="es-ES"/>
        </w:rPr>
        <w:t>os</w:t>
      </w:r>
      <w:r w:rsidRPr="00ED4D86">
        <w:rPr>
          <w:rFonts w:cs="Arial"/>
          <w:i/>
          <w:sz w:val="24"/>
          <w:szCs w:val="24"/>
          <w:lang w:val="es-ES"/>
        </w:rPr>
        <w:t xml:space="preserve"> mes</w:t>
      </w:r>
      <w:r>
        <w:rPr>
          <w:rFonts w:cs="Arial"/>
          <w:i/>
          <w:sz w:val="24"/>
          <w:szCs w:val="24"/>
          <w:lang w:val="es-ES"/>
        </w:rPr>
        <w:t>es</w:t>
      </w:r>
      <w:r w:rsidRPr="00ED4D86">
        <w:rPr>
          <w:rFonts w:cs="Arial"/>
          <w:i/>
          <w:sz w:val="24"/>
          <w:szCs w:val="24"/>
          <w:lang w:val="es-ES"/>
        </w:rPr>
        <w:t xml:space="preserve"> de julio </w:t>
      </w:r>
      <w:r>
        <w:rPr>
          <w:rFonts w:cs="Arial"/>
          <w:i/>
          <w:sz w:val="24"/>
          <w:szCs w:val="24"/>
          <w:lang w:val="es-ES"/>
        </w:rPr>
        <w:t xml:space="preserve">y octubre </w:t>
      </w:r>
      <w:r w:rsidRPr="00ED4D86">
        <w:rPr>
          <w:rFonts w:cs="Arial"/>
          <w:i/>
          <w:sz w:val="24"/>
          <w:szCs w:val="24"/>
          <w:lang w:val="es-ES"/>
        </w:rPr>
        <w:t>de 2018</w:t>
      </w:r>
      <w:r>
        <w:rPr>
          <w:rFonts w:cs="Arial"/>
          <w:sz w:val="24"/>
          <w:szCs w:val="24"/>
          <w:lang w:val="es-ES"/>
        </w:rPr>
        <w:t xml:space="preserve">, los cuales consideran </w:t>
      </w:r>
      <w:r w:rsidRPr="000D48BE">
        <w:rPr>
          <w:rFonts w:cs="Arial"/>
          <w:bCs/>
          <w:sz w:val="24"/>
          <w:szCs w:val="24"/>
          <w:lang w:val="es-ES"/>
        </w:rPr>
        <w:t xml:space="preserve">un marco macroeconómico con estimaciones realistas y prudentes para las variables clave que determinan las finanzas públicas </w:t>
      </w:r>
      <w:r>
        <w:rPr>
          <w:rFonts w:cs="Arial"/>
          <w:bCs/>
          <w:sz w:val="24"/>
          <w:szCs w:val="24"/>
          <w:lang w:val="es-ES"/>
        </w:rPr>
        <w:t>internacionales y nacionales</w:t>
      </w:r>
      <w:r w:rsidRPr="000D48BE">
        <w:rPr>
          <w:rFonts w:cs="Arial"/>
          <w:bCs/>
          <w:sz w:val="24"/>
          <w:szCs w:val="24"/>
          <w:lang w:val="es-ES"/>
        </w:rPr>
        <w:t>.</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Pr>
          <w:rFonts w:cs="Arial"/>
          <w:bCs/>
          <w:sz w:val="24"/>
          <w:szCs w:val="24"/>
          <w:lang w:val="es-ES"/>
        </w:rPr>
        <w:t>C</w:t>
      </w:r>
      <w:r w:rsidRPr="009612A8">
        <w:rPr>
          <w:rFonts w:cs="Arial"/>
          <w:bCs/>
          <w:sz w:val="24"/>
          <w:szCs w:val="24"/>
          <w:lang w:val="es-ES"/>
        </w:rPr>
        <w:t>onsistente con la trayectoria de consolidación fiscal que se ha seguido durante los</w:t>
      </w:r>
      <w:r>
        <w:rPr>
          <w:rFonts w:cs="Arial"/>
          <w:bCs/>
          <w:sz w:val="24"/>
          <w:szCs w:val="24"/>
          <w:lang w:val="es-ES"/>
        </w:rPr>
        <w:t xml:space="preserve"> </w:t>
      </w:r>
      <w:r w:rsidRPr="009612A8">
        <w:rPr>
          <w:rFonts w:cs="Arial"/>
          <w:bCs/>
          <w:sz w:val="24"/>
          <w:szCs w:val="24"/>
          <w:lang w:val="es-ES"/>
        </w:rPr>
        <w:t>últimos años</w:t>
      </w:r>
      <w:r>
        <w:rPr>
          <w:rFonts w:cs="Arial"/>
          <w:bCs/>
          <w:sz w:val="24"/>
          <w:szCs w:val="24"/>
          <w:lang w:val="es-ES"/>
        </w:rPr>
        <w:t>,</w:t>
      </w:r>
      <w:r w:rsidRPr="00ED4D86">
        <w:rPr>
          <w:rFonts w:cs="Arial"/>
          <w:bCs/>
          <w:sz w:val="24"/>
          <w:szCs w:val="24"/>
          <w:lang w:val="es-ES"/>
        </w:rPr>
        <w:t xml:space="preserve"> </w:t>
      </w:r>
      <w:r>
        <w:rPr>
          <w:rFonts w:cs="Arial"/>
          <w:bCs/>
          <w:sz w:val="24"/>
          <w:szCs w:val="24"/>
          <w:lang w:val="es-ES"/>
        </w:rPr>
        <w:t>la economía del país respecto a</w:t>
      </w:r>
      <w:r w:rsidRPr="009612A8">
        <w:rPr>
          <w:rFonts w:cs="Arial"/>
          <w:bCs/>
          <w:sz w:val="24"/>
          <w:szCs w:val="24"/>
          <w:lang w:val="es-ES"/>
        </w:rPr>
        <w:t xml:space="preserve"> los R</w:t>
      </w:r>
      <w:r>
        <w:rPr>
          <w:rFonts w:cs="Arial"/>
          <w:bCs/>
          <w:sz w:val="24"/>
          <w:szCs w:val="24"/>
          <w:lang w:val="es-ES"/>
        </w:rPr>
        <w:t xml:space="preserve">equerimientos </w:t>
      </w:r>
      <w:r w:rsidRPr="009612A8">
        <w:rPr>
          <w:rFonts w:cs="Arial"/>
          <w:bCs/>
          <w:sz w:val="24"/>
          <w:szCs w:val="24"/>
          <w:lang w:val="es-ES"/>
        </w:rPr>
        <w:t>F</w:t>
      </w:r>
      <w:r>
        <w:rPr>
          <w:rFonts w:cs="Arial"/>
          <w:bCs/>
          <w:sz w:val="24"/>
          <w:szCs w:val="24"/>
          <w:lang w:val="es-ES"/>
        </w:rPr>
        <w:t xml:space="preserve">inancieros del </w:t>
      </w:r>
      <w:r w:rsidRPr="009612A8">
        <w:rPr>
          <w:rFonts w:cs="Arial"/>
          <w:bCs/>
          <w:sz w:val="24"/>
          <w:szCs w:val="24"/>
          <w:lang w:val="es-ES"/>
        </w:rPr>
        <w:t>S</w:t>
      </w:r>
      <w:r>
        <w:rPr>
          <w:rFonts w:cs="Arial"/>
          <w:bCs/>
          <w:sz w:val="24"/>
          <w:szCs w:val="24"/>
          <w:lang w:val="es-ES"/>
        </w:rPr>
        <w:t xml:space="preserve">ector </w:t>
      </w:r>
      <w:r w:rsidRPr="009612A8">
        <w:rPr>
          <w:rFonts w:cs="Arial"/>
          <w:bCs/>
          <w:sz w:val="24"/>
          <w:szCs w:val="24"/>
          <w:lang w:val="es-ES"/>
        </w:rPr>
        <w:t>P</w:t>
      </w:r>
      <w:r>
        <w:rPr>
          <w:rFonts w:cs="Arial"/>
          <w:bCs/>
          <w:sz w:val="24"/>
          <w:szCs w:val="24"/>
          <w:lang w:val="es-ES"/>
        </w:rPr>
        <w:t>úblico</w:t>
      </w:r>
      <w:r w:rsidRPr="009612A8">
        <w:rPr>
          <w:rFonts w:cs="Arial"/>
          <w:bCs/>
          <w:sz w:val="24"/>
          <w:szCs w:val="24"/>
          <w:lang w:val="es-ES"/>
        </w:rPr>
        <w:t xml:space="preserve"> se mantiene en 2.5% del PIB durante 2019, lo cual implica un</w:t>
      </w:r>
      <w:r>
        <w:rPr>
          <w:rFonts w:cs="Arial"/>
          <w:bCs/>
          <w:sz w:val="24"/>
          <w:szCs w:val="24"/>
          <w:lang w:val="es-ES"/>
        </w:rPr>
        <w:t xml:space="preserve"> </w:t>
      </w:r>
      <w:r w:rsidRPr="009612A8">
        <w:rPr>
          <w:rFonts w:cs="Arial"/>
          <w:bCs/>
          <w:sz w:val="24"/>
          <w:szCs w:val="24"/>
          <w:lang w:val="es-ES"/>
        </w:rPr>
        <w:t>balance primario de 0.9% del PIB y que se mantenga un equilibrio presupuestario en el</w:t>
      </w:r>
      <w:r>
        <w:rPr>
          <w:rFonts w:cs="Arial"/>
          <w:bCs/>
          <w:sz w:val="24"/>
          <w:szCs w:val="24"/>
          <w:lang w:val="es-ES"/>
        </w:rPr>
        <w:t xml:space="preserve"> </w:t>
      </w:r>
      <w:r w:rsidRPr="009612A8">
        <w:rPr>
          <w:rFonts w:cs="Arial"/>
          <w:bCs/>
          <w:sz w:val="24"/>
          <w:szCs w:val="24"/>
          <w:lang w:val="es-ES"/>
        </w:rPr>
        <w:t xml:space="preserve">balance sin inversión de alto impacto económico y social. </w:t>
      </w:r>
    </w:p>
    <w:p w:rsidR="0037578E" w:rsidRPr="009612A8"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sidRPr="009612A8">
        <w:rPr>
          <w:rFonts w:cs="Arial"/>
          <w:bCs/>
          <w:sz w:val="24"/>
          <w:szCs w:val="24"/>
          <w:lang w:val="es-ES"/>
        </w:rPr>
        <w:t>La estimación de finanzas públicas para 2019 considera un crecimiento económico de</w:t>
      </w:r>
      <w:r>
        <w:rPr>
          <w:rFonts w:cs="Arial"/>
          <w:bCs/>
          <w:sz w:val="24"/>
          <w:szCs w:val="24"/>
          <w:lang w:val="es-ES"/>
        </w:rPr>
        <w:t xml:space="preserve"> </w:t>
      </w:r>
      <w:r w:rsidRPr="009612A8">
        <w:rPr>
          <w:rFonts w:cs="Arial"/>
          <w:bCs/>
          <w:sz w:val="24"/>
          <w:szCs w:val="24"/>
          <w:lang w:val="es-ES"/>
        </w:rPr>
        <w:t>3.0%; un tipo de cambio promedio anual de 18.4 pesos por dólar; un precio promedio</w:t>
      </w:r>
      <w:r>
        <w:rPr>
          <w:rFonts w:cs="Arial"/>
          <w:bCs/>
          <w:sz w:val="24"/>
          <w:szCs w:val="24"/>
          <w:lang w:val="es-ES"/>
        </w:rPr>
        <w:t xml:space="preserve"> </w:t>
      </w:r>
      <w:r w:rsidRPr="009612A8">
        <w:rPr>
          <w:rFonts w:cs="Arial"/>
          <w:bCs/>
          <w:sz w:val="24"/>
          <w:szCs w:val="24"/>
          <w:lang w:val="es-ES"/>
        </w:rPr>
        <w:t>del petróleo de 51 dpb; y un aumento en la plataforma de producción de petróleo a</w:t>
      </w:r>
      <w:r>
        <w:rPr>
          <w:rFonts w:cs="Arial"/>
          <w:bCs/>
          <w:sz w:val="24"/>
          <w:szCs w:val="24"/>
          <w:lang w:val="es-ES"/>
        </w:rPr>
        <w:t xml:space="preserve"> </w:t>
      </w:r>
      <w:r w:rsidRPr="009612A8">
        <w:rPr>
          <w:rFonts w:cs="Arial"/>
          <w:bCs/>
          <w:sz w:val="24"/>
          <w:szCs w:val="24"/>
          <w:lang w:val="es-ES"/>
        </w:rPr>
        <w:t>2,035 mbd, consistente con el Plan de Negocios de Pemex.</w:t>
      </w:r>
    </w:p>
    <w:p w:rsidR="0037578E" w:rsidRDefault="0037578E" w:rsidP="0037578E">
      <w:pPr>
        <w:pStyle w:val="PRIMERAPLANA"/>
        <w:spacing w:line="360" w:lineRule="auto"/>
        <w:rPr>
          <w:rFonts w:cs="Arial"/>
          <w:bCs/>
          <w:sz w:val="24"/>
          <w:szCs w:val="24"/>
          <w:lang w:val="es-ES"/>
        </w:rPr>
      </w:pPr>
    </w:p>
    <w:p w:rsidR="0037578E" w:rsidRDefault="0037578E" w:rsidP="0037578E">
      <w:pPr>
        <w:pStyle w:val="PRIMERAPLANA"/>
        <w:spacing w:line="360" w:lineRule="auto"/>
        <w:rPr>
          <w:rFonts w:cs="Arial"/>
          <w:bCs/>
          <w:sz w:val="24"/>
          <w:szCs w:val="24"/>
          <w:lang w:val="es-ES"/>
        </w:rPr>
      </w:pPr>
      <w:r w:rsidRPr="009612A8">
        <w:rPr>
          <w:rFonts w:cs="Arial"/>
          <w:bCs/>
          <w:sz w:val="24"/>
          <w:szCs w:val="24"/>
          <w:lang w:val="es-ES"/>
        </w:rPr>
        <w:t>Se estima que en 2019 los ingresos presupuestarios sean mayores en 65.1 mmp, en</w:t>
      </w:r>
      <w:r>
        <w:rPr>
          <w:rFonts w:cs="Arial"/>
          <w:bCs/>
          <w:sz w:val="24"/>
          <w:szCs w:val="24"/>
          <w:lang w:val="es-ES"/>
        </w:rPr>
        <w:t xml:space="preserve"> </w:t>
      </w:r>
      <w:r w:rsidRPr="009612A8">
        <w:rPr>
          <w:rFonts w:cs="Arial"/>
          <w:bCs/>
          <w:sz w:val="24"/>
          <w:szCs w:val="24"/>
          <w:lang w:val="es-ES"/>
        </w:rPr>
        <w:t>pesos de 2019, respecto al monto previsto en la LIF 2018, resultado de las siguientes</w:t>
      </w:r>
      <w:r>
        <w:rPr>
          <w:rFonts w:cs="Arial"/>
          <w:bCs/>
          <w:sz w:val="24"/>
          <w:szCs w:val="24"/>
          <w:lang w:val="es-ES"/>
        </w:rPr>
        <w:t xml:space="preserve"> </w:t>
      </w:r>
      <w:r w:rsidRPr="009612A8">
        <w:rPr>
          <w:rFonts w:cs="Arial"/>
          <w:bCs/>
          <w:sz w:val="24"/>
          <w:szCs w:val="24"/>
          <w:lang w:val="es-ES"/>
        </w:rPr>
        <w:t>variaciones en sus componentes:</w:t>
      </w:r>
    </w:p>
    <w:p w:rsidR="0037578E" w:rsidRPr="009612A8" w:rsidRDefault="0037578E" w:rsidP="0037578E">
      <w:pPr>
        <w:pStyle w:val="PRIMERAPLANA"/>
        <w:spacing w:line="360" w:lineRule="auto"/>
        <w:rPr>
          <w:rFonts w:cs="Arial"/>
          <w:bCs/>
          <w:sz w:val="24"/>
          <w:szCs w:val="24"/>
          <w:lang w:val="es-ES"/>
        </w:rPr>
      </w:pPr>
    </w:p>
    <w:p w:rsidR="0037578E" w:rsidRDefault="0037578E" w:rsidP="00F36D7A">
      <w:pPr>
        <w:pStyle w:val="PRIMERAPLANA"/>
        <w:numPr>
          <w:ilvl w:val="0"/>
          <w:numId w:val="9"/>
        </w:numPr>
        <w:spacing w:line="360" w:lineRule="auto"/>
        <w:rPr>
          <w:rFonts w:cs="Arial"/>
          <w:bCs/>
          <w:sz w:val="24"/>
          <w:szCs w:val="24"/>
          <w:lang w:val="es-ES"/>
        </w:rPr>
      </w:pPr>
      <w:r w:rsidRPr="009612A8">
        <w:rPr>
          <w:rFonts w:cs="Arial"/>
          <w:bCs/>
          <w:sz w:val="24"/>
          <w:szCs w:val="24"/>
          <w:lang w:val="es-ES"/>
        </w:rPr>
        <w:t>Mayores ingresos tributarios en 106.4 mmp, por la mayor actividad económica.</w:t>
      </w:r>
    </w:p>
    <w:p w:rsidR="0037578E" w:rsidRPr="009612A8" w:rsidRDefault="0037578E" w:rsidP="0037578E">
      <w:pPr>
        <w:pStyle w:val="PRIMERAPLANA"/>
        <w:spacing w:line="360" w:lineRule="auto"/>
        <w:ind w:left="720"/>
        <w:rPr>
          <w:rFonts w:cs="Arial"/>
          <w:bCs/>
          <w:sz w:val="24"/>
          <w:szCs w:val="24"/>
          <w:lang w:val="es-ES"/>
        </w:rPr>
      </w:pPr>
    </w:p>
    <w:p w:rsidR="0037578E" w:rsidRDefault="0037578E" w:rsidP="00F36D7A">
      <w:pPr>
        <w:pStyle w:val="PRIMERAPLANA"/>
        <w:numPr>
          <w:ilvl w:val="0"/>
          <w:numId w:val="8"/>
        </w:numPr>
        <w:spacing w:line="360" w:lineRule="auto"/>
        <w:rPr>
          <w:rFonts w:cs="Arial"/>
          <w:bCs/>
          <w:sz w:val="24"/>
          <w:szCs w:val="24"/>
          <w:lang w:val="es-ES"/>
        </w:rPr>
      </w:pPr>
      <w:r w:rsidRPr="009612A8">
        <w:rPr>
          <w:rFonts w:cs="Arial"/>
          <w:bCs/>
          <w:sz w:val="24"/>
          <w:szCs w:val="24"/>
          <w:lang w:val="es-ES"/>
        </w:rPr>
        <w:t>Mayores ingresos propios de las entidades distintas de Pemex en 16.9 mmp,</w:t>
      </w:r>
      <w:r>
        <w:rPr>
          <w:rFonts w:cs="Arial"/>
          <w:bCs/>
          <w:sz w:val="24"/>
          <w:szCs w:val="24"/>
          <w:lang w:val="es-ES"/>
        </w:rPr>
        <w:t xml:space="preserve"> </w:t>
      </w:r>
      <w:r w:rsidRPr="009612A8">
        <w:rPr>
          <w:rFonts w:cs="Arial"/>
          <w:bCs/>
          <w:sz w:val="24"/>
          <w:szCs w:val="24"/>
          <w:lang w:val="es-ES"/>
        </w:rPr>
        <w:t>como consecuencia del aumento en las contribuciones a la seguridad social.</w:t>
      </w:r>
    </w:p>
    <w:p w:rsidR="0037578E" w:rsidRPr="009612A8" w:rsidRDefault="0037578E" w:rsidP="0037578E">
      <w:pPr>
        <w:pStyle w:val="PRIMERAPLANA"/>
        <w:spacing w:line="360" w:lineRule="auto"/>
        <w:ind w:left="720"/>
        <w:rPr>
          <w:rFonts w:cs="Arial"/>
          <w:bCs/>
          <w:sz w:val="24"/>
          <w:szCs w:val="24"/>
          <w:lang w:val="es-ES"/>
        </w:rPr>
      </w:pPr>
    </w:p>
    <w:p w:rsidR="0037578E" w:rsidRDefault="0037578E" w:rsidP="00F36D7A">
      <w:pPr>
        <w:pStyle w:val="PRIMERAPLANA"/>
        <w:numPr>
          <w:ilvl w:val="0"/>
          <w:numId w:val="8"/>
        </w:numPr>
        <w:spacing w:line="360" w:lineRule="auto"/>
        <w:rPr>
          <w:rFonts w:cs="Arial"/>
          <w:bCs/>
          <w:sz w:val="24"/>
          <w:szCs w:val="24"/>
          <w:lang w:val="es-ES"/>
        </w:rPr>
      </w:pPr>
      <w:r w:rsidRPr="009612A8">
        <w:rPr>
          <w:rFonts w:cs="Arial"/>
          <w:bCs/>
          <w:sz w:val="24"/>
          <w:szCs w:val="24"/>
          <w:lang w:val="es-ES"/>
        </w:rPr>
        <w:t>Ingresos petroleros inferiores en 63.6 mmp</w:t>
      </w:r>
      <w:r>
        <w:rPr>
          <w:rFonts w:cs="Arial"/>
          <w:bCs/>
          <w:sz w:val="24"/>
          <w:szCs w:val="24"/>
          <w:lang w:val="es-ES"/>
        </w:rPr>
        <w:t>, s</w:t>
      </w:r>
      <w:r w:rsidRPr="009612A8">
        <w:rPr>
          <w:rFonts w:cs="Arial"/>
          <w:bCs/>
          <w:sz w:val="24"/>
          <w:szCs w:val="24"/>
          <w:lang w:val="es-ES"/>
        </w:rPr>
        <w:t>i bien el precio promedio del petróleo para 2019 es mayor al precio aprobado para 2018 en el Paquete Económico de este año, también se anticipa una disminución en el precio del gas</w:t>
      </w:r>
      <w:r>
        <w:rPr>
          <w:rFonts w:cs="Arial"/>
          <w:bCs/>
          <w:sz w:val="24"/>
          <w:szCs w:val="24"/>
          <w:lang w:val="es-ES"/>
        </w:rPr>
        <w:t xml:space="preserve"> </w:t>
      </w:r>
      <w:r w:rsidRPr="009612A8">
        <w:rPr>
          <w:rFonts w:cs="Arial"/>
          <w:bCs/>
          <w:sz w:val="24"/>
          <w:szCs w:val="24"/>
          <w:lang w:val="es-ES"/>
        </w:rPr>
        <w:t>natural y una apreciación real del tipo de cambio</w:t>
      </w:r>
      <w:r>
        <w:rPr>
          <w:rFonts w:cs="Arial"/>
          <w:bCs/>
          <w:sz w:val="24"/>
          <w:szCs w:val="24"/>
          <w:lang w:val="es-ES"/>
        </w:rPr>
        <w:t>.</w:t>
      </w:r>
    </w:p>
    <w:p w:rsidR="0037578E" w:rsidRPr="009612A8" w:rsidRDefault="0037578E" w:rsidP="0037578E">
      <w:pPr>
        <w:pStyle w:val="PRIMERAPLANA"/>
        <w:spacing w:line="360" w:lineRule="auto"/>
        <w:ind w:left="720"/>
        <w:rPr>
          <w:rFonts w:cs="Arial"/>
          <w:bCs/>
          <w:sz w:val="24"/>
          <w:szCs w:val="24"/>
          <w:lang w:val="es-ES"/>
        </w:rPr>
      </w:pPr>
    </w:p>
    <w:p w:rsidR="0037578E" w:rsidRDefault="0037578E" w:rsidP="00F36D7A">
      <w:pPr>
        <w:pStyle w:val="PRIMERAPLANA"/>
        <w:numPr>
          <w:ilvl w:val="0"/>
          <w:numId w:val="8"/>
        </w:numPr>
        <w:spacing w:line="360" w:lineRule="auto"/>
        <w:rPr>
          <w:rFonts w:cs="Arial"/>
          <w:bCs/>
          <w:sz w:val="24"/>
          <w:szCs w:val="24"/>
          <w:lang w:val="es-ES"/>
        </w:rPr>
      </w:pPr>
      <w:r w:rsidRPr="009612A8">
        <w:rPr>
          <w:rFonts w:cs="Arial"/>
          <w:bCs/>
          <w:sz w:val="24"/>
          <w:szCs w:val="24"/>
          <w:lang w:val="es-ES"/>
        </w:rPr>
        <w:t>Mayores ingresos no tributarios en 5.3 mmp.</w:t>
      </w:r>
    </w:p>
    <w:p w:rsidR="0037578E" w:rsidRDefault="0037578E" w:rsidP="0037578E">
      <w:pPr>
        <w:pStyle w:val="PRIMERAPLANA"/>
        <w:spacing w:line="360" w:lineRule="auto"/>
        <w:rPr>
          <w:rFonts w:cs="Arial"/>
          <w:bCs/>
          <w:sz w:val="24"/>
          <w:szCs w:val="24"/>
          <w:lang w:val="es-ES"/>
        </w:rPr>
      </w:pPr>
    </w:p>
    <w:p w:rsidR="00BA08B6" w:rsidRPr="00710A06" w:rsidRDefault="00BA08B6" w:rsidP="00BA08B6">
      <w:pPr>
        <w:pStyle w:val="PRIMERAPLANA"/>
        <w:spacing w:line="360" w:lineRule="auto"/>
        <w:rPr>
          <w:rFonts w:cs="Arial"/>
          <w:iCs/>
          <w:sz w:val="24"/>
          <w:szCs w:val="24"/>
          <w:lang w:val="es-ES"/>
        </w:rPr>
      </w:pPr>
      <w:r w:rsidRPr="00710A06">
        <w:rPr>
          <w:rFonts w:cs="Arial"/>
          <w:iCs/>
          <w:sz w:val="24"/>
          <w:szCs w:val="24"/>
          <w:lang w:val="es-ES"/>
        </w:rPr>
        <w:t>En el Paquete Económico presentado a esa Legislatura, se incluyen políticas públicas orientadas a impulsar un crecimiento sostenido de la Hacienda Pública Estatal, generando las condiciones propicias para la inversión del sector privado y fortalecer el desarrollo de infraestructura básica para el fomento económico. Así como reforzar las condiciones de seguridad y justicia, que permitan otorgar condiciones de convivencia en un estado de derecho pleno.</w:t>
      </w:r>
    </w:p>
    <w:p w:rsidR="0037578E" w:rsidRDefault="0037578E" w:rsidP="0037578E">
      <w:pPr>
        <w:pStyle w:val="PRIMERAPLANA"/>
        <w:spacing w:line="360" w:lineRule="auto"/>
        <w:rPr>
          <w:rFonts w:cs="Arial"/>
          <w:bCs/>
          <w:sz w:val="24"/>
          <w:szCs w:val="24"/>
          <w:lang w:val="es-ES"/>
        </w:rPr>
      </w:pPr>
    </w:p>
    <w:p w:rsidR="00B8501C" w:rsidRDefault="00B8501C" w:rsidP="00627CEC">
      <w:pPr>
        <w:pStyle w:val="PRIMERAPLANA"/>
        <w:spacing w:line="360" w:lineRule="auto"/>
        <w:rPr>
          <w:rFonts w:cs="Arial"/>
          <w:b/>
          <w:sz w:val="24"/>
          <w:szCs w:val="24"/>
          <w:lang w:val="es-ES"/>
        </w:rPr>
      </w:pPr>
    </w:p>
    <w:p w:rsidR="0037578E" w:rsidRPr="001234C5" w:rsidRDefault="0037578E" w:rsidP="00627CEC">
      <w:pPr>
        <w:pStyle w:val="PRIMERAPLANA"/>
        <w:spacing w:line="360" w:lineRule="auto"/>
        <w:rPr>
          <w:rFonts w:cs="Arial"/>
          <w:b/>
          <w:sz w:val="24"/>
          <w:szCs w:val="24"/>
          <w:lang w:val="es-ES"/>
        </w:rPr>
      </w:pPr>
      <w:r>
        <w:rPr>
          <w:rFonts w:cs="Arial"/>
          <w:b/>
          <w:sz w:val="24"/>
          <w:szCs w:val="24"/>
          <w:lang w:val="es-ES"/>
        </w:rPr>
        <w:lastRenderedPageBreak/>
        <w:t>ENTORNO INTERNACIONAL</w:t>
      </w:r>
      <w:r w:rsidRPr="001234C5">
        <w:rPr>
          <w:rFonts w:cs="Arial"/>
          <w:b/>
          <w:sz w:val="24"/>
          <w:szCs w:val="24"/>
          <w:lang w:val="es-ES"/>
        </w:rPr>
        <w:t>.</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A71A46">
        <w:rPr>
          <w:rFonts w:cs="Arial"/>
          <w:sz w:val="24"/>
          <w:szCs w:val="24"/>
          <w:lang w:val="es-ES"/>
        </w:rPr>
        <w:t>Después de unos años con un entorno complejo y volátil, el panorama económico global</w:t>
      </w:r>
      <w:r>
        <w:rPr>
          <w:rFonts w:cs="Arial"/>
          <w:sz w:val="24"/>
          <w:szCs w:val="24"/>
          <w:lang w:val="es-ES"/>
        </w:rPr>
        <w:t xml:space="preserve"> </w:t>
      </w:r>
      <w:r w:rsidRPr="00A71A46">
        <w:rPr>
          <w:rFonts w:cs="Arial"/>
          <w:sz w:val="24"/>
          <w:szCs w:val="24"/>
          <w:lang w:val="es-ES"/>
        </w:rPr>
        <w:t>ha mejorado recientemente</w:t>
      </w:r>
      <w:r>
        <w:rPr>
          <w:rFonts w:cs="Arial"/>
          <w:sz w:val="24"/>
          <w:szCs w:val="24"/>
          <w:lang w:val="es-ES"/>
        </w:rPr>
        <w:t>, e</w:t>
      </w:r>
      <w:r w:rsidRPr="00A71A46">
        <w:rPr>
          <w:rFonts w:cs="Arial"/>
          <w:sz w:val="24"/>
          <w:szCs w:val="24"/>
          <w:lang w:val="es-ES"/>
        </w:rPr>
        <w:t>n 2017 y a inicios de</w:t>
      </w:r>
      <w:r>
        <w:rPr>
          <w:rFonts w:cs="Arial"/>
          <w:sz w:val="24"/>
          <w:szCs w:val="24"/>
          <w:lang w:val="es-ES"/>
        </w:rPr>
        <w:t xml:space="preserve"> </w:t>
      </w:r>
      <w:r w:rsidRPr="00A71A46">
        <w:rPr>
          <w:rFonts w:cs="Arial"/>
          <w:sz w:val="24"/>
          <w:szCs w:val="24"/>
          <w:lang w:val="es-ES"/>
        </w:rPr>
        <w:t>2018, la economía mundial continuó fortaleciéndose y se observó un dinamismo más</w:t>
      </w:r>
      <w:r>
        <w:rPr>
          <w:rFonts w:cs="Arial"/>
          <w:sz w:val="24"/>
          <w:szCs w:val="24"/>
          <w:lang w:val="es-ES"/>
        </w:rPr>
        <w:t xml:space="preserve"> </w:t>
      </w:r>
      <w:r w:rsidRPr="00A71A46">
        <w:rPr>
          <w:rFonts w:cs="Arial"/>
          <w:sz w:val="24"/>
          <w:szCs w:val="24"/>
          <w:lang w:val="es-ES"/>
        </w:rPr>
        <w:t>generalizado. Dentro del grupo de economías avanzadas, la actividad económica en E</w:t>
      </w:r>
      <w:r>
        <w:rPr>
          <w:rFonts w:cs="Arial"/>
          <w:sz w:val="24"/>
          <w:szCs w:val="24"/>
          <w:lang w:val="es-ES"/>
        </w:rPr>
        <w:t xml:space="preserve">stados </w:t>
      </w:r>
      <w:r w:rsidRPr="00A71A46">
        <w:rPr>
          <w:rFonts w:cs="Arial"/>
          <w:sz w:val="24"/>
          <w:szCs w:val="24"/>
          <w:lang w:val="es-ES"/>
        </w:rPr>
        <w:t>U</w:t>
      </w:r>
      <w:r>
        <w:rPr>
          <w:rFonts w:cs="Arial"/>
          <w:sz w:val="24"/>
          <w:szCs w:val="24"/>
          <w:lang w:val="es-ES"/>
        </w:rPr>
        <w:t xml:space="preserve">nidos </w:t>
      </w:r>
      <w:r w:rsidRPr="00A71A46">
        <w:rPr>
          <w:rFonts w:cs="Arial"/>
          <w:sz w:val="24"/>
          <w:szCs w:val="24"/>
          <w:lang w:val="es-ES"/>
        </w:rPr>
        <w:t>repuntó durante la segunda mitad de 2017. La economía de la Zona del Euro continuó</w:t>
      </w:r>
      <w:r>
        <w:rPr>
          <w:rFonts w:cs="Arial"/>
          <w:sz w:val="24"/>
          <w:szCs w:val="24"/>
          <w:lang w:val="es-ES"/>
        </w:rPr>
        <w:t xml:space="preserve"> </w:t>
      </w:r>
      <w:r w:rsidRPr="00A71A46">
        <w:rPr>
          <w:rFonts w:cs="Arial"/>
          <w:sz w:val="24"/>
          <w:szCs w:val="24"/>
          <w:lang w:val="es-ES"/>
        </w:rPr>
        <w:t>mostrando un buen desempeño, impulsada por la demanda interna y externa.</w:t>
      </w:r>
      <w:r>
        <w:rPr>
          <w:rFonts w:cs="Arial"/>
          <w:sz w:val="24"/>
          <w:szCs w:val="24"/>
          <w:lang w:val="es-ES"/>
        </w:rPr>
        <w:t xml:space="preserve"> </w:t>
      </w:r>
      <w:r w:rsidRPr="00A71A46">
        <w:rPr>
          <w:rFonts w:cs="Arial"/>
          <w:sz w:val="24"/>
          <w:szCs w:val="24"/>
          <w:lang w:val="es-ES"/>
        </w:rPr>
        <w:t>Asimismo, el desempeño de la economía japonesa fue favorable durante el año,</w:t>
      </w:r>
      <w:r>
        <w:rPr>
          <w:rFonts w:cs="Arial"/>
          <w:sz w:val="24"/>
          <w:szCs w:val="24"/>
          <w:lang w:val="es-ES"/>
        </w:rPr>
        <w:t xml:space="preserve"> </w:t>
      </w:r>
      <w:r w:rsidRPr="00A71A46">
        <w:rPr>
          <w:rFonts w:cs="Arial"/>
          <w:sz w:val="24"/>
          <w:szCs w:val="24"/>
          <w:lang w:val="es-ES"/>
        </w:rPr>
        <w:t>mostrando solidez durante el primer semestre de 2017</w:t>
      </w:r>
      <w:r>
        <w:rPr>
          <w:rFonts w:cs="Arial"/>
          <w:sz w:val="24"/>
          <w:szCs w:val="24"/>
          <w:lang w:val="es-ES"/>
        </w:rPr>
        <w:t>,</w:t>
      </w:r>
      <w:r w:rsidRPr="00A71A46">
        <w:rPr>
          <w:rFonts w:cs="Arial"/>
          <w:sz w:val="24"/>
          <w:szCs w:val="24"/>
          <w:lang w:val="es-ES"/>
        </w:rPr>
        <w:t xml:space="preserve"> aunque moderando su ritmo</w:t>
      </w:r>
      <w:r>
        <w:rPr>
          <w:rFonts w:cs="Arial"/>
          <w:sz w:val="24"/>
          <w:szCs w:val="24"/>
          <w:lang w:val="es-ES"/>
        </w:rPr>
        <w:t xml:space="preserve"> </w:t>
      </w:r>
      <w:r w:rsidRPr="00A71A46">
        <w:rPr>
          <w:rFonts w:cs="Arial"/>
          <w:sz w:val="24"/>
          <w:szCs w:val="24"/>
          <w:lang w:val="es-ES"/>
        </w:rPr>
        <w:t>de crecimiento al cierre del año.</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Pr>
          <w:rFonts w:cs="Arial"/>
          <w:sz w:val="24"/>
          <w:szCs w:val="24"/>
          <w:lang w:val="es-ES"/>
        </w:rPr>
        <w:t>Para 2018 y 20</w:t>
      </w:r>
      <w:r w:rsidRPr="00D5406E">
        <w:rPr>
          <w:rFonts w:cs="Arial"/>
          <w:sz w:val="24"/>
          <w:szCs w:val="24"/>
          <w:lang w:val="es-ES"/>
        </w:rPr>
        <w:t>19 se proyecta que el crecimiento se mantenga estable</w:t>
      </w:r>
      <w:r>
        <w:rPr>
          <w:rFonts w:cs="Arial"/>
          <w:sz w:val="24"/>
          <w:szCs w:val="24"/>
          <w:lang w:val="es-ES"/>
        </w:rPr>
        <w:t>,</w:t>
      </w:r>
      <w:r w:rsidRPr="00D5406E">
        <w:rPr>
          <w:rFonts w:cs="Arial"/>
          <w:sz w:val="24"/>
          <w:szCs w:val="24"/>
          <w:lang w:val="es-ES"/>
        </w:rPr>
        <w:t xml:space="preserve"> en nivel</w:t>
      </w:r>
      <w:r>
        <w:rPr>
          <w:rFonts w:cs="Arial"/>
          <w:sz w:val="24"/>
          <w:szCs w:val="24"/>
          <w:lang w:val="es-ES"/>
        </w:rPr>
        <w:t>es a los observados en</w:t>
      </w:r>
      <w:r w:rsidRPr="00D5406E">
        <w:rPr>
          <w:rFonts w:cs="Arial"/>
          <w:sz w:val="24"/>
          <w:szCs w:val="24"/>
          <w:lang w:val="es-ES"/>
        </w:rPr>
        <w:t xml:space="preserve"> 2017, aunque su ritmo es menos vigoroso que lo proyectado en </w:t>
      </w:r>
      <w:r>
        <w:rPr>
          <w:rFonts w:cs="Arial"/>
          <w:sz w:val="24"/>
          <w:szCs w:val="24"/>
          <w:lang w:val="es-ES"/>
        </w:rPr>
        <w:t>el informe denominado Perspectivas de la Economía M</w:t>
      </w:r>
      <w:r w:rsidRPr="00D5406E">
        <w:rPr>
          <w:rFonts w:cs="Arial"/>
          <w:sz w:val="24"/>
          <w:szCs w:val="24"/>
          <w:lang w:val="es-ES"/>
        </w:rPr>
        <w:t>undial (informe WEO, por sus siglas en inglés)</w:t>
      </w:r>
      <w:r>
        <w:rPr>
          <w:rFonts w:cs="Arial"/>
          <w:sz w:val="24"/>
          <w:szCs w:val="24"/>
          <w:lang w:val="es-ES"/>
        </w:rPr>
        <w:t xml:space="preserve"> del mes de </w:t>
      </w:r>
      <w:r w:rsidRPr="00D5406E">
        <w:rPr>
          <w:rFonts w:cs="Arial"/>
          <w:sz w:val="24"/>
          <w:szCs w:val="24"/>
          <w:lang w:val="es-ES"/>
        </w:rPr>
        <w:t>abril</w:t>
      </w:r>
      <w:r>
        <w:rPr>
          <w:rFonts w:cs="Arial"/>
          <w:sz w:val="24"/>
          <w:szCs w:val="24"/>
          <w:lang w:val="es-ES"/>
        </w:rPr>
        <w:t xml:space="preserve"> siendo </w:t>
      </w:r>
      <w:r w:rsidRPr="00D5406E">
        <w:rPr>
          <w:rFonts w:cs="Arial"/>
          <w:sz w:val="24"/>
          <w:szCs w:val="24"/>
          <w:lang w:val="es-ES"/>
        </w:rPr>
        <w:t>menos equilibrado. Los riesgos para el crecimiento mundial han aumentado en los seis últimos meses y la posibilidad de sorpresas positivas ha disminuido. Se proyect</w:t>
      </w:r>
      <w:r>
        <w:rPr>
          <w:rFonts w:cs="Arial"/>
          <w:sz w:val="24"/>
          <w:szCs w:val="24"/>
          <w:lang w:val="es-ES"/>
        </w:rPr>
        <w:t>ó</w:t>
      </w:r>
      <w:r w:rsidRPr="00D5406E">
        <w:rPr>
          <w:rFonts w:cs="Arial"/>
          <w:sz w:val="24"/>
          <w:szCs w:val="24"/>
          <w:lang w:val="es-ES"/>
        </w:rPr>
        <w:t xml:space="preserve"> un crecimiento mundial de 3</w:t>
      </w:r>
      <w:r>
        <w:rPr>
          <w:rFonts w:cs="Arial"/>
          <w:sz w:val="24"/>
          <w:szCs w:val="24"/>
          <w:lang w:val="es-ES"/>
        </w:rPr>
        <w:t>.</w:t>
      </w:r>
      <w:r w:rsidRPr="00D5406E">
        <w:rPr>
          <w:rFonts w:cs="Arial"/>
          <w:sz w:val="24"/>
          <w:szCs w:val="24"/>
          <w:lang w:val="es-ES"/>
        </w:rPr>
        <w:t>7% para 2018</w:t>
      </w:r>
      <w:r>
        <w:rPr>
          <w:rFonts w:cs="Arial"/>
          <w:sz w:val="24"/>
          <w:szCs w:val="24"/>
          <w:lang w:val="es-ES"/>
        </w:rPr>
        <w:t xml:space="preserve"> y 20</w:t>
      </w:r>
      <w:r w:rsidRPr="00D5406E">
        <w:rPr>
          <w:rFonts w:cs="Arial"/>
          <w:sz w:val="24"/>
          <w:szCs w:val="24"/>
          <w:lang w:val="es-ES"/>
        </w:rPr>
        <w:t>19; es decir, 0</w:t>
      </w:r>
      <w:r>
        <w:rPr>
          <w:rFonts w:cs="Arial"/>
          <w:sz w:val="24"/>
          <w:szCs w:val="24"/>
          <w:lang w:val="es-ES"/>
        </w:rPr>
        <w:t>.</w:t>
      </w:r>
      <w:r w:rsidRPr="00D5406E">
        <w:rPr>
          <w:rFonts w:cs="Arial"/>
          <w:sz w:val="24"/>
          <w:szCs w:val="24"/>
          <w:lang w:val="es-ES"/>
        </w:rPr>
        <w:t>2 puntos porcentuales menos que el pronóstico de abril para ambos años</w:t>
      </w:r>
      <w:r>
        <w:rPr>
          <w:rFonts w:cs="Arial"/>
          <w:sz w:val="24"/>
          <w:szCs w:val="24"/>
          <w:lang w:val="es-ES"/>
        </w:rPr>
        <w:t xml:space="preserve"> </w:t>
      </w:r>
      <w:r w:rsidRPr="004B29C2">
        <w:rPr>
          <w:rFonts w:cs="Arial"/>
          <w:sz w:val="24"/>
          <w:szCs w:val="24"/>
          <w:lang w:val="es-ES"/>
        </w:rPr>
        <w:t>(Cuadro 1.1).</w:t>
      </w:r>
      <w:r w:rsidRPr="00D5406E">
        <w:rPr>
          <w:rFonts w:cs="Arial"/>
          <w:sz w:val="24"/>
          <w:szCs w:val="24"/>
          <w:lang w:val="es-ES"/>
        </w:rPr>
        <w:t xml:space="preserve"> La revisión a la baja refleja factores sorpresivos que reprimieron la actividad a comienzos de 2018 en algunas de las principales economías avanzadas, los efectos negativos de las medidas comerciales aplicadas o </w:t>
      </w:r>
      <w:r w:rsidRPr="00D5406E">
        <w:rPr>
          <w:rFonts w:cs="Arial"/>
          <w:sz w:val="24"/>
          <w:szCs w:val="24"/>
          <w:lang w:val="es-ES"/>
        </w:rPr>
        <w:lastRenderedPageBreak/>
        <w:t xml:space="preserve">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F3036F" w:rsidRDefault="00F3036F"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D5406E">
        <w:rPr>
          <w:rFonts w:cs="Arial"/>
          <w:sz w:val="24"/>
          <w:szCs w:val="24"/>
          <w:lang w:val="es-ES"/>
        </w:rPr>
        <w:t xml:space="preserve">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subóptimas en algunas economías de mercados emergentes y en desarrollo, especialmente en términos del crecimiento </w:t>
      </w:r>
      <w:r w:rsidRPr="00572345">
        <w:rPr>
          <w:rFonts w:cs="Arial"/>
          <w:i/>
          <w:sz w:val="24"/>
          <w:szCs w:val="24"/>
          <w:lang w:val="es-ES"/>
        </w:rPr>
        <w:t>per cápita</w:t>
      </w:r>
      <w:r w:rsidRPr="00D5406E">
        <w:rPr>
          <w:rFonts w:cs="Arial"/>
          <w:sz w:val="24"/>
          <w:szCs w:val="24"/>
          <w:lang w:val="es-ES"/>
        </w:rPr>
        <w:t xml:space="preserve">, incluso en el caso de los exportadores de materias primas que continúan enfrentando necesidades sustanciales de consolidación fiscal o que están sumidos en guerras y conflictos.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D5406E">
        <w:rPr>
          <w:rFonts w:cs="Arial"/>
          <w:sz w:val="24"/>
          <w:szCs w:val="24"/>
          <w:lang w:val="es-ES"/>
        </w:rPr>
        <w:t>Los riesgos para el pronóstico de crecimiento mundial están sesgados a la baja en un contexto de recrudecimiento de la incertidumbre en torno a las políticas</w:t>
      </w:r>
      <w:r>
        <w:rPr>
          <w:rFonts w:cs="Arial"/>
          <w:sz w:val="24"/>
          <w:szCs w:val="24"/>
          <w:lang w:val="es-ES"/>
        </w:rPr>
        <w:t xml:space="preserve"> económicas implementadas</w:t>
      </w:r>
      <w:r w:rsidRPr="00D5406E">
        <w:rPr>
          <w:rFonts w:cs="Arial"/>
          <w:sz w:val="24"/>
          <w:szCs w:val="24"/>
          <w:lang w:val="es-ES"/>
        </w:rPr>
        <w:t>. Varios de los riesgos a la baja que se resaltaron en la edición de</w:t>
      </w:r>
      <w:r>
        <w:rPr>
          <w:rFonts w:cs="Arial"/>
          <w:sz w:val="24"/>
          <w:szCs w:val="24"/>
          <w:lang w:val="es-ES"/>
        </w:rPr>
        <w:t>l informe WEO del mes de</w:t>
      </w:r>
      <w:r w:rsidRPr="00D5406E">
        <w:rPr>
          <w:rFonts w:cs="Arial"/>
          <w:sz w:val="24"/>
          <w:szCs w:val="24"/>
          <w:lang w:val="es-ES"/>
        </w:rPr>
        <w:t xml:space="preserve"> abril</w:t>
      </w:r>
      <w:r>
        <w:rPr>
          <w:rFonts w:cs="Arial"/>
          <w:sz w:val="24"/>
          <w:szCs w:val="24"/>
          <w:lang w:val="es-ES"/>
        </w:rPr>
        <w:t xml:space="preserve"> de 2018</w:t>
      </w:r>
      <w:r w:rsidRPr="00D5406E">
        <w:rPr>
          <w:rFonts w:cs="Arial"/>
          <w:sz w:val="24"/>
          <w:szCs w:val="24"/>
          <w:lang w:val="es-ES"/>
        </w:rPr>
        <w:t xml:space="preserve">, como las crecientes barreras comerciales y la reversión de los flujos de capital hacia las economías de mercados emergentes con fundamentos más débiles y </w:t>
      </w:r>
      <w:r w:rsidRPr="00D5406E">
        <w:rPr>
          <w:rFonts w:cs="Arial"/>
          <w:sz w:val="24"/>
          <w:szCs w:val="24"/>
          <w:lang w:val="es-ES"/>
        </w:rPr>
        <w:lastRenderedPageBreak/>
        <w:t>mayor riesgo político, son ahora más pronunciados o se han materializado en parte. Entre tanto, la posibilidad de cambios sorpresivos a</w:t>
      </w:r>
      <w:r>
        <w:rPr>
          <w:rFonts w:cs="Arial"/>
          <w:sz w:val="24"/>
          <w:szCs w:val="24"/>
          <w:lang w:val="es-ES"/>
        </w:rPr>
        <w:t>l alza</w:t>
      </w:r>
      <w:r w:rsidRPr="00D5406E">
        <w:rPr>
          <w:rFonts w:cs="Arial"/>
          <w:sz w:val="24"/>
          <w:szCs w:val="24"/>
          <w:lang w:val="es-ES"/>
        </w:rPr>
        <w:t xml:space="preserve"> ha disminuido, dado el endurecimiento de las condiciones financieras en algunas regiones del mundo, el aumento de los costos comerciales, la lentitud con que se han introducido las reformas recomendadas en el pasado y </w:t>
      </w:r>
      <w:r>
        <w:rPr>
          <w:rFonts w:cs="Arial"/>
          <w:sz w:val="24"/>
          <w:szCs w:val="24"/>
          <w:lang w:val="es-ES"/>
        </w:rPr>
        <w:t xml:space="preserve">a </w:t>
      </w:r>
      <w:r w:rsidRPr="00D5406E">
        <w:rPr>
          <w:rFonts w:cs="Arial"/>
          <w:sz w:val="24"/>
          <w:szCs w:val="24"/>
          <w:lang w:val="es-ES"/>
        </w:rPr>
        <w:t xml:space="preserve">un </w:t>
      </w:r>
      <w:r>
        <w:rPr>
          <w:rFonts w:cs="Arial"/>
          <w:sz w:val="24"/>
          <w:szCs w:val="24"/>
          <w:lang w:val="es-ES"/>
        </w:rPr>
        <w:t>menor</w:t>
      </w:r>
      <w:r w:rsidRPr="00D5406E">
        <w:rPr>
          <w:rFonts w:cs="Arial"/>
          <w:sz w:val="24"/>
          <w:szCs w:val="24"/>
          <w:lang w:val="es-ES"/>
        </w:rPr>
        <w:t xml:space="preserve"> impulso del crecimiento. Si bien las condiciones en los mercados financieros siguen siendo acomodaticias en las economías avanzadas, podrían endurecerse rápidamente si se intensifican las tensiones comerciales y la incertidumbre en torno a las políticas, o si una inflación inesperadamente alta en Estados Unidos provoca una respuesta de política monetaria más enérgica que la prevista.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Pr>
          <w:rFonts w:cs="Arial"/>
          <w:sz w:val="24"/>
          <w:szCs w:val="24"/>
          <w:lang w:val="es-ES"/>
        </w:rPr>
        <w:t>Así mismo l</w:t>
      </w:r>
      <w:r w:rsidRPr="00D5406E">
        <w:rPr>
          <w:rFonts w:cs="Arial"/>
          <w:sz w:val="24"/>
          <w:szCs w:val="24"/>
          <w:lang w:val="es-ES"/>
        </w:rPr>
        <w:t xml:space="preserve">a constricción de las condiciones financieras en las economías avanzadas podría ocasionar ajustes perturbadores de las carteras, fuertes movimientos de los tipos de cambio y nuevas reducciones de las afluencias de capital en los mercados emergentes, particularmente los afectados por vulnerabilidades más profundas. La recuperación ha contribuido a mejorar el empleo y el ingreso, ha fortalecido los balances y ha ofrecido una oportunidad de reconstituir los márgenes de protección.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D5406E">
        <w:rPr>
          <w:rFonts w:cs="Arial"/>
          <w:sz w:val="24"/>
          <w:szCs w:val="24"/>
          <w:lang w:val="es-ES"/>
        </w:rPr>
        <w:t xml:space="preserve">Sin embargo, en vista de que los riesgos se inclinan a la baja, es urgente que las políticas realcen las perspectivas de crecimiento vigoroso e inclusivo. Evitar las reacciones proteccionistas al cambio estructural y encontrar soluciones concertadas que promuevan el crecimiento ininterrumpido del </w:t>
      </w:r>
      <w:r w:rsidRPr="00D5406E">
        <w:rPr>
          <w:rFonts w:cs="Arial"/>
          <w:sz w:val="24"/>
          <w:szCs w:val="24"/>
          <w:lang w:val="es-ES"/>
        </w:rPr>
        <w:lastRenderedPageBreak/>
        <w:t xml:space="preserve">comercio internacional de bienes y servicios sigue siendo algo esencial para preservar y ampliar la expansión mundial.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D5406E">
        <w:rPr>
          <w:rFonts w:cs="Arial"/>
          <w:sz w:val="24"/>
          <w:szCs w:val="24"/>
          <w:lang w:val="es-ES"/>
        </w:rPr>
        <w:t xml:space="preserve">En un momento de crecimiento por encima del potencial en muchas economías, las autoridades deberían procurar sancionar reformas que incrementen el ingreso a mediano plazo en beneficio de todos. </w:t>
      </w:r>
    </w:p>
    <w:p w:rsidR="0037578E" w:rsidRDefault="0037578E" w:rsidP="0037578E">
      <w:pPr>
        <w:pStyle w:val="PRIMERAPLANA"/>
        <w:spacing w:line="360" w:lineRule="auto"/>
        <w:rPr>
          <w:rFonts w:cs="Arial"/>
          <w:sz w:val="24"/>
          <w:szCs w:val="24"/>
          <w:lang w:val="es-ES"/>
        </w:rPr>
      </w:pPr>
    </w:p>
    <w:p w:rsidR="0037578E" w:rsidRPr="00C1081B" w:rsidRDefault="0037578E" w:rsidP="0037578E">
      <w:pPr>
        <w:pStyle w:val="PRIMERAPLANA"/>
        <w:spacing w:line="360" w:lineRule="auto"/>
        <w:rPr>
          <w:rFonts w:cs="Arial"/>
          <w:sz w:val="24"/>
          <w:szCs w:val="24"/>
          <w:lang w:val="es-ES"/>
        </w:rPr>
      </w:pPr>
      <w:r w:rsidRPr="00C1081B">
        <w:rPr>
          <w:rFonts w:cs="Arial"/>
          <w:sz w:val="24"/>
          <w:szCs w:val="24"/>
          <w:lang w:val="es-ES"/>
        </w:rPr>
        <w:t>Para 2018, se espera un precio promedio de la mezcla mexicana de exportación de 53</w:t>
      </w:r>
      <w:r>
        <w:rPr>
          <w:rFonts w:cs="Arial"/>
          <w:sz w:val="24"/>
          <w:szCs w:val="24"/>
          <w:lang w:val="es-ES"/>
        </w:rPr>
        <w:t xml:space="preserve"> </w:t>
      </w:r>
      <w:r w:rsidRPr="00C1081B">
        <w:rPr>
          <w:rFonts w:cs="Arial"/>
          <w:sz w:val="24"/>
          <w:szCs w:val="24"/>
          <w:lang w:val="es-ES"/>
        </w:rPr>
        <w:t>dpb, mayor que el precio de 48.5 dpb aprobado por el H. Congreso de la Unión en el</w:t>
      </w:r>
      <w:r>
        <w:rPr>
          <w:rFonts w:cs="Arial"/>
          <w:sz w:val="24"/>
          <w:szCs w:val="24"/>
          <w:lang w:val="es-ES"/>
        </w:rPr>
        <w:t xml:space="preserve"> </w:t>
      </w:r>
      <w:r w:rsidRPr="00C1081B">
        <w:rPr>
          <w:rFonts w:cs="Arial"/>
          <w:sz w:val="24"/>
          <w:szCs w:val="24"/>
          <w:lang w:val="es-ES"/>
        </w:rPr>
        <w:t>Paquete Económico para este año. Este precio está en línea con las condiciones</w:t>
      </w:r>
      <w:r>
        <w:rPr>
          <w:rFonts w:cs="Arial"/>
          <w:sz w:val="24"/>
          <w:szCs w:val="24"/>
          <w:lang w:val="es-ES"/>
        </w:rPr>
        <w:t xml:space="preserve"> </w:t>
      </w:r>
      <w:r w:rsidRPr="00C1081B">
        <w:rPr>
          <w:rFonts w:cs="Arial"/>
          <w:sz w:val="24"/>
          <w:szCs w:val="24"/>
          <w:lang w:val="es-ES"/>
        </w:rPr>
        <w:t>económicas prevalecientes a nivel internacional y con la evolución reciente del mercado</w:t>
      </w:r>
      <w:r>
        <w:rPr>
          <w:rFonts w:cs="Arial"/>
          <w:sz w:val="24"/>
          <w:szCs w:val="24"/>
          <w:lang w:val="es-ES"/>
        </w:rPr>
        <w:t xml:space="preserve"> </w:t>
      </w:r>
      <w:r w:rsidRPr="00C1081B">
        <w:rPr>
          <w:rFonts w:cs="Arial"/>
          <w:sz w:val="24"/>
          <w:szCs w:val="24"/>
          <w:lang w:val="es-ES"/>
        </w:rPr>
        <w:t>petrolero. El precio promedio de la mezcla mexicana al 22 de marzo se ubicó en 56.7</w:t>
      </w:r>
      <w:r>
        <w:rPr>
          <w:rFonts w:cs="Arial"/>
          <w:sz w:val="24"/>
          <w:szCs w:val="24"/>
          <w:lang w:val="es-ES"/>
        </w:rPr>
        <w:t xml:space="preserve"> </w:t>
      </w:r>
      <w:r w:rsidRPr="00C1081B">
        <w:rPr>
          <w:rFonts w:cs="Arial"/>
          <w:sz w:val="24"/>
          <w:szCs w:val="24"/>
          <w:lang w:val="es-ES"/>
        </w:rPr>
        <w:t>dpb.</w:t>
      </w:r>
    </w:p>
    <w:p w:rsidR="0037578E" w:rsidRDefault="0037578E" w:rsidP="0037578E">
      <w:pPr>
        <w:pStyle w:val="PRIMERAPLANA"/>
        <w:spacing w:line="360" w:lineRule="auto"/>
        <w:rPr>
          <w:rFonts w:cs="Arial"/>
          <w:sz w:val="24"/>
          <w:szCs w:val="24"/>
          <w:lang w:val="es-ES"/>
        </w:rPr>
      </w:pPr>
      <w:r>
        <w:rPr>
          <w:rFonts w:cs="Arial"/>
          <w:sz w:val="24"/>
          <w:szCs w:val="24"/>
          <w:lang w:val="es-ES"/>
        </w:rPr>
        <w:t>E</w:t>
      </w:r>
      <w:r w:rsidRPr="00C1081B">
        <w:rPr>
          <w:rFonts w:cs="Arial"/>
          <w:sz w:val="24"/>
          <w:szCs w:val="24"/>
          <w:lang w:val="es-ES"/>
        </w:rPr>
        <w:t>l Gobierno Federal protegió sus ingresos petroleros para 2018</w:t>
      </w:r>
      <w:r>
        <w:rPr>
          <w:rFonts w:cs="Arial"/>
          <w:sz w:val="24"/>
          <w:szCs w:val="24"/>
          <w:lang w:val="es-ES"/>
        </w:rPr>
        <w:t xml:space="preserve"> </w:t>
      </w:r>
      <w:r w:rsidRPr="00C1081B">
        <w:rPr>
          <w:rFonts w:cs="Arial"/>
          <w:sz w:val="24"/>
          <w:szCs w:val="24"/>
          <w:lang w:val="es-ES"/>
        </w:rPr>
        <w:t>contra reducciones en el precio del crudo al 100% con una estrategia de coberturas</w:t>
      </w:r>
      <w:r>
        <w:rPr>
          <w:rFonts w:cs="Arial"/>
          <w:sz w:val="24"/>
          <w:szCs w:val="24"/>
          <w:lang w:val="es-ES"/>
        </w:rPr>
        <w:t xml:space="preserve"> </w:t>
      </w:r>
      <w:r w:rsidRPr="00C1081B">
        <w:rPr>
          <w:rFonts w:cs="Arial"/>
          <w:sz w:val="24"/>
          <w:szCs w:val="24"/>
          <w:lang w:val="es-ES"/>
        </w:rPr>
        <w:t>que contempla, al igual que en 2017, cubr</w:t>
      </w:r>
      <w:r>
        <w:rPr>
          <w:rFonts w:cs="Arial"/>
          <w:sz w:val="24"/>
          <w:szCs w:val="24"/>
          <w:lang w:val="es-ES"/>
        </w:rPr>
        <w:t>ir</w:t>
      </w:r>
      <w:r w:rsidRPr="00C1081B">
        <w:rPr>
          <w:rFonts w:cs="Arial"/>
          <w:sz w:val="24"/>
          <w:szCs w:val="24"/>
          <w:lang w:val="es-ES"/>
        </w:rPr>
        <w:t xml:space="preserve"> los 48.5 dpb establecidos en la Ley de Ingresos de la</w:t>
      </w:r>
      <w:r>
        <w:rPr>
          <w:rFonts w:cs="Arial"/>
          <w:sz w:val="24"/>
          <w:szCs w:val="24"/>
          <w:lang w:val="es-ES"/>
        </w:rPr>
        <w:t xml:space="preserve"> </w:t>
      </w:r>
      <w:r w:rsidRPr="00C1081B">
        <w:rPr>
          <w:rFonts w:cs="Arial"/>
          <w:sz w:val="24"/>
          <w:szCs w:val="24"/>
          <w:lang w:val="es-ES"/>
        </w:rPr>
        <w:t>Federación para 2018.</w:t>
      </w:r>
    </w:p>
    <w:p w:rsidR="0037578E" w:rsidRPr="00C1081B"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C1081B">
        <w:rPr>
          <w:rFonts w:cs="Arial"/>
          <w:sz w:val="24"/>
          <w:szCs w:val="24"/>
          <w:lang w:val="es-ES"/>
        </w:rPr>
        <w:t xml:space="preserve">Por </w:t>
      </w:r>
      <w:r>
        <w:rPr>
          <w:rFonts w:cs="Arial"/>
          <w:sz w:val="24"/>
          <w:szCs w:val="24"/>
          <w:lang w:val="es-ES"/>
        </w:rPr>
        <w:t>otra</w:t>
      </w:r>
      <w:r w:rsidRPr="00C1081B">
        <w:rPr>
          <w:rFonts w:cs="Arial"/>
          <w:sz w:val="24"/>
          <w:szCs w:val="24"/>
          <w:lang w:val="es-ES"/>
        </w:rPr>
        <w:t xml:space="preserve"> parte, se estima que el precio promedio de la mezcla mexicana sea de 51 dpb</w:t>
      </w:r>
      <w:r>
        <w:rPr>
          <w:rFonts w:cs="Arial"/>
          <w:sz w:val="24"/>
          <w:szCs w:val="24"/>
          <w:lang w:val="es-ES"/>
        </w:rPr>
        <w:t xml:space="preserve"> </w:t>
      </w:r>
      <w:r w:rsidRPr="00C1081B">
        <w:rPr>
          <w:rFonts w:cs="Arial"/>
          <w:sz w:val="24"/>
          <w:szCs w:val="24"/>
          <w:lang w:val="es-ES"/>
        </w:rPr>
        <w:t>durante 2019. Este precio es ligeramente menor a 51.6 dpb, cifra obtenida empleando</w:t>
      </w:r>
      <w:r>
        <w:rPr>
          <w:rFonts w:cs="Arial"/>
          <w:sz w:val="24"/>
          <w:szCs w:val="24"/>
          <w:lang w:val="es-ES"/>
        </w:rPr>
        <w:t xml:space="preserve"> </w:t>
      </w:r>
      <w:r w:rsidRPr="00C1081B">
        <w:rPr>
          <w:rFonts w:cs="Arial"/>
          <w:sz w:val="24"/>
          <w:szCs w:val="24"/>
          <w:lang w:val="es-ES"/>
        </w:rPr>
        <w:t>la metodología especificada en el artículo 31 de la L</w:t>
      </w:r>
      <w:r>
        <w:rPr>
          <w:rFonts w:cs="Arial"/>
          <w:sz w:val="24"/>
          <w:szCs w:val="24"/>
          <w:lang w:val="es-ES"/>
        </w:rPr>
        <w:t xml:space="preserve">ey </w:t>
      </w:r>
      <w:r w:rsidRPr="00C1081B">
        <w:rPr>
          <w:rFonts w:cs="Arial"/>
          <w:sz w:val="24"/>
          <w:szCs w:val="24"/>
          <w:lang w:val="es-ES"/>
        </w:rPr>
        <w:t>F</w:t>
      </w:r>
      <w:r>
        <w:rPr>
          <w:rFonts w:cs="Arial"/>
          <w:sz w:val="24"/>
          <w:szCs w:val="24"/>
          <w:lang w:val="es-ES"/>
        </w:rPr>
        <w:t xml:space="preserve">ederal de </w:t>
      </w:r>
      <w:r w:rsidRPr="00C1081B">
        <w:rPr>
          <w:rFonts w:cs="Arial"/>
          <w:sz w:val="24"/>
          <w:szCs w:val="24"/>
          <w:lang w:val="es-ES"/>
        </w:rPr>
        <w:t>P</w:t>
      </w:r>
      <w:r>
        <w:rPr>
          <w:rFonts w:cs="Arial"/>
          <w:sz w:val="24"/>
          <w:szCs w:val="24"/>
          <w:lang w:val="es-ES"/>
        </w:rPr>
        <w:t xml:space="preserve">resupuesto y </w:t>
      </w:r>
      <w:r w:rsidRPr="00C1081B">
        <w:rPr>
          <w:rFonts w:cs="Arial"/>
          <w:sz w:val="24"/>
          <w:szCs w:val="24"/>
          <w:lang w:val="es-ES"/>
        </w:rPr>
        <w:t>R</w:t>
      </w:r>
      <w:r>
        <w:rPr>
          <w:rFonts w:cs="Arial"/>
          <w:sz w:val="24"/>
          <w:szCs w:val="24"/>
          <w:lang w:val="es-ES"/>
        </w:rPr>
        <w:t xml:space="preserve">esponsabilidad </w:t>
      </w:r>
      <w:r w:rsidRPr="00C1081B">
        <w:rPr>
          <w:rFonts w:cs="Arial"/>
          <w:sz w:val="24"/>
          <w:szCs w:val="24"/>
          <w:lang w:val="es-ES"/>
        </w:rPr>
        <w:t>H</w:t>
      </w:r>
      <w:r>
        <w:rPr>
          <w:rFonts w:cs="Arial"/>
          <w:sz w:val="24"/>
          <w:szCs w:val="24"/>
          <w:lang w:val="es-ES"/>
        </w:rPr>
        <w:t>acendaria</w:t>
      </w:r>
      <w:r w:rsidRPr="00C1081B">
        <w:rPr>
          <w:rFonts w:cs="Arial"/>
          <w:sz w:val="24"/>
          <w:szCs w:val="24"/>
          <w:lang w:val="es-ES"/>
        </w:rPr>
        <w:t>,</w:t>
      </w:r>
      <w:r>
        <w:rPr>
          <w:rFonts w:cs="Arial"/>
          <w:sz w:val="24"/>
          <w:szCs w:val="24"/>
          <w:lang w:val="es-ES"/>
        </w:rPr>
        <w:t xml:space="preserve"> por lo que en cumplimiento con dicho artículo </w:t>
      </w:r>
      <w:r w:rsidRPr="00C1081B">
        <w:rPr>
          <w:rFonts w:cs="Arial"/>
          <w:sz w:val="24"/>
          <w:szCs w:val="24"/>
          <w:lang w:val="es-ES"/>
        </w:rPr>
        <w:t>el valor que se utiliza como parámetro en la formulación de la Ley de</w:t>
      </w:r>
      <w:r>
        <w:rPr>
          <w:rFonts w:cs="Arial"/>
          <w:sz w:val="24"/>
          <w:szCs w:val="24"/>
          <w:lang w:val="es-ES"/>
        </w:rPr>
        <w:t xml:space="preserve"> </w:t>
      </w:r>
      <w:r w:rsidRPr="00C1081B">
        <w:rPr>
          <w:rFonts w:cs="Arial"/>
          <w:sz w:val="24"/>
          <w:szCs w:val="24"/>
          <w:lang w:val="es-ES"/>
        </w:rPr>
        <w:t xml:space="preserve">Ingresos no debe superar el precio de referencia </w:t>
      </w:r>
      <w:r w:rsidRPr="00C1081B">
        <w:rPr>
          <w:rFonts w:cs="Arial"/>
          <w:sz w:val="24"/>
          <w:szCs w:val="24"/>
          <w:lang w:val="es-ES"/>
        </w:rPr>
        <w:lastRenderedPageBreak/>
        <w:t>estimado. Asimismo, la estimación se</w:t>
      </w:r>
      <w:r>
        <w:rPr>
          <w:rFonts w:cs="Arial"/>
          <w:sz w:val="24"/>
          <w:szCs w:val="24"/>
          <w:lang w:val="es-ES"/>
        </w:rPr>
        <w:t xml:space="preserve"> </w:t>
      </w:r>
      <w:r w:rsidRPr="00C1081B">
        <w:rPr>
          <w:rFonts w:cs="Arial"/>
          <w:sz w:val="24"/>
          <w:szCs w:val="24"/>
          <w:lang w:val="es-ES"/>
        </w:rPr>
        <w:t>encuentra ligeramente por debajo del precio implícito en las cotizaciones de los</w:t>
      </w:r>
      <w:r>
        <w:rPr>
          <w:rFonts w:cs="Arial"/>
          <w:sz w:val="24"/>
          <w:szCs w:val="24"/>
          <w:lang w:val="es-ES"/>
        </w:rPr>
        <w:t xml:space="preserve"> </w:t>
      </w:r>
      <w:r w:rsidRPr="00C1081B">
        <w:rPr>
          <w:rFonts w:cs="Arial"/>
          <w:sz w:val="24"/>
          <w:szCs w:val="24"/>
          <w:lang w:val="es-ES"/>
        </w:rPr>
        <w:t>mercados de futuros, que con base en las referencias de WTI y Brent muestran un</w:t>
      </w:r>
      <w:r>
        <w:rPr>
          <w:rFonts w:cs="Arial"/>
          <w:sz w:val="24"/>
          <w:szCs w:val="24"/>
          <w:lang w:val="es-ES"/>
        </w:rPr>
        <w:t xml:space="preserve"> </w:t>
      </w:r>
      <w:r w:rsidRPr="00C1081B">
        <w:rPr>
          <w:rFonts w:cs="Arial"/>
          <w:sz w:val="24"/>
          <w:szCs w:val="24"/>
          <w:lang w:val="es-ES"/>
        </w:rPr>
        <w:t>precio promedio para la mezcla mexicana de aproximadamente 53 dpb.</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007E8">
        <w:rPr>
          <w:rFonts w:cs="Arial"/>
          <w:sz w:val="24"/>
          <w:szCs w:val="24"/>
          <w:lang w:val="es-ES"/>
        </w:rPr>
        <w:t>Se prevé que el crecimiento mundial se mantenga constante en 3</w:t>
      </w:r>
      <w:r>
        <w:rPr>
          <w:rFonts w:cs="Arial"/>
          <w:sz w:val="24"/>
          <w:szCs w:val="24"/>
          <w:lang w:val="es-ES"/>
        </w:rPr>
        <w:t>.</w:t>
      </w:r>
      <w:r w:rsidRPr="004007E8">
        <w:rPr>
          <w:rFonts w:cs="Arial"/>
          <w:sz w:val="24"/>
          <w:szCs w:val="24"/>
          <w:lang w:val="es-ES"/>
        </w:rPr>
        <w:t>7% en 2020, dado que el menor crecimiento de las economías avanzadas, resultante del retiro del estímulo fiscal en Estados Unidos y los menguantes efectos favorables generados por la demanda estadounidense hacia los socios comerciales, se ve compensado por un repunte del crecimiento de las economías de mercados emergentes y en desarrollo. A partir de entonces, se proyecta que el crecimiento mundial se desacelerará 3</w:t>
      </w:r>
      <w:r>
        <w:rPr>
          <w:rFonts w:cs="Arial"/>
          <w:sz w:val="24"/>
          <w:szCs w:val="24"/>
          <w:lang w:val="es-ES"/>
        </w:rPr>
        <w:t>.</w:t>
      </w:r>
      <w:r w:rsidRPr="004007E8">
        <w:rPr>
          <w:rFonts w:cs="Arial"/>
          <w:sz w:val="24"/>
          <w:szCs w:val="24"/>
          <w:lang w:val="es-ES"/>
        </w:rPr>
        <w:t>6% para 2022</w:t>
      </w:r>
      <w:r>
        <w:rPr>
          <w:rFonts w:cs="Arial"/>
          <w:sz w:val="24"/>
          <w:szCs w:val="24"/>
          <w:lang w:val="es-ES"/>
        </w:rPr>
        <w:t xml:space="preserve"> y 20</w:t>
      </w:r>
      <w:r w:rsidRPr="004007E8">
        <w:rPr>
          <w:rFonts w:cs="Arial"/>
          <w:sz w:val="24"/>
          <w:szCs w:val="24"/>
          <w:lang w:val="es-ES"/>
        </w:rPr>
        <w:t xml:space="preserve">23, en gran parte como reflejo de una moderación del crecimiento de las economías avanzadas hacia el nivel potencial de ese grupo.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007E8">
        <w:rPr>
          <w:rFonts w:cs="Arial"/>
          <w:sz w:val="24"/>
          <w:szCs w:val="24"/>
          <w:lang w:val="es-ES"/>
        </w:rPr>
        <w:t>En las economías avanzadas, el crecimiento permanecerá muy por encima del nivel de tendencia, ubicándose en 2</w:t>
      </w:r>
      <w:r>
        <w:rPr>
          <w:rFonts w:cs="Arial"/>
          <w:sz w:val="24"/>
          <w:szCs w:val="24"/>
          <w:lang w:val="es-ES"/>
        </w:rPr>
        <w:t>.</w:t>
      </w:r>
      <w:r w:rsidRPr="004007E8">
        <w:rPr>
          <w:rFonts w:cs="Arial"/>
          <w:sz w:val="24"/>
          <w:szCs w:val="24"/>
          <w:lang w:val="es-ES"/>
        </w:rPr>
        <w:t>4% en 2018, antes de moderarse a 2</w:t>
      </w:r>
      <w:r>
        <w:rPr>
          <w:rFonts w:cs="Arial"/>
          <w:sz w:val="24"/>
          <w:szCs w:val="24"/>
          <w:lang w:val="es-ES"/>
        </w:rPr>
        <w:t>.</w:t>
      </w:r>
      <w:r w:rsidRPr="004007E8">
        <w:rPr>
          <w:rFonts w:cs="Arial"/>
          <w:sz w:val="24"/>
          <w:szCs w:val="24"/>
          <w:lang w:val="es-ES"/>
        </w:rPr>
        <w:t>1% en 2019. El pronóstico para ambos años es 0</w:t>
      </w:r>
      <w:r>
        <w:rPr>
          <w:rFonts w:cs="Arial"/>
          <w:sz w:val="24"/>
          <w:szCs w:val="24"/>
          <w:lang w:val="es-ES"/>
        </w:rPr>
        <w:t>.</w:t>
      </w:r>
      <w:r w:rsidRPr="004007E8">
        <w:rPr>
          <w:rFonts w:cs="Arial"/>
          <w:sz w:val="24"/>
          <w:szCs w:val="24"/>
          <w:lang w:val="es-ES"/>
        </w:rPr>
        <w:t xml:space="preserve">1 </w:t>
      </w:r>
      <w:r>
        <w:rPr>
          <w:rFonts w:cs="Arial"/>
          <w:sz w:val="24"/>
          <w:szCs w:val="24"/>
          <w:lang w:val="es-ES"/>
        </w:rPr>
        <w:t>%</w:t>
      </w:r>
      <w:r w:rsidRPr="004007E8">
        <w:rPr>
          <w:rFonts w:cs="Arial"/>
          <w:sz w:val="24"/>
          <w:szCs w:val="24"/>
          <w:lang w:val="es-ES"/>
        </w:rPr>
        <w:t xml:space="preserve"> menor que el informe WEO de abril de 2018.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007E8">
        <w:rPr>
          <w:rFonts w:cs="Arial"/>
          <w:sz w:val="24"/>
          <w:szCs w:val="24"/>
          <w:lang w:val="es-ES"/>
        </w:rPr>
        <w:t xml:space="preserve">En 2018, ante los resultados menos favorables de lo esperado en el primer semestre del año, se revisaron a la baja las proyecciones para la zona del euro y el Reino Unido. En 2019, se prevé que las medidas comerciales </w:t>
      </w:r>
      <w:r w:rsidRPr="004007E8">
        <w:rPr>
          <w:rFonts w:cs="Arial"/>
          <w:sz w:val="24"/>
          <w:szCs w:val="24"/>
          <w:lang w:val="es-ES"/>
        </w:rPr>
        <w:lastRenderedPageBreak/>
        <w:t>recientes afecten la actividad económica, especialmente en Estados Unidos, donde el pronóstico de crecimiento para 2019 se revisó a la baja en 0</w:t>
      </w:r>
      <w:r>
        <w:rPr>
          <w:rFonts w:cs="Arial"/>
          <w:sz w:val="24"/>
          <w:szCs w:val="24"/>
          <w:lang w:val="es-ES"/>
        </w:rPr>
        <w:t>.</w:t>
      </w:r>
      <w:r w:rsidRPr="004007E8">
        <w:rPr>
          <w:rFonts w:cs="Arial"/>
          <w:sz w:val="24"/>
          <w:szCs w:val="24"/>
          <w:lang w:val="es-ES"/>
        </w:rPr>
        <w:t xml:space="preserve">2 </w:t>
      </w:r>
      <w:r>
        <w:rPr>
          <w:rFonts w:cs="Arial"/>
          <w:sz w:val="24"/>
          <w:szCs w:val="24"/>
          <w:lang w:val="es-ES"/>
        </w:rPr>
        <w:t>%</w:t>
      </w:r>
      <w:r w:rsidRPr="004007E8">
        <w:rPr>
          <w:rFonts w:cs="Arial"/>
          <w:sz w:val="24"/>
          <w:szCs w:val="24"/>
          <w:lang w:val="es-ES"/>
        </w:rPr>
        <w:t xml:space="preserve">.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007E8">
        <w:rPr>
          <w:rFonts w:cs="Arial"/>
          <w:sz w:val="24"/>
          <w:szCs w:val="24"/>
          <w:lang w:val="es-ES"/>
        </w:rPr>
        <w:t>Se prevé que el crecimiento disminuya a 1</w:t>
      </w:r>
      <w:r>
        <w:rPr>
          <w:rFonts w:cs="Arial"/>
          <w:sz w:val="24"/>
          <w:szCs w:val="24"/>
          <w:lang w:val="es-ES"/>
        </w:rPr>
        <w:t>.</w:t>
      </w:r>
      <w:r w:rsidRPr="004007E8">
        <w:rPr>
          <w:rFonts w:cs="Arial"/>
          <w:sz w:val="24"/>
          <w:szCs w:val="24"/>
          <w:lang w:val="es-ES"/>
        </w:rPr>
        <w:t>8% en 2020 a medida que comience a retirarse el estímulo fiscal en Estados Unidos y el crecimiento de la zona del euro se modere hacia su potencial de mediano plazo. Se proyecta que el crecimiento caerá más tarde a 1</w:t>
      </w:r>
      <w:r>
        <w:rPr>
          <w:rFonts w:cs="Arial"/>
          <w:sz w:val="24"/>
          <w:szCs w:val="24"/>
          <w:lang w:val="es-ES"/>
        </w:rPr>
        <w:t>.</w:t>
      </w:r>
      <w:r w:rsidRPr="004007E8">
        <w:rPr>
          <w:rFonts w:cs="Arial"/>
          <w:sz w:val="24"/>
          <w:szCs w:val="24"/>
          <w:lang w:val="es-ES"/>
        </w:rPr>
        <w:t>4% al continuar desacelerándose el crecimiento de la población en edad de trabajar y mantenerse moderado el crecimiento de la productividad. Dado que la expansión continúa a ritmo vigoroso en las economías emergentes de Asia —pese a una revisión a la baja de 0</w:t>
      </w:r>
      <w:r>
        <w:rPr>
          <w:rFonts w:cs="Arial"/>
          <w:sz w:val="24"/>
          <w:szCs w:val="24"/>
          <w:lang w:val="es-ES"/>
        </w:rPr>
        <w:t>.</w:t>
      </w:r>
      <w:r w:rsidRPr="004007E8">
        <w:rPr>
          <w:rFonts w:cs="Arial"/>
          <w:sz w:val="24"/>
          <w:szCs w:val="24"/>
          <w:lang w:val="es-ES"/>
        </w:rPr>
        <w:t>3</w:t>
      </w:r>
      <w:r>
        <w:rPr>
          <w:rFonts w:cs="Arial"/>
          <w:sz w:val="24"/>
          <w:szCs w:val="24"/>
          <w:lang w:val="es-ES"/>
        </w:rPr>
        <w:t>%</w:t>
      </w:r>
      <w:r w:rsidRPr="004007E8">
        <w:rPr>
          <w:rFonts w:cs="Arial"/>
          <w:sz w:val="24"/>
          <w:szCs w:val="24"/>
          <w:lang w:val="es-ES"/>
        </w:rPr>
        <w:t xml:space="preserve"> del pronóstico de crecimiento para 2019, que obedece mayormente a las medidas comerciales anunciadas recientemente— y la actividad se está afianzando en los países exportadores de materias primas, se prevé que el crecimiento en el grupo de economías de mercados emergentes y en desarrollo se mantenga estable en 4</w:t>
      </w:r>
      <w:r>
        <w:rPr>
          <w:rFonts w:cs="Arial"/>
          <w:sz w:val="24"/>
          <w:szCs w:val="24"/>
          <w:lang w:val="es-ES"/>
        </w:rPr>
        <w:t>.</w:t>
      </w:r>
      <w:r w:rsidRPr="004007E8">
        <w:rPr>
          <w:rFonts w:cs="Arial"/>
          <w:sz w:val="24"/>
          <w:szCs w:val="24"/>
          <w:lang w:val="es-ES"/>
        </w:rPr>
        <w:t>7% en 2018</w:t>
      </w:r>
      <w:r>
        <w:rPr>
          <w:rFonts w:cs="Arial"/>
          <w:sz w:val="24"/>
          <w:szCs w:val="24"/>
          <w:lang w:val="es-ES"/>
        </w:rPr>
        <w:t xml:space="preserve"> y 20</w:t>
      </w:r>
      <w:r w:rsidRPr="004007E8">
        <w:rPr>
          <w:rFonts w:cs="Arial"/>
          <w:sz w:val="24"/>
          <w:szCs w:val="24"/>
          <w:lang w:val="es-ES"/>
        </w:rPr>
        <w:t xml:space="preserve">19. </w:t>
      </w:r>
    </w:p>
    <w:p w:rsidR="0037578E" w:rsidRDefault="0037578E" w:rsidP="0037578E">
      <w:pPr>
        <w:pStyle w:val="PRIMERAPLANA"/>
        <w:spacing w:line="360" w:lineRule="auto"/>
        <w:rPr>
          <w:rFonts w:cs="Arial"/>
          <w:sz w:val="24"/>
          <w:szCs w:val="24"/>
          <w:lang w:val="es-ES"/>
        </w:rPr>
      </w:pPr>
      <w:r w:rsidRPr="004007E8">
        <w:rPr>
          <w:rFonts w:cs="Arial"/>
          <w:sz w:val="24"/>
          <w:szCs w:val="24"/>
          <w:lang w:val="es-ES"/>
        </w:rPr>
        <w:t>En el mediano plazo, se proyecta que el crecimiento aumente a un nivel ligeramente inferior al 5%. Más allá de 2019, la tasa de crecimiento agregado de este grupo refleja un proceso de compensación, dado que se modera el crecimiento hasta alcanzar un ritmo sostenible en China, mientras mejora en India (debido a reformas estructurales y</w:t>
      </w:r>
      <w:r>
        <w:rPr>
          <w:rFonts w:cs="Arial"/>
          <w:sz w:val="24"/>
          <w:szCs w:val="24"/>
          <w:lang w:val="es-ES"/>
        </w:rPr>
        <w:t xml:space="preserve"> </w:t>
      </w:r>
      <w:r w:rsidRPr="00341C9E">
        <w:rPr>
          <w:rFonts w:cs="Arial"/>
          <w:sz w:val="24"/>
          <w:szCs w:val="24"/>
          <w:lang w:val="es-ES"/>
        </w:rPr>
        <w:t>a una situación demográfica todavía favorable) y en los países exportadores de materias primas (aunque a tasas inferiores al promedio de las últimas décadas), y algunas economías se ven sometidas a tensiones macroeconómicas en 2018</w:t>
      </w:r>
      <w:r>
        <w:rPr>
          <w:rFonts w:cs="Arial"/>
          <w:sz w:val="24"/>
          <w:szCs w:val="24"/>
          <w:lang w:val="es-ES"/>
        </w:rPr>
        <w:t xml:space="preserve"> y 20</w:t>
      </w:r>
      <w:r w:rsidRPr="00341C9E">
        <w:rPr>
          <w:rFonts w:cs="Arial"/>
          <w:sz w:val="24"/>
          <w:szCs w:val="24"/>
          <w:lang w:val="es-ES"/>
        </w:rPr>
        <w:t xml:space="preserve">19.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341C9E">
        <w:rPr>
          <w:rFonts w:cs="Arial"/>
          <w:sz w:val="24"/>
          <w:szCs w:val="24"/>
          <w:lang w:val="es-ES"/>
        </w:rPr>
        <w:lastRenderedPageBreak/>
        <w:t>En comparación con el informe WEO de abril de 2018, el pronóstico de crecimiento para las economías de mercados emergentes y en desarrollo fue rebajado para 2018 y 2019 en 0</w:t>
      </w:r>
      <w:r>
        <w:rPr>
          <w:rFonts w:cs="Arial"/>
          <w:sz w:val="24"/>
          <w:szCs w:val="24"/>
          <w:lang w:val="es-ES"/>
        </w:rPr>
        <w:t>.</w:t>
      </w:r>
      <w:r w:rsidRPr="00341C9E">
        <w:rPr>
          <w:rFonts w:cs="Arial"/>
          <w:sz w:val="24"/>
          <w:szCs w:val="24"/>
          <w:lang w:val="es-ES"/>
        </w:rPr>
        <w:t>2</w:t>
      </w:r>
      <w:r>
        <w:rPr>
          <w:rFonts w:cs="Arial"/>
          <w:sz w:val="24"/>
          <w:szCs w:val="24"/>
          <w:lang w:val="es-ES"/>
        </w:rPr>
        <w:t>%</w:t>
      </w:r>
      <w:r w:rsidRPr="00341C9E">
        <w:rPr>
          <w:rFonts w:cs="Arial"/>
          <w:sz w:val="24"/>
          <w:szCs w:val="24"/>
          <w:lang w:val="es-ES"/>
        </w:rPr>
        <w:t xml:space="preserve"> y 0</w:t>
      </w:r>
      <w:r>
        <w:rPr>
          <w:rFonts w:cs="Arial"/>
          <w:sz w:val="24"/>
          <w:szCs w:val="24"/>
          <w:lang w:val="es-ES"/>
        </w:rPr>
        <w:t>.</w:t>
      </w:r>
      <w:r w:rsidRPr="00341C9E">
        <w:rPr>
          <w:rFonts w:cs="Arial"/>
          <w:sz w:val="24"/>
          <w:szCs w:val="24"/>
          <w:lang w:val="es-ES"/>
        </w:rPr>
        <w:t>4</w:t>
      </w:r>
      <w:r>
        <w:rPr>
          <w:rFonts w:cs="Arial"/>
          <w:sz w:val="24"/>
          <w:szCs w:val="24"/>
          <w:lang w:val="es-ES"/>
        </w:rPr>
        <w:t>%</w:t>
      </w:r>
      <w:r w:rsidRPr="00341C9E">
        <w:rPr>
          <w:rFonts w:cs="Arial"/>
          <w:sz w:val="24"/>
          <w:szCs w:val="24"/>
          <w:lang w:val="es-ES"/>
        </w:rPr>
        <w:t xml:space="preserve"> respectivamente, y para 2020</w:t>
      </w:r>
      <w:r>
        <w:rPr>
          <w:rFonts w:cs="Arial"/>
          <w:sz w:val="24"/>
          <w:szCs w:val="24"/>
          <w:lang w:val="es-ES"/>
        </w:rPr>
        <w:t xml:space="preserve"> a 20</w:t>
      </w:r>
      <w:r w:rsidRPr="00341C9E">
        <w:rPr>
          <w:rFonts w:cs="Arial"/>
          <w:sz w:val="24"/>
          <w:szCs w:val="24"/>
          <w:lang w:val="es-ES"/>
        </w:rPr>
        <w:t>23 en alrededor de 0</w:t>
      </w:r>
      <w:r>
        <w:rPr>
          <w:rFonts w:cs="Arial"/>
          <w:sz w:val="24"/>
          <w:szCs w:val="24"/>
          <w:lang w:val="es-ES"/>
        </w:rPr>
        <w:t>.</w:t>
      </w:r>
      <w:r w:rsidRPr="00341C9E">
        <w:rPr>
          <w:rFonts w:cs="Arial"/>
          <w:sz w:val="24"/>
          <w:szCs w:val="24"/>
          <w:lang w:val="es-ES"/>
        </w:rPr>
        <w:t>2 puntos porcentuales. Para 2018</w:t>
      </w:r>
      <w:r>
        <w:rPr>
          <w:rFonts w:cs="Arial"/>
          <w:sz w:val="24"/>
          <w:szCs w:val="24"/>
          <w:lang w:val="es-ES"/>
        </w:rPr>
        <w:t xml:space="preserve"> y 20</w:t>
      </w:r>
      <w:r w:rsidRPr="00341C9E">
        <w:rPr>
          <w:rFonts w:cs="Arial"/>
          <w:sz w:val="24"/>
          <w:szCs w:val="24"/>
          <w:lang w:val="es-ES"/>
        </w:rPr>
        <w:t xml:space="preserve">19, las causas principales de la revisión a la baja son el impacto negativo que se prevé que tengan las medidas comerciales aplicadas desde el informe WEO de abril de 2018 sobre la actividad en China y otras economías emergentes de Asia, una actividad mucho más débil en Irán tras la reimposición de sanciones por parte de Estados Unidos, una fuerte desaceleración proyectada para Turquía tras la persistente turbulencia de los mercados, y perspectivas más tenues para las grandes economías de América Latina (Argentina, Brasil, México).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341C9E">
        <w:rPr>
          <w:rFonts w:cs="Arial"/>
          <w:sz w:val="24"/>
          <w:szCs w:val="24"/>
          <w:lang w:val="es-ES"/>
        </w:rPr>
        <w:t>Para el período 2020</w:t>
      </w:r>
      <w:r>
        <w:rPr>
          <w:rFonts w:cs="Arial"/>
          <w:sz w:val="24"/>
          <w:szCs w:val="24"/>
          <w:lang w:val="es-ES"/>
        </w:rPr>
        <w:t xml:space="preserve"> a 20</w:t>
      </w:r>
      <w:r w:rsidRPr="00341C9E">
        <w:rPr>
          <w:rFonts w:cs="Arial"/>
          <w:sz w:val="24"/>
          <w:szCs w:val="24"/>
          <w:lang w:val="es-ES"/>
        </w:rPr>
        <w:t>23, las revisiones reflejan principalmente una reevaluación a la baja de las aún sólidas perspectivas de crecimiento para India y un pronóstico de crecimiento más bajo para Pakistán y Turquía, además de un debilitamiento continuado del crecimiento en Irán</w:t>
      </w:r>
      <w:r>
        <w:rPr>
          <w:rFonts w:cs="Arial"/>
          <w:sz w:val="24"/>
          <w:szCs w:val="24"/>
          <w:lang w:val="es-ES"/>
        </w:rPr>
        <w:t>.</w:t>
      </w:r>
    </w:p>
    <w:p w:rsidR="0037578E" w:rsidRDefault="0037578E" w:rsidP="0037578E">
      <w:pPr>
        <w:pStyle w:val="PRIMERAPLANA"/>
        <w:spacing w:line="360" w:lineRule="auto"/>
        <w:rPr>
          <w:rFonts w:cs="Arial"/>
          <w:sz w:val="24"/>
          <w:szCs w:val="24"/>
          <w:lang w:val="es-ES"/>
        </w:rPr>
      </w:pPr>
      <w:r w:rsidRPr="001104EF">
        <w:rPr>
          <w:rFonts w:cs="Arial"/>
          <w:sz w:val="24"/>
          <w:szCs w:val="24"/>
          <w:lang w:val="es-ES"/>
        </w:rPr>
        <w:t>El balance de riesgos para el pronóstico de crecimiento mundial a corto plazo se ha desplazado a la baja. El potencial de sorpresas a</w:t>
      </w:r>
      <w:r>
        <w:rPr>
          <w:rFonts w:cs="Arial"/>
          <w:sz w:val="24"/>
          <w:szCs w:val="24"/>
          <w:lang w:val="es-ES"/>
        </w:rPr>
        <w:t>l alza</w:t>
      </w:r>
      <w:r w:rsidRPr="001104EF">
        <w:rPr>
          <w:rFonts w:cs="Arial"/>
          <w:sz w:val="24"/>
          <w:szCs w:val="24"/>
          <w:lang w:val="es-ES"/>
        </w:rPr>
        <w:t xml:space="preserve"> ha retrocedido, en vista del endurecimiento de las condiciones financieras en algunos lugares del mundo, el aumento de los costos del comercio, la lenta implementación de reformas recomendadas en el pasado y un menguante ímpetu del crecimiento, reflejado en resultados peores que los previstos en varias grandes economías, una atenuación del crecimiento de la producción industrial y una moderación de algunos indicadores de alta frecuencia. </w:t>
      </w:r>
    </w:p>
    <w:p w:rsidR="0037578E" w:rsidRDefault="0037578E" w:rsidP="0037578E">
      <w:pPr>
        <w:pStyle w:val="PRIMERAPLANA"/>
        <w:spacing w:line="360" w:lineRule="auto"/>
        <w:rPr>
          <w:rFonts w:cs="Arial"/>
          <w:sz w:val="24"/>
          <w:szCs w:val="24"/>
          <w:lang w:val="es-ES"/>
        </w:rPr>
      </w:pPr>
      <w:r w:rsidRPr="001104EF">
        <w:rPr>
          <w:rFonts w:cs="Arial"/>
          <w:sz w:val="24"/>
          <w:szCs w:val="24"/>
          <w:lang w:val="es-ES"/>
        </w:rPr>
        <w:lastRenderedPageBreak/>
        <w:t xml:space="preserve">Al mismo tiempo, varios de los riesgos a la baja señalados en el informe WEO de abril de 2018 se han vuelto más pronunciados o se han materializado parcialmente, tales como las crecientes barreras comerciales y una reversión de los flujos de capital para las economías de mercados emergentes que tienen fundamentos más débiles y un riesgo político más elevado. Teniendo en cuenta que la retórica proteccionista se está materializando cada vez más en medidas concretas, como los aranceles impuestos por Estados Unidos sobre una amplia gama de importaciones y las medidas de represalia adoptadas por sus socios comerciales, sin cooperación en materia de políticas </w:t>
      </w:r>
      <w:r>
        <w:rPr>
          <w:rFonts w:cs="Arial"/>
          <w:sz w:val="24"/>
          <w:szCs w:val="24"/>
          <w:lang w:val="es-ES"/>
        </w:rPr>
        <w:t xml:space="preserve">de intercambio </w:t>
      </w:r>
      <w:r w:rsidRPr="001104EF">
        <w:rPr>
          <w:rFonts w:cs="Arial"/>
          <w:sz w:val="24"/>
          <w:szCs w:val="24"/>
          <w:lang w:val="es-ES"/>
        </w:rPr>
        <w:t xml:space="preserve">existe la posibilidad clara de que se intensifiquen las tensiones comerciales hasta el punto en que representen un riesgo sistémico.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Pr>
          <w:rFonts w:cs="Arial"/>
          <w:sz w:val="24"/>
          <w:szCs w:val="24"/>
          <w:lang w:val="es-ES"/>
        </w:rPr>
        <w:t>Por otro lado,</w:t>
      </w:r>
      <w:r w:rsidRPr="001104EF">
        <w:rPr>
          <w:rFonts w:cs="Arial"/>
          <w:sz w:val="24"/>
          <w:szCs w:val="24"/>
          <w:lang w:val="es-ES"/>
        </w:rPr>
        <w:t xml:space="preserve"> las condiciones financieras mundiales, si bien son aún laxas en general, podrían endurecerse fuertemente ante una contracción de la política monetaria más rápida que la prevista en las economías avanzadas o el surgimiento de otros riesgos que provocar</w:t>
      </w:r>
      <w:r>
        <w:rPr>
          <w:rFonts w:cs="Arial"/>
          <w:sz w:val="24"/>
          <w:szCs w:val="24"/>
          <w:lang w:val="es-ES"/>
        </w:rPr>
        <w:t>á</w:t>
      </w:r>
      <w:r w:rsidRPr="001104EF">
        <w:rPr>
          <w:rFonts w:cs="Arial"/>
          <w:sz w:val="24"/>
          <w:szCs w:val="24"/>
          <w:lang w:val="es-ES"/>
        </w:rPr>
        <w:t xml:space="preserve">n un repentino deterioro de la confianza de los mercados. Dado que la deuda pública y empresarial está cerca de niveles récord en muchos países, tales hechos expondrían las vulnerabilidades que se han acumulado a través de los años, harían mella en la confianza y socavarían la inversión, un motor clave del pronóstico base del crecimiento.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1104EF">
        <w:rPr>
          <w:rFonts w:cs="Arial"/>
          <w:sz w:val="24"/>
          <w:szCs w:val="24"/>
          <w:lang w:val="es-ES"/>
        </w:rPr>
        <w:t xml:space="preserve">En el mediano plazo, los riesgos para el pronóstico de crecimiento permanecen inclinados a la baja como lo estuvieron en </w:t>
      </w:r>
      <w:r>
        <w:rPr>
          <w:rFonts w:cs="Arial"/>
          <w:sz w:val="24"/>
          <w:szCs w:val="24"/>
          <w:lang w:val="es-ES"/>
        </w:rPr>
        <w:t xml:space="preserve">el informe WEO de </w:t>
      </w:r>
      <w:r w:rsidRPr="001104EF">
        <w:rPr>
          <w:rFonts w:cs="Arial"/>
          <w:sz w:val="24"/>
          <w:szCs w:val="24"/>
          <w:lang w:val="es-ES"/>
        </w:rPr>
        <w:lastRenderedPageBreak/>
        <w:t>abril. Estos riesgos</w:t>
      </w:r>
      <w:r>
        <w:rPr>
          <w:rFonts w:cs="Arial"/>
          <w:sz w:val="24"/>
          <w:szCs w:val="24"/>
          <w:lang w:val="es-ES"/>
        </w:rPr>
        <w:t>,</w:t>
      </w:r>
      <w:r w:rsidRPr="001104EF">
        <w:rPr>
          <w:rFonts w:cs="Arial"/>
          <w:sz w:val="24"/>
          <w:szCs w:val="24"/>
          <w:lang w:val="es-ES"/>
        </w:rPr>
        <w:t xml:space="preserve"> surgen de una continua acumulación de vulnerabilidades financieras, </w:t>
      </w:r>
      <w:r>
        <w:rPr>
          <w:rFonts w:cs="Arial"/>
          <w:sz w:val="24"/>
          <w:szCs w:val="24"/>
          <w:lang w:val="es-ES"/>
        </w:rPr>
        <w:t xml:space="preserve">además de </w:t>
      </w:r>
      <w:r w:rsidRPr="001104EF">
        <w:rPr>
          <w:rFonts w:cs="Arial"/>
          <w:sz w:val="24"/>
          <w:szCs w:val="24"/>
          <w:lang w:val="es-ES"/>
        </w:rPr>
        <w:t>la implementación de políticas macroeconómicas insostenibles ante la perspectiva de un crecimiento más tenue,</w:t>
      </w:r>
      <w:r>
        <w:rPr>
          <w:rFonts w:cs="Arial"/>
          <w:sz w:val="24"/>
          <w:szCs w:val="24"/>
          <w:lang w:val="es-ES"/>
        </w:rPr>
        <w:t xml:space="preserve"> así como</w:t>
      </w:r>
      <w:r w:rsidRPr="001104EF">
        <w:rPr>
          <w:rFonts w:cs="Arial"/>
          <w:sz w:val="24"/>
          <w:szCs w:val="24"/>
          <w:lang w:val="es-ES"/>
        </w:rPr>
        <w:t xml:space="preserve"> una creciente desigualdad y un menor grado de confianza en las políticas predominantes.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1104EF">
        <w:rPr>
          <w:rFonts w:cs="Arial"/>
          <w:sz w:val="24"/>
          <w:szCs w:val="24"/>
          <w:lang w:val="es-ES"/>
        </w:rPr>
        <w:t>Si alguno de esos riesgos se materializa, la probabilidad de que sucedan otros acontecimientos desestabilizadores podría aumentar, potenciando las consecuencias negativas para el crecimiento</w:t>
      </w:r>
      <w:r>
        <w:rPr>
          <w:rFonts w:cs="Arial"/>
          <w:sz w:val="24"/>
          <w:szCs w:val="24"/>
          <w:lang w:val="es-ES"/>
        </w:rPr>
        <w:t>; además, u</w:t>
      </w:r>
      <w:r w:rsidRPr="001104EF">
        <w:rPr>
          <w:rFonts w:cs="Arial"/>
          <w:sz w:val="24"/>
          <w:szCs w:val="24"/>
          <w:lang w:val="es-ES"/>
        </w:rPr>
        <w:t>na variedad de otros factores no económicos continúa empañando las perspectivas. El limitado margen para la aplicación de políticas que contrarresten los procesos recesivos en las economías avanzadas y de mercados emergentes exacerba aún más la preocupación acerca de estas posibilidades indeseables.</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8C2466">
        <w:rPr>
          <w:rFonts w:cs="Arial"/>
          <w:sz w:val="24"/>
          <w:szCs w:val="24"/>
          <w:lang w:val="es-ES"/>
        </w:rPr>
        <w:t xml:space="preserve">Para preservar la expansión mundial, continúa siendo esencial evitar medidas proteccionistas y encontrar una solución concertada que promueva el crecimiento ininterrumpido del comercio internacional de bienes y servicios. </w:t>
      </w:r>
      <w:r>
        <w:rPr>
          <w:rFonts w:cs="Arial"/>
          <w:sz w:val="24"/>
          <w:szCs w:val="24"/>
          <w:lang w:val="es-ES"/>
        </w:rPr>
        <w:t>Para reforzar la resiliencia financiera l</w:t>
      </w:r>
      <w:r w:rsidRPr="008C2466">
        <w:rPr>
          <w:rFonts w:cs="Arial"/>
          <w:sz w:val="24"/>
          <w:szCs w:val="24"/>
          <w:lang w:val="es-ES"/>
        </w:rPr>
        <w:t>as políticas y las reformas deberían apuntar a sustentar la actividad, estimular el crecimiento a mediano plazo y realzar su inclusividad. Pero dado que la capacidad ociosa ha disminuido y que los riesgos a la baja están recrudeciendo, muchos países necesitan recomponer los márgenes fiscales de protección para dejar espacio de maniobra a la política económica de cara a la próxima desaceleración.</w:t>
      </w:r>
    </w:p>
    <w:p w:rsidR="0037578E" w:rsidRDefault="0037578E" w:rsidP="0037578E">
      <w:pPr>
        <w:pStyle w:val="PRIMERAPLANA"/>
        <w:spacing w:line="360" w:lineRule="auto"/>
        <w:ind w:left="-993"/>
        <w:jc w:val="left"/>
        <w:rPr>
          <w:noProof/>
          <w:lang w:val="es-MX" w:eastAsia="es-MX"/>
        </w:rPr>
      </w:pPr>
      <w:r>
        <w:rPr>
          <w:noProof/>
          <w:lang w:val="es-MX" w:eastAsia="es-MX"/>
        </w:rPr>
        <w:lastRenderedPageBreak/>
        <w:drawing>
          <wp:inline distT="0" distB="0" distL="0" distR="0" wp14:anchorId="44AAFA4D" wp14:editId="6E513BE1">
            <wp:extent cx="7427758" cy="5643922"/>
            <wp:effectExtent l="0" t="3492"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22074" t="16914" r="24179" b="16544"/>
                    <a:stretch/>
                  </pic:blipFill>
                  <pic:spPr bwMode="auto">
                    <a:xfrm rot="16200000">
                      <a:off x="0" y="0"/>
                      <a:ext cx="7495280" cy="5695228"/>
                    </a:xfrm>
                    <a:prstGeom prst="rect">
                      <a:avLst/>
                    </a:prstGeom>
                    <a:ln>
                      <a:noFill/>
                    </a:ln>
                    <a:extLst>
                      <a:ext uri="{53640926-AAD7-44D8-BBD7-CCE9431645EC}">
                        <a14:shadowObscured xmlns:a14="http://schemas.microsoft.com/office/drawing/2010/main"/>
                      </a:ext>
                    </a:extLst>
                  </pic:spPr>
                </pic:pic>
              </a:graphicData>
            </a:graphic>
          </wp:inline>
        </w:drawing>
      </w:r>
    </w:p>
    <w:p w:rsidR="0037578E" w:rsidRDefault="0037578E" w:rsidP="0037578E">
      <w:pPr>
        <w:pStyle w:val="PRIMERAPLANA"/>
        <w:spacing w:line="360" w:lineRule="auto"/>
        <w:ind w:left="-993"/>
        <w:jc w:val="left"/>
        <w:rPr>
          <w:noProof/>
          <w:lang w:val="es-MX" w:eastAsia="es-MX"/>
        </w:rPr>
      </w:pPr>
      <w:r>
        <w:rPr>
          <w:noProof/>
          <w:lang w:val="es-MX" w:eastAsia="es-MX"/>
        </w:rPr>
        <w:lastRenderedPageBreak/>
        <w:drawing>
          <wp:inline distT="0" distB="0" distL="0" distR="0" wp14:anchorId="3D7313C2" wp14:editId="02C9DE69">
            <wp:extent cx="7456170" cy="5534365"/>
            <wp:effectExtent l="8572" t="0" r="953" b="952"/>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Lst>
                    </a:blip>
                    <a:srcRect l="21980" t="15625" r="23719" b="18405"/>
                    <a:stretch/>
                  </pic:blipFill>
                  <pic:spPr bwMode="auto">
                    <a:xfrm rot="16200000">
                      <a:off x="0" y="0"/>
                      <a:ext cx="7502540" cy="5568783"/>
                    </a:xfrm>
                    <a:prstGeom prst="rect">
                      <a:avLst/>
                    </a:prstGeom>
                    <a:ln>
                      <a:noFill/>
                    </a:ln>
                    <a:extLst>
                      <a:ext uri="{53640926-AAD7-44D8-BBD7-CCE9431645EC}">
                        <a14:shadowObscured xmlns:a14="http://schemas.microsoft.com/office/drawing/2010/main"/>
                      </a:ext>
                    </a:extLst>
                  </pic:spPr>
                </pic:pic>
              </a:graphicData>
            </a:graphic>
          </wp:inline>
        </w:drawing>
      </w:r>
    </w:p>
    <w:p w:rsidR="0037578E" w:rsidRPr="00FF7F36" w:rsidRDefault="0037578E" w:rsidP="00521596">
      <w:pPr>
        <w:spacing w:line="360" w:lineRule="auto"/>
        <w:jc w:val="both"/>
        <w:rPr>
          <w:rFonts w:ascii="Arial" w:hAnsi="Arial" w:cs="Arial"/>
          <w:b/>
          <w:bCs/>
        </w:rPr>
      </w:pPr>
      <w:r w:rsidRPr="00FF7F36">
        <w:rPr>
          <w:rFonts w:ascii="Arial" w:hAnsi="Arial" w:cs="Arial"/>
          <w:b/>
          <w:bCs/>
        </w:rPr>
        <w:lastRenderedPageBreak/>
        <w:t>ENTORNO NACIONAL.</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2F0A6F">
        <w:rPr>
          <w:rFonts w:cs="Arial"/>
          <w:sz w:val="24"/>
          <w:szCs w:val="24"/>
          <w:lang w:val="es-ES"/>
        </w:rPr>
        <w:t>Ante el entorno externo adverso registrado en los últimos años, la economía de México</w:t>
      </w:r>
      <w:r>
        <w:rPr>
          <w:rFonts w:cs="Arial"/>
          <w:sz w:val="24"/>
          <w:szCs w:val="24"/>
          <w:lang w:val="es-ES"/>
        </w:rPr>
        <w:t xml:space="preserve"> </w:t>
      </w:r>
      <w:r w:rsidRPr="002F0A6F">
        <w:rPr>
          <w:rFonts w:cs="Arial"/>
          <w:sz w:val="24"/>
          <w:szCs w:val="24"/>
          <w:lang w:val="es-ES"/>
        </w:rPr>
        <w:t>se ha mostrado resiliente, a lo cual ha contribuido la solidez de los fundamentos</w:t>
      </w:r>
      <w:r>
        <w:rPr>
          <w:rFonts w:cs="Arial"/>
          <w:sz w:val="24"/>
          <w:szCs w:val="24"/>
          <w:lang w:val="es-ES"/>
        </w:rPr>
        <w:t xml:space="preserve"> </w:t>
      </w:r>
      <w:r w:rsidRPr="002F0A6F">
        <w:rPr>
          <w:rFonts w:cs="Arial"/>
          <w:sz w:val="24"/>
          <w:szCs w:val="24"/>
          <w:lang w:val="es-ES"/>
        </w:rPr>
        <w:t>macroeconómicos y el avance en la implementación de las Reformas Estructurales</w:t>
      </w:r>
      <w:r>
        <w:rPr>
          <w:rFonts w:cs="Arial"/>
          <w:sz w:val="24"/>
          <w:szCs w:val="24"/>
          <w:lang w:val="es-ES"/>
        </w:rPr>
        <w:t xml:space="preserve">, por lo que </w:t>
      </w:r>
      <w:r w:rsidRPr="002F0A6F">
        <w:rPr>
          <w:rFonts w:cs="Arial"/>
          <w:sz w:val="24"/>
          <w:szCs w:val="24"/>
          <w:lang w:val="es-ES"/>
        </w:rPr>
        <w:t xml:space="preserve">en 2017 y principios de 2018 la actividad económica </w:t>
      </w:r>
      <w:r>
        <w:rPr>
          <w:rFonts w:cs="Arial"/>
          <w:sz w:val="24"/>
          <w:szCs w:val="24"/>
          <w:lang w:val="es-ES"/>
        </w:rPr>
        <w:t>ha continuado</w:t>
      </w:r>
      <w:r w:rsidRPr="002F0A6F">
        <w:rPr>
          <w:rFonts w:cs="Arial"/>
          <w:sz w:val="24"/>
          <w:szCs w:val="24"/>
          <w:lang w:val="es-ES"/>
        </w:rPr>
        <w:t xml:space="preserve"> expandiéndose</w:t>
      </w:r>
      <w:r>
        <w:rPr>
          <w:rFonts w:cs="Arial"/>
          <w:sz w:val="24"/>
          <w:szCs w:val="24"/>
          <w:lang w:val="es-ES"/>
        </w:rPr>
        <w:t>.</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74299">
        <w:rPr>
          <w:rFonts w:cs="Arial"/>
          <w:sz w:val="24"/>
          <w:szCs w:val="24"/>
          <w:lang w:val="es-ES"/>
        </w:rPr>
        <w:t>Durante 2017, la actividad económica en México registró una expansión de 2.0%</w:t>
      </w:r>
      <w:r>
        <w:rPr>
          <w:rFonts w:cs="Arial"/>
          <w:sz w:val="24"/>
          <w:szCs w:val="24"/>
          <w:lang w:val="es-ES"/>
        </w:rPr>
        <w:t xml:space="preserve"> </w:t>
      </w:r>
      <w:r w:rsidRPr="00474299">
        <w:rPr>
          <w:rFonts w:cs="Arial"/>
          <w:sz w:val="24"/>
          <w:szCs w:val="24"/>
          <w:lang w:val="es-ES"/>
        </w:rPr>
        <w:t>(2.3% en cifras ajustadas por estacionalidad) como resultado del crecimiento de las</w:t>
      </w:r>
      <w:r>
        <w:rPr>
          <w:rFonts w:cs="Arial"/>
          <w:sz w:val="24"/>
          <w:szCs w:val="24"/>
          <w:lang w:val="es-ES"/>
        </w:rPr>
        <w:t xml:space="preserve"> </w:t>
      </w:r>
      <w:r w:rsidRPr="00474299">
        <w:rPr>
          <w:rFonts w:cs="Arial"/>
          <w:sz w:val="24"/>
          <w:szCs w:val="24"/>
          <w:lang w:val="es-ES"/>
        </w:rPr>
        <w:t>manufacturas y de los servicios, principalmente. En contraste, la actividad económica</w:t>
      </w:r>
      <w:r>
        <w:rPr>
          <w:rFonts w:cs="Arial"/>
          <w:sz w:val="24"/>
          <w:szCs w:val="24"/>
          <w:lang w:val="es-ES"/>
        </w:rPr>
        <w:t xml:space="preserve"> </w:t>
      </w:r>
      <w:r w:rsidRPr="00474299">
        <w:rPr>
          <w:rFonts w:cs="Arial"/>
          <w:sz w:val="24"/>
          <w:szCs w:val="24"/>
          <w:lang w:val="es-ES"/>
        </w:rPr>
        <w:t>estuvo afectada negativamente por los sectores de petróleo y construcción. Del</w:t>
      </w:r>
      <w:r>
        <w:rPr>
          <w:rFonts w:cs="Arial"/>
          <w:sz w:val="24"/>
          <w:szCs w:val="24"/>
          <w:lang w:val="es-ES"/>
        </w:rPr>
        <w:t xml:space="preserve"> </w:t>
      </w:r>
      <w:r w:rsidRPr="00474299">
        <w:rPr>
          <w:rFonts w:cs="Arial"/>
          <w:sz w:val="24"/>
          <w:szCs w:val="24"/>
          <w:lang w:val="es-ES"/>
        </w:rPr>
        <w:t>comportamiento a lo largo del año, destaca que, como consecuencia de los efectos de</w:t>
      </w:r>
      <w:r>
        <w:rPr>
          <w:rFonts w:cs="Arial"/>
          <w:sz w:val="24"/>
          <w:szCs w:val="24"/>
          <w:lang w:val="es-ES"/>
        </w:rPr>
        <w:t xml:space="preserve"> </w:t>
      </w:r>
      <w:r w:rsidRPr="00474299">
        <w:rPr>
          <w:rFonts w:cs="Arial"/>
          <w:sz w:val="24"/>
          <w:szCs w:val="24"/>
          <w:lang w:val="es-ES"/>
        </w:rPr>
        <w:t>los sismos ocurridos en septiembre, en el tercer trimestre de 2017 el PIB registró una</w:t>
      </w:r>
      <w:r>
        <w:rPr>
          <w:rFonts w:cs="Arial"/>
          <w:sz w:val="24"/>
          <w:szCs w:val="24"/>
          <w:lang w:val="es-ES"/>
        </w:rPr>
        <w:t xml:space="preserve"> </w:t>
      </w:r>
      <w:r w:rsidRPr="00474299">
        <w:rPr>
          <w:rFonts w:cs="Arial"/>
          <w:sz w:val="24"/>
          <w:szCs w:val="24"/>
          <w:lang w:val="es-ES"/>
        </w:rPr>
        <w:t>disminución trimestral desestacionalizada de 0.2%. Estos efectos adversos</w:t>
      </w:r>
      <w:r>
        <w:rPr>
          <w:rFonts w:cs="Arial"/>
          <w:sz w:val="24"/>
          <w:szCs w:val="24"/>
          <w:lang w:val="es-ES"/>
        </w:rPr>
        <w:t xml:space="preserve"> </w:t>
      </w:r>
      <w:r w:rsidRPr="00474299">
        <w:rPr>
          <w:rFonts w:cs="Arial"/>
          <w:sz w:val="24"/>
          <w:szCs w:val="24"/>
          <w:lang w:val="es-ES"/>
        </w:rPr>
        <w:t>comenzaron a disiparse en el cuarto trimestre, lo cual contribuyó al crecimiento</w:t>
      </w:r>
      <w:r>
        <w:rPr>
          <w:rFonts w:cs="Arial"/>
          <w:sz w:val="24"/>
          <w:szCs w:val="24"/>
          <w:lang w:val="es-ES"/>
        </w:rPr>
        <w:t xml:space="preserve"> </w:t>
      </w:r>
      <w:r w:rsidRPr="00474299">
        <w:rPr>
          <w:rFonts w:cs="Arial"/>
          <w:sz w:val="24"/>
          <w:szCs w:val="24"/>
          <w:lang w:val="es-ES"/>
        </w:rPr>
        <w:t>trimestral de 0.8%. Durante enero de 2018, el Indicador Global de la Actividad</w:t>
      </w:r>
      <w:r>
        <w:rPr>
          <w:rFonts w:cs="Arial"/>
          <w:sz w:val="24"/>
          <w:szCs w:val="24"/>
          <w:lang w:val="es-ES"/>
        </w:rPr>
        <w:t xml:space="preserve"> </w:t>
      </w:r>
      <w:r w:rsidRPr="00474299">
        <w:rPr>
          <w:rFonts w:cs="Arial"/>
          <w:sz w:val="24"/>
          <w:szCs w:val="24"/>
          <w:lang w:val="es-ES"/>
        </w:rPr>
        <w:t>Económica (IGAE) presentó un crecimiento anual de 2.1%.</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74299">
        <w:rPr>
          <w:rFonts w:cs="Arial"/>
          <w:sz w:val="24"/>
          <w:szCs w:val="24"/>
          <w:lang w:val="es-ES"/>
        </w:rPr>
        <w:t>El mercado laboral continuó fortaleciéndose durante 2017 y principios de 2018. En</w:t>
      </w:r>
      <w:r>
        <w:rPr>
          <w:rFonts w:cs="Arial"/>
          <w:sz w:val="24"/>
          <w:szCs w:val="24"/>
          <w:lang w:val="es-ES"/>
        </w:rPr>
        <w:t xml:space="preserve"> </w:t>
      </w:r>
      <w:r w:rsidRPr="00474299">
        <w:rPr>
          <w:rFonts w:cs="Arial"/>
          <w:sz w:val="24"/>
          <w:szCs w:val="24"/>
          <w:lang w:val="es-ES"/>
        </w:rPr>
        <w:t>particular, en 2017 el número de trabajadores afiliados al IMSS registró un crecimiento</w:t>
      </w:r>
      <w:r>
        <w:rPr>
          <w:rFonts w:cs="Arial"/>
          <w:sz w:val="24"/>
          <w:szCs w:val="24"/>
          <w:lang w:val="es-ES"/>
        </w:rPr>
        <w:t xml:space="preserve"> </w:t>
      </w:r>
      <w:r w:rsidRPr="00474299">
        <w:rPr>
          <w:rFonts w:cs="Arial"/>
          <w:sz w:val="24"/>
          <w:szCs w:val="24"/>
          <w:lang w:val="es-ES"/>
        </w:rPr>
        <w:t>anual de 801 mil 831 plazas (4.3%), y en febrero de 2018 un aumento de 278 mil 33</w:t>
      </w:r>
      <w:r>
        <w:rPr>
          <w:rFonts w:cs="Arial"/>
          <w:sz w:val="24"/>
          <w:szCs w:val="24"/>
          <w:lang w:val="es-ES"/>
        </w:rPr>
        <w:t xml:space="preserve"> </w:t>
      </w:r>
      <w:r w:rsidRPr="00474299">
        <w:rPr>
          <w:rFonts w:cs="Arial"/>
          <w:sz w:val="24"/>
          <w:szCs w:val="24"/>
          <w:lang w:val="es-ES"/>
        </w:rPr>
        <w:t xml:space="preserve">personas con respecto a diciembre de 2017. </w:t>
      </w:r>
      <w:r w:rsidRPr="00474299">
        <w:rPr>
          <w:rFonts w:cs="Arial"/>
          <w:sz w:val="24"/>
          <w:szCs w:val="24"/>
          <w:lang w:val="es-ES"/>
        </w:rPr>
        <w:lastRenderedPageBreak/>
        <w:t xml:space="preserve">En </w:t>
      </w:r>
      <w:r>
        <w:rPr>
          <w:rFonts w:cs="Arial"/>
          <w:sz w:val="24"/>
          <w:szCs w:val="24"/>
          <w:lang w:val="es-ES"/>
        </w:rPr>
        <w:t>concordancia</w:t>
      </w:r>
      <w:r w:rsidRPr="00474299">
        <w:rPr>
          <w:rFonts w:cs="Arial"/>
          <w:sz w:val="24"/>
          <w:szCs w:val="24"/>
          <w:lang w:val="es-ES"/>
        </w:rPr>
        <w:t xml:space="preserve"> con el crecimiento del empleo, la</w:t>
      </w:r>
      <w:r>
        <w:rPr>
          <w:rFonts w:cs="Arial"/>
          <w:sz w:val="24"/>
          <w:szCs w:val="24"/>
          <w:lang w:val="es-ES"/>
        </w:rPr>
        <w:t xml:space="preserve"> </w:t>
      </w:r>
      <w:r w:rsidRPr="00474299">
        <w:rPr>
          <w:rFonts w:cs="Arial"/>
          <w:sz w:val="24"/>
          <w:szCs w:val="24"/>
          <w:lang w:val="es-ES"/>
        </w:rPr>
        <w:t>desocupación continuó disminuyendo: la tasa de desocupación nacional se ubicó en</w:t>
      </w:r>
      <w:r>
        <w:rPr>
          <w:rFonts w:cs="Arial"/>
          <w:sz w:val="24"/>
          <w:szCs w:val="24"/>
          <w:lang w:val="es-ES"/>
        </w:rPr>
        <w:t xml:space="preserve"> </w:t>
      </w:r>
      <w:r w:rsidRPr="00474299">
        <w:rPr>
          <w:rFonts w:cs="Arial"/>
          <w:sz w:val="24"/>
          <w:szCs w:val="24"/>
          <w:lang w:val="es-ES"/>
        </w:rPr>
        <w:t>3.4% de la Población Económicamente Activa (PEA) tanto en 2017 como en enero de</w:t>
      </w:r>
      <w:r>
        <w:rPr>
          <w:rFonts w:cs="Arial"/>
          <w:sz w:val="24"/>
          <w:szCs w:val="24"/>
          <w:lang w:val="es-ES"/>
        </w:rPr>
        <w:t xml:space="preserve"> </w:t>
      </w:r>
      <w:r w:rsidRPr="00474299">
        <w:rPr>
          <w:rFonts w:cs="Arial"/>
          <w:sz w:val="24"/>
          <w:szCs w:val="24"/>
          <w:lang w:val="es-ES"/>
        </w:rPr>
        <w:t>2018; dichas tasas son las más bajas desde que comenzó a levantarse la Encuesta</w:t>
      </w:r>
      <w:r>
        <w:rPr>
          <w:rFonts w:cs="Arial"/>
          <w:sz w:val="24"/>
          <w:szCs w:val="24"/>
          <w:lang w:val="es-ES"/>
        </w:rPr>
        <w:t xml:space="preserve"> </w:t>
      </w:r>
      <w:r w:rsidRPr="00474299">
        <w:rPr>
          <w:rFonts w:cs="Arial"/>
          <w:sz w:val="24"/>
          <w:szCs w:val="24"/>
          <w:lang w:val="es-ES"/>
        </w:rPr>
        <w:t>Nacional de Ocupación y Empleo en 2005.</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74299">
        <w:rPr>
          <w:rFonts w:cs="Arial"/>
          <w:sz w:val="24"/>
          <w:szCs w:val="24"/>
          <w:lang w:val="es-ES"/>
        </w:rPr>
        <w:t>El comportamiento de los activos financieros en el mercado local durante el 2017 fue</w:t>
      </w:r>
      <w:r>
        <w:rPr>
          <w:rFonts w:cs="Arial"/>
          <w:sz w:val="24"/>
          <w:szCs w:val="24"/>
          <w:lang w:val="es-ES"/>
        </w:rPr>
        <w:t xml:space="preserve"> </w:t>
      </w:r>
      <w:r w:rsidRPr="00474299">
        <w:rPr>
          <w:rFonts w:cs="Arial"/>
          <w:sz w:val="24"/>
          <w:szCs w:val="24"/>
          <w:lang w:val="es-ES"/>
        </w:rPr>
        <w:t>positivo, apoyado en un buen desempeño de la economía nacional. Sin embargo, los</w:t>
      </w:r>
      <w:r>
        <w:rPr>
          <w:rFonts w:cs="Arial"/>
          <w:sz w:val="24"/>
          <w:szCs w:val="24"/>
          <w:lang w:val="es-ES"/>
        </w:rPr>
        <w:t xml:space="preserve"> </w:t>
      </w:r>
      <w:r w:rsidRPr="00474299">
        <w:rPr>
          <w:rFonts w:cs="Arial"/>
          <w:sz w:val="24"/>
          <w:szCs w:val="24"/>
          <w:lang w:val="es-ES"/>
        </w:rPr>
        <w:t>mercados no estuvieron exentos de periodos de volatilidad, principalmente, asociados</w:t>
      </w:r>
      <w:r>
        <w:rPr>
          <w:rFonts w:cs="Arial"/>
          <w:sz w:val="24"/>
          <w:szCs w:val="24"/>
          <w:lang w:val="es-ES"/>
        </w:rPr>
        <w:t xml:space="preserve"> </w:t>
      </w:r>
      <w:r w:rsidRPr="00474299">
        <w:rPr>
          <w:rFonts w:cs="Arial"/>
          <w:sz w:val="24"/>
          <w:szCs w:val="24"/>
          <w:lang w:val="es-ES"/>
        </w:rPr>
        <w:t xml:space="preserve">al proceso de renegociación del TLCAN.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74299">
        <w:rPr>
          <w:rFonts w:cs="Arial"/>
          <w:sz w:val="24"/>
          <w:szCs w:val="24"/>
          <w:lang w:val="es-ES"/>
        </w:rPr>
        <w:t>En 2018, este comportamiento ha sido</w:t>
      </w:r>
      <w:r>
        <w:rPr>
          <w:rFonts w:cs="Arial"/>
          <w:sz w:val="24"/>
          <w:szCs w:val="24"/>
          <w:lang w:val="es-ES"/>
        </w:rPr>
        <w:t xml:space="preserve"> </w:t>
      </w:r>
      <w:r w:rsidRPr="00474299">
        <w:rPr>
          <w:rFonts w:cs="Arial"/>
          <w:sz w:val="24"/>
          <w:szCs w:val="24"/>
          <w:lang w:val="es-ES"/>
        </w:rPr>
        <w:t>generalmente mixto, y aún prevalece la atención de los inversionistas en el avance de</w:t>
      </w:r>
      <w:r>
        <w:rPr>
          <w:rFonts w:cs="Arial"/>
          <w:sz w:val="24"/>
          <w:szCs w:val="24"/>
          <w:lang w:val="es-ES"/>
        </w:rPr>
        <w:t xml:space="preserve"> </w:t>
      </w:r>
      <w:r w:rsidRPr="00474299">
        <w:rPr>
          <w:rFonts w:cs="Arial"/>
          <w:sz w:val="24"/>
          <w:szCs w:val="24"/>
          <w:lang w:val="es-ES"/>
        </w:rPr>
        <w:t>las negociaciones del TLCAN, así como en las decisiones de política monetaria de</w:t>
      </w:r>
      <w:r>
        <w:rPr>
          <w:rFonts w:cs="Arial"/>
          <w:sz w:val="24"/>
          <w:szCs w:val="24"/>
          <w:lang w:val="es-ES"/>
        </w:rPr>
        <w:t>l Sistema de la Reserva</w:t>
      </w:r>
      <w:r w:rsidRPr="00474299">
        <w:rPr>
          <w:rFonts w:cs="Arial"/>
          <w:sz w:val="24"/>
          <w:szCs w:val="24"/>
          <w:lang w:val="es-ES"/>
        </w:rPr>
        <w:t xml:space="preserve"> </w:t>
      </w:r>
      <w:r>
        <w:rPr>
          <w:rFonts w:cs="Arial"/>
          <w:sz w:val="24"/>
          <w:szCs w:val="24"/>
          <w:lang w:val="es-ES"/>
        </w:rPr>
        <w:t>Federal (</w:t>
      </w:r>
      <w:r w:rsidRPr="00474299">
        <w:rPr>
          <w:rFonts w:cs="Arial"/>
          <w:sz w:val="24"/>
          <w:szCs w:val="24"/>
          <w:lang w:val="es-ES"/>
        </w:rPr>
        <w:t>FED</w:t>
      </w:r>
      <w:r>
        <w:rPr>
          <w:rFonts w:cs="Arial"/>
          <w:sz w:val="24"/>
          <w:szCs w:val="24"/>
          <w:lang w:val="es-ES"/>
        </w:rPr>
        <w:t>)</w:t>
      </w:r>
      <w:r w:rsidRPr="00474299">
        <w:rPr>
          <w:rFonts w:cs="Arial"/>
          <w:sz w:val="24"/>
          <w:szCs w:val="24"/>
          <w:lang w:val="es-ES"/>
        </w:rPr>
        <w:t>. Respecto al cierre de 2017, en el mercado de bonos gubernamentales se continúa</w:t>
      </w:r>
      <w:r>
        <w:rPr>
          <w:rFonts w:cs="Arial"/>
          <w:sz w:val="24"/>
          <w:szCs w:val="24"/>
          <w:lang w:val="es-ES"/>
        </w:rPr>
        <w:t xml:space="preserve"> </w:t>
      </w:r>
      <w:r w:rsidRPr="00474299">
        <w:rPr>
          <w:rFonts w:cs="Arial"/>
          <w:sz w:val="24"/>
          <w:szCs w:val="24"/>
          <w:lang w:val="es-ES"/>
        </w:rPr>
        <w:t>observando un incremento en las tasas de corto plazo, al tiempo que las tasas de mayor</w:t>
      </w:r>
      <w:r>
        <w:rPr>
          <w:rFonts w:cs="Arial"/>
          <w:sz w:val="24"/>
          <w:szCs w:val="24"/>
          <w:lang w:val="es-ES"/>
        </w:rPr>
        <w:t xml:space="preserve"> </w:t>
      </w:r>
      <w:r w:rsidRPr="00474299">
        <w:rPr>
          <w:rFonts w:cs="Arial"/>
          <w:sz w:val="24"/>
          <w:szCs w:val="24"/>
          <w:lang w:val="es-ES"/>
        </w:rPr>
        <w:t>plazo se mantienen estables. Por su parte, el peso mexicano se ha beneficiado de cierta</w:t>
      </w:r>
      <w:r>
        <w:rPr>
          <w:rFonts w:cs="Arial"/>
          <w:sz w:val="24"/>
          <w:szCs w:val="24"/>
          <w:lang w:val="es-ES"/>
        </w:rPr>
        <w:t xml:space="preserve"> </w:t>
      </w:r>
      <w:r w:rsidRPr="00474299">
        <w:rPr>
          <w:rFonts w:cs="Arial"/>
          <w:sz w:val="24"/>
          <w:szCs w:val="24"/>
          <w:lang w:val="es-ES"/>
        </w:rPr>
        <w:t>debilidad del dólar a nivel generalizado.</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012E9">
        <w:rPr>
          <w:rFonts w:cs="Arial"/>
          <w:sz w:val="24"/>
          <w:szCs w:val="24"/>
          <w:lang w:val="es-ES"/>
        </w:rPr>
        <w:t>El peso mexicano se fortaleció en 2017 ante el avance percibido respecto a la</w:t>
      </w:r>
      <w:r>
        <w:rPr>
          <w:rFonts w:cs="Arial"/>
          <w:sz w:val="24"/>
          <w:szCs w:val="24"/>
          <w:lang w:val="es-ES"/>
        </w:rPr>
        <w:t xml:space="preserve"> </w:t>
      </w:r>
      <w:r w:rsidRPr="004012E9">
        <w:rPr>
          <w:rFonts w:cs="Arial"/>
          <w:sz w:val="24"/>
          <w:szCs w:val="24"/>
          <w:lang w:val="es-ES"/>
        </w:rPr>
        <w:t>renegociación del TLCAN y a la debilidad generalizada del dólar debido a una mejora en</w:t>
      </w:r>
      <w:r>
        <w:rPr>
          <w:rFonts w:cs="Arial"/>
          <w:sz w:val="24"/>
          <w:szCs w:val="24"/>
          <w:lang w:val="es-ES"/>
        </w:rPr>
        <w:t xml:space="preserve"> </w:t>
      </w:r>
      <w:r w:rsidRPr="004012E9">
        <w:rPr>
          <w:rFonts w:cs="Arial"/>
          <w:sz w:val="24"/>
          <w:szCs w:val="24"/>
          <w:lang w:val="es-ES"/>
        </w:rPr>
        <w:t>las perspectivas económicas globales. Esta dinámica ha continuado en 2018, de modo</w:t>
      </w:r>
      <w:r>
        <w:rPr>
          <w:rFonts w:cs="Arial"/>
          <w:sz w:val="24"/>
          <w:szCs w:val="24"/>
          <w:lang w:val="es-ES"/>
        </w:rPr>
        <w:t xml:space="preserve"> </w:t>
      </w:r>
      <w:r w:rsidRPr="004012E9">
        <w:rPr>
          <w:rFonts w:cs="Arial"/>
          <w:sz w:val="24"/>
          <w:szCs w:val="24"/>
          <w:lang w:val="es-ES"/>
        </w:rPr>
        <w:t xml:space="preserve">que respecto al cierre de 2017 el peso </w:t>
      </w:r>
      <w:r w:rsidRPr="004012E9">
        <w:rPr>
          <w:rFonts w:cs="Arial"/>
          <w:sz w:val="24"/>
          <w:szCs w:val="24"/>
          <w:lang w:val="es-ES"/>
        </w:rPr>
        <w:lastRenderedPageBreak/>
        <w:t>mexicano ha registrado una apreciación</w:t>
      </w:r>
      <w:r>
        <w:rPr>
          <w:rFonts w:cs="Arial"/>
          <w:sz w:val="24"/>
          <w:szCs w:val="24"/>
          <w:lang w:val="es-ES"/>
        </w:rPr>
        <w:t xml:space="preserve"> </w:t>
      </w:r>
      <w:r w:rsidRPr="004012E9">
        <w:rPr>
          <w:rFonts w:cs="Arial"/>
          <w:sz w:val="24"/>
          <w:szCs w:val="24"/>
          <w:lang w:val="es-ES"/>
        </w:rPr>
        <w:t>acumulada frente al dólar de 5.2%. Las acciones oportunas de la Comisión de Cambios</w:t>
      </w:r>
      <w:r>
        <w:rPr>
          <w:rFonts w:cs="Arial"/>
          <w:sz w:val="24"/>
          <w:szCs w:val="24"/>
          <w:lang w:val="es-ES"/>
        </w:rPr>
        <w:t xml:space="preserve"> </w:t>
      </w:r>
      <w:r w:rsidRPr="004012E9">
        <w:rPr>
          <w:rFonts w:cs="Arial"/>
          <w:sz w:val="24"/>
          <w:szCs w:val="24"/>
          <w:lang w:val="es-ES"/>
        </w:rPr>
        <w:t>contribuyeron al buen funcionamiento del mercado.</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012E9">
        <w:rPr>
          <w:rFonts w:cs="Arial"/>
          <w:sz w:val="24"/>
          <w:szCs w:val="24"/>
          <w:lang w:val="es-ES"/>
        </w:rPr>
        <w:t>Durante 2017, la inflación general anual promedio aumentó, alcanzando al cierre del</w:t>
      </w:r>
      <w:r>
        <w:rPr>
          <w:rFonts w:cs="Arial"/>
          <w:sz w:val="24"/>
          <w:szCs w:val="24"/>
          <w:lang w:val="es-ES"/>
        </w:rPr>
        <w:t xml:space="preserve"> </w:t>
      </w:r>
      <w:r w:rsidRPr="004012E9">
        <w:rPr>
          <w:rFonts w:cs="Arial"/>
          <w:sz w:val="24"/>
          <w:szCs w:val="24"/>
          <w:lang w:val="es-ES"/>
        </w:rPr>
        <w:t>año niveles no registrados desde 2001. En particular, a inicios de 2017 la inflación se</w:t>
      </w:r>
      <w:r>
        <w:rPr>
          <w:rFonts w:cs="Arial"/>
          <w:sz w:val="24"/>
          <w:szCs w:val="24"/>
          <w:lang w:val="es-ES"/>
        </w:rPr>
        <w:t xml:space="preserve"> </w:t>
      </w:r>
      <w:r w:rsidRPr="004012E9">
        <w:rPr>
          <w:rFonts w:cs="Arial"/>
          <w:sz w:val="24"/>
          <w:szCs w:val="24"/>
          <w:lang w:val="es-ES"/>
        </w:rPr>
        <w:t>vio influida de manera adversa por la depreciación de la moneda nacional y el aumento</w:t>
      </w:r>
      <w:r>
        <w:rPr>
          <w:rFonts w:cs="Arial"/>
          <w:sz w:val="24"/>
          <w:szCs w:val="24"/>
          <w:lang w:val="es-ES"/>
        </w:rPr>
        <w:t xml:space="preserve"> </w:t>
      </w:r>
      <w:r w:rsidRPr="004012E9">
        <w:rPr>
          <w:rFonts w:cs="Arial"/>
          <w:sz w:val="24"/>
          <w:szCs w:val="24"/>
          <w:lang w:val="es-ES"/>
        </w:rPr>
        <w:t>en su volatilidad, resultado a su vez de la incertidumbre sobre la postura del nuevo</w:t>
      </w:r>
      <w:r>
        <w:rPr>
          <w:rFonts w:cs="Arial"/>
          <w:sz w:val="24"/>
          <w:szCs w:val="24"/>
          <w:lang w:val="es-ES"/>
        </w:rPr>
        <w:t xml:space="preserve"> </w:t>
      </w:r>
      <w:r w:rsidRPr="004012E9">
        <w:rPr>
          <w:rFonts w:cs="Arial"/>
          <w:sz w:val="24"/>
          <w:szCs w:val="24"/>
          <w:lang w:val="es-ES"/>
        </w:rPr>
        <w:t>gobierno de Estados Unidos, así como por los incrementos registrados en los precios</w:t>
      </w:r>
      <w:r>
        <w:rPr>
          <w:rFonts w:cs="Arial"/>
          <w:sz w:val="24"/>
          <w:szCs w:val="24"/>
          <w:lang w:val="es-ES"/>
        </w:rPr>
        <w:t xml:space="preserve"> </w:t>
      </w:r>
      <w:r w:rsidRPr="004012E9">
        <w:rPr>
          <w:rFonts w:cs="Arial"/>
          <w:sz w:val="24"/>
          <w:szCs w:val="24"/>
          <w:lang w:val="es-ES"/>
        </w:rPr>
        <w:t>de algunos energéticos derivados de su proceso de liberalización. Adicionalmente, en</w:t>
      </w:r>
      <w:r>
        <w:rPr>
          <w:rFonts w:cs="Arial"/>
          <w:sz w:val="24"/>
          <w:szCs w:val="24"/>
          <w:lang w:val="es-ES"/>
        </w:rPr>
        <w:t xml:space="preserve"> </w:t>
      </w:r>
      <w:r w:rsidRPr="004012E9">
        <w:rPr>
          <w:rFonts w:cs="Arial"/>
          <w:sz w:val="24"/>
          <w:szCs w:val="24"/>
          <w:lang w:val="es-ES"/>
        </w:rPr>
        <w:t>los últimos meses del año choques asociados a factores como los aumentos del gas</w:t>
      </w:r>
      <w:r>
        <w:rPr>
          <w:rFonts w:cs="Arial"/>
          <w:sz w:val="24"/>
          <w:szCs w:val="24"/>
          <w:lang w:val="es-ES"/>
        </w:rPr>
        <w:t xml:space="preserve"> </w:t>
      </w:r>
      <w:r w:rsidRPr="004012E9">
        <w:rPr>
          <w:rFonts w:cs="Arial"/>
          <w:sz w:val="24"/>
          <w:szCs w:val="24"/>
          <w:lang w:val="es-ES"/>
        </w:rPr>
        <w:t>L.P. y de algunas frutas y verduras, y otros choques principalmente externos que</w:t>
      </w:r>
      <w:r>
        <w:rPr>
          <w:rFonts w:cs="Arial"/>
          <w:sz w:val="24"/>
          <w:szCs w:val="24"/>
          <w:lang w:val="es-ES"/>
        </w:rPr>
        <w:t xml:space="preserve"> </w:t>
      </w:r>
      <w:r w:rsidRPr="004012E9">
        <w:rPr>
          <w:rFonts w:cs="Arial"/>
          <w:sz w:val="24"/>
          <w:szCs w:val="24"/>
          <w:lang w:val="es-ES"/>
        </w:rPr>
        <w:t>generaron una depreciación adicional de la moneda y un renovado incremento en su</w:t>
      </w:r>
      <w:r>
        <w:rPr>
          <w:rFonts w:cs="Arial"/>
          <w:sz w:val="24"/>
          <w:szCs w:val="24"/>
          <w:lang w:val="es-ES"/>
        </w:rPr>
        <w:t xml:space="preserve"> </w:t>
      </w:r>
      <w:r w:rsidRPr="004012E9">
        <w:rPr>
          <w:rFonts w:cs="Arial"/>
          <w:sz w:val="24"/>
          <w:szCs w:val="24"/>
          <w:lang w:val="es-ES"/>
        </w:rPr>
        <w:t>volatilidad, dieron un impulso adicional a la inflación, llevándola a ubicarse en 6.77% en</w:t>
      </w:r>
      <w:r>
        <w:rPr>
          <w:rFonts w:cs="Arial"/>
          <w:sz w:val="24"/>
          <w:szCs w:val="24"/>
          <w:lang w:val="es-ES"/>
        </w:rPr>
        <w:t xml:space="preserve"> </w:t>
      </w:r>
      <w:r w:rsidRPr="004012E9">
        <w:rPr>
          <w:rFonts w:cs="Arial"/>
          <w:sz w:val="24"/>
          <w:szCs w:val="24"/>
          <w:lang w:val="es-ES"/>
        </w:rPr>
        <w:t>diciembre.</w:t>
      </w:r>
    </w:p>
    <w:p w:rsidR="0037578E" w:rsidRPr="004012E9"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012E9">
        <w:rPr>
          <w:rFonts w:cs="Arial"/>
          <w:sz w:val="24"/>
          <w:szCs w:val="24"/>
          <w:lang w:val="es-ES"/>
        </w:rPr>
        <w:t>Sin embargo, en los primeros meses de 2018, la inflación general anual ha mostrado</w:t>
      </w:r>
      <w:r>
        <w:rPr>
          <w:rFonts w:cs="Arial"/>
          <w:sz w:val="24"/>
          <w:szCs w:val="24"/>
          <w:lang w:val="es-ES"/>
        </w:rPr>
        <w:t xml:space="preserve"> </w:t>
      </w:r>
      <w:r w:rsidRPr="004012E9">
        <w:rPr>
          <w:rFonts w:cs="Arial"/>
          <w:sz w:val="24"/>
          <w:szCs w:val="24"/>
          <w:lang w:val="es-ES"/>
        </w:rPr>
        <w:t>disminuciones, lo que la llevó a alcanzar 5.17% en la primera quincena de marzo. La</w:t>
      </w:r>
      <w:r>
        <w:rPr>
          <w:rFonts w:cs="Arial"/>
          <w:sz w:val="24"/>
          <w:szCs w:val="24"/>
          <w:lang w:val="es-ES"/>
        </w:rPr>
        <w:t xml:space="preserve"> </w:t>
      </w:r>
      <w:r w:rsidRPr="004012E9">
        <w:rPr>
          <w:rFonts w:cs="Arial"/>
          <w:sz w:val="24"/>
          <w:szCs w:val="24"/>
          <w:lang w:val="es-ES"/>
        </w:rPr>
        <w:t>inflación subyacente se ha reducido derivado de los menores precios en las mercancías</w:t>
      </w:r>
      <w:r>
        <w:rPr>
          <w:rFonts w:cs="Arial"/>
          <w:sz w:val="24"/>
          <w:szCs w:val="24"/>
          <w:lang w:val="es-ES"/>
        </w:rPr>
        <w:t xml:space="preserve"> </w:t>
      </w:r>
      <w:r w:rsidRPr="004012E9">
        <w:rPr>
          <w:rFonts w:cs="Arial"/>
          <w:sz w:val="24"/>
          <w:szCs w:val="24"/>
          <w:lang w:val="es-ES"/>
        </w:rPr>
        <w:t xml:space="preserve">y los servicios, el primero en </w:t>
      </w:r>
      <w:r>
        <w:rPr>
          <w:rFonts w:cs="Arial"/>
          <w:sz w:val="24"/>
          <w:szCs w:val="24"/>
          <w:lang w:val="es-ES"/>
        </w:rPr>
        <w:t>relación a</w:t>
      </w:r>
      <w:r w:rsidRPr="004012E9">
        <w:rPr>
          <w:rFonts w:cs="Arial"/>
          <w:sz w:val="24"/>
          <w:szCs w:val="24"/>
          <w:lang w:val="es-ES"/>
        </w:rPr>
        <w:t xml:space="preserve"> la tendencia decreciente que venía registrando y</w:t>
      </w:r>
      <w:r>
        <w:rPr>
          <w:rFonts w:cs="Arial"/>
          <w:sz w:val="24"/>
          <w:szCs w:val="24"/>
          <w:lang w:val="es-ES"/>
        </w:rPr>
        <w:t xml:space="preserve"> </w:t>
      </w:r>
      <w:r w:rsidRPr="004012E9">
        <w:rPr>
          <w:rFonts w:cs="Arial"/>
          <w:sz w:val="24"/>
          <w:szCs w:val="24"/>
          <w:lang w:val="es-ES"/>
        </w:rPr>
        <w:t>el segundo como resultado de menores incrementos en los precios de servicios</w:t>
      </w:r>
      <w:r>
        <w:rPr>
          <w:rFonts w:cs="Arial"/>
          <w:sz w:val="24"/>
          <w:szCs w:val="24"/>
          <w:lang w:val="es-ES"/>
        </w:rPr>
        <w:t xml:space="preserve"> </w:t>
      </w:r>
      <w:r w:rsidRPr="004012E9">
        <w:rPr>
          <w:rFonts w:cs="Arial"/>
          <w:sz w:val="24"/>
          <w:szCs w:val="24"/>
          <w:lang w:val="es-ES"/>
        </w:rPr>
        <w:t>turísticos, de alimentación y de educación con respecto al año previo. Por su parte, la</w:t>
      </w:r>
      <w:r>
        <w:rPr>
          <w:rFonts w:cs="Arial"/>
          <w:sz w:val="24"/>
          <w:szCs w:val="24"/>
          <w:lang w:val="es-ES"/>
        </w:rPr>
        <w:t xml:space="preserve"> </w:t>
      </w:r>
      <w:r w:rsidRPr="004012E9">
        <w:rPr>
          <w:rFonts w:cs="Arial"/>
          <w:sz w:val="24"/>
          <w:szCs w:val="24"/>
          <w:lang w:val="es-ES"/>
        </w:rPr>
        <w:t xml:space="preserve">inflación no </w:t>
      </w:r>
      <w:r w:rsidRPr="004012E9">
        <w:rPr>
          <w:rFonts w:cs="Arial"/>
          <w:sz w:val="24"/>
          <w:szCs w:val="24"/>
          <w:lang w:val="es-ES"/>
        </w:rPr>
        <w:lastRenderedPageBreak/>
        <w:t>subyacente ha disminuido como consecuencia, en parte, de que la inflación</w:t>
      </w:r>
      <w:r>
        <w:rPr>
          <w:rFonts w:cs="Arial"/>
          <w:sz w:val="24"/>
          <w:szCs w:val="24"/>
          <w:lang w:val="es-ES"/>
        </w:rPr>
        <w:t xml:space="preserve"> </w:t>
      </w:r>
      <w:r w:rsidRPr="004012E9">
        <w:rPr>
          <w:rFonts w:cs="Arial"/>
          <w:sz w:val="24"/>
          <w:szCs w:val="24"/>
          <w:lang w:val="es-ES"/>
        </w:rPr>
        <w:t>medida ya no contiene el efecto asociado al incremento en los precios de los</w:t>
      </w:r>
      <w:r>
        <w:rPr>
          <w:rFonts w:cs="Arial"/>
          <w:sz w:val="24"/>
          <w:szCs w:val="24"/>
          <w:lang w:val="es-ES"/>
        </w:rPr>
        <w:t xml:space="preserve"> </w:t>
      </w:r>
      <w:r w:rsidRPr="004012E9">
        <w:rPr>
          <w:rFonts w:cs="Arial"/>
          <w:sz w:val="24"/>
          <w:szCs w:val="24"/>
          <w:lang w:val="es-ES"/>
        </w:rPr>
        <w:t>energéticos del año anterior; aunque continúa resintiendo los efectos de los choques</w:t>
      </w:r>
      <w:r>
        <w:rPr>
          <w:rFonts w:cs="Arial"/>
          <w:sz w:val="24"/>
          <w:szCs w:val="24"/>
          <w:lang w:val="es-ES"/>
        </w:rPr>
        <w:t xml:space="preserve"> </w:t>
      </w:r>
      <w:r w:rsidRPr="004012E9">
        <w:rPr>
          <w:rFonts w:cs="Arial"/>
          <w:sz w:val="24"/>
          <w:szCs w:val="24"/>
          <w:lang w:val="es-ES"/>
        </w:rPr>
        <w:t>de los últimos meses de 2017.</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4012E9">
        <w:rPr>
          <w:rFonts w:cs="Arial"/>
          <w:sz w:val="24"/>
          <w:szCs w:val="24"/>
          <w:lang w:val="es-ES"/>
        </w:rPr>
        <w:t>Las perspectivas para el crecimiento mundial y de E</w:t>
      </w:r>
      <w:r>
        <w:rPr>
          <w:rFonts w:cs="Arial"/>
          <w:sz w:val="24"/>
          <w:szCs w:val="24"/>
          <w:lang w:val="es-ES"/>
        </w:rPr>
        <w:t xml:space="preserve">stados </w:t>
      </w:r>
      <w:r w:rsidRPr="004012E9">
        <w:rPr>
          <w:rFonts w:cs="Arial"/>
          <w:sz w:val="24"/>
          <w:szCs w:val="24"/>
          <w:lang w:val="es-ES"/>
        </w:rPr>
        <w:t>U</w:t>
      </w:r>
      <w:r>
        <w:rPr>
          <w:rFonts w:cs="Arial"/>
          <w:sz w:val="24"/>
          <w:szCs w:val="24"/>
          <w:lang w:val="es-ES"/>
        </w:rPr>
        <w:t>nidos</w:t>
      </w:r>
      <w:r w:rsidRPr="004012E9">
        <w:rPr>
          <w:rFonts w:cs="Arial"/>
          <w:sz w:val="24"/>
          <w:szCs w:val="24"/>
          <w:lang w:val="es-ES"/>
        </w:rPr>
        <w:t xml:space="preserve"> en 2018 y 2019, así como los</w:t>
      </w:r>
      <w:r>
        <w:rPr>
          <w:rFonts w:cs="Arial"/>
          <w:sz w:val="24"/>
          <w:szCs w:val="24"/>
          <w:lang w:val="es-ES"/>
        </w:rPr>
        <w:t xml:space="preserve"> </w:t>
      </w:r>
      <w:r w:rsidRPr="004012E9">
        <w:rPr>
          <w:rFonts w:cs="Arial"/>
          <w:sz w:val="24"/>
          <w:szCs w:val="24"/>
          <w:lang w:val="es-ES"/>
        </w:rPr>
        <w:t>sólidos fundamentos macroeconómicos de México, permiten preve</w:t>
      </w:r>
      <w:r>
        <w:rPr>
          <w:rFonts w:cs="Arial"/>
          <w:sz w:val="24"/>
          <w:szCs w:val="24"/>
          <w:lang w:val="es-ES"/>
        </w:rPr>
        <w:t>r</w:t>
      </w:r>
      <w:r w:rsidRPr="004012E9">
        <w:rPr>
          <w:rFonts w:cs="Arial"/>
          <w:sz w:val="24"/>
          <w:szCs w:val="24"/>
          <w:lang w:val="es-ES"/>
        </w:rPr>
        <w:t xml:space="preserve"> que la economía</w:t>
      </w:r>
      <w:r>
        <w:rPr>
          <w:rFonts w:cs="Arial"/>
          <w:sz w:val="24"/>
          <w:szCs w:val="24"/>
          <w:lang w:val="es-ES"/>
        </w:rPr>
        <w:t xml:space="preserve"> </w:t>
      </w:r>
      <w:r w:rsidRPr="004012E9">
        <w:rPr>
          <w:rFonts w:cs="Arial"/>
          <w:sz w:val="24"/>
          <w:szCs w:val="24"/>
          <w:lang w:val="es-ES"/>
        </w:rPr>
        <w:t>continúe expandiéndose en esos años. Se anticipa que durante 2018 el PIB registre un</w:t>
      </w:r>
      <w:r>
        <w:rPr>
          <w:rFonts w:cs="Arial"/>
          <w:sz w:val="24"/>
          <w:szCs w:val="24"/>
          <w:lang w:val="es-ES"/>
        </w:rPr>
        <w:t xml:space="preserve"> </w:t>
      </w:r>
      <w:r w:rsidRPr="004012E9">
        <w:rPr>
          <w:rFonts w:cs="Arial"/>
          <w:sz w:val="24"/>
          <w:szCs w:val="24"/>
          <w:lang w:val="es-ES"/>
        </w:rPr>
        <w:t>crecimiento de entre 2.0 y 3.0 %, y para 2019 se estima que crezca entre 2.5 y 3.5 %.</w:t>
      </w:r>
      <w:r>
        <w:rPr>
          <w:rFonts w:cs="Arial"/>
          <w:sz w:val="24"/>
          <w:szCs w:val="24"/>
          <w:lang w:val="es-ES"/>
        </w:rPr>
        <w:t xml:space="preserve"> </w:t>
      </w:r>
      <w:r w:rsidRPr="004012E9">
        <w:rPr>
          <w:rFonts w:cs="Arial"/>
          <w:sz w:val="24"/>
          <w:szCs w:val="24"/>
          <w:lang w:val="es-ES"/>
        </w:rPr>
        <w:t xml:space="preserve">Estos rangos son iguales a los previstos en los </w:t>
      </w:r>
      <w:r>
        <w:rPr>
          <w:rFonts w:cs="Arial"/>
          <w:sz w:val="24"/>
          <w:szCs w:val="24"/>
          <w:lang w:val="es-ES"/>
        </w:rPr>
        <w:t>Pre-</w:t>
      </w:r>
      <w:r w:rsidRPr="004012E9">
        <w:rPr>
          <w:rFonts w:cs="Arial"/>
          <w:sz w:val="24"/>
          <w:szCs w:val="24"/>
          <w:lang w:val="es-ES"/>
        </w:rPr>
        <w:t>C</w:t>
      </w:r>
      <w:r>
        <w:rPr>
          <w:rFonts w:cs="Arial"/>
          <w:sz w:val="24"/>
          <w:szCs w:val="24"/>
          <w:lang w:val="es-ES"/>
        </w:rPr>
        <w:t xml:space="preserve">riterios </w:t>
      </w:r>
      <w:r w:rsidRPr="004012E9">
        <w:rPr>
          <w:rFonts w:cs="Arial"/>
          <w:sz w:val="24"/>
          <w:szCs w:val="24"/>
          <w:lang w:val="es-ES"/>
        </w:rPr>
        <w:t>G</w:t>
      </w:r>
      <w:r>
        <w:rPr>
          <w:rFonts w:cs="Arial"/>
          <w:sz w:val="24"/>
          <w:szCs w:val="24"/>
          <w:lang w:val="es-ES"/>
        </w:rPr>
        <w:t xml:space="preserve">enerales de </w:t>
      </w:r>
      <w:r w:rsidRPr="004012E9">
        <w:rPr>
          <w:rFonts w:cs="Arial"/>
          <w:sz w:val="24"/>
          <w:szCs w:val="24"/>
          <w:lang w:val="es-ES"/>
        </w:rPr>
        <w:t>P</w:t>
      </w:r>
      <w:r>
        <w:rPr>
          <w:rFonts w:cs="Arial"/>
          <w:sz w:val="24"/>
          <w:szCs w:val="24"/>
          <w:lang w:val="es-ES"/>
        </w:rPr>
        <w:t xml:space="preserve">olítica </w:t>
      </w:r>
      <w:r w:rsidRPr="004012E9">
        <w:rPr>
          <w:rFonts w:cs="Arial"/>
          <w:sz w:val="24"/>
          <w:szCs w:val="24"/>
          <w:lang w:val="es-ES"/>
        </w:rPr>
        <w:t>E</w:t>
      </w:r>
      <w:r>
        <w:rPr>
          <w:rFonts w:cs="Arial"/>
          <w:sz w:val="24"/>
          <w:szCs w:val="24"/>
          <w:lang w:val="es-ES"/>
        </w:rPr>
        <w:t xml:space="preserve">conómica </w:t>
      </w:r>
      <w:r w:rsidRPr="004012E9">
        <w:rPr>
          <w:rFonts w:cs="Arial"/>
          <w:sz w:val="24"/>
          <w:szCs w:val="24"/>
          <w:lang w:val="es-ES"/>
        </w:rPr>
        <w:t xml:space="preserve">2018 publicados en </w:t>
      </w:r>
      <w:r>
        <w:rPr>
          <w:rFonts w:cs="Arial"/>
          <w:sz w:val="24"/>
          <w:szCs w:val="24"/>
          <w:lang w:val="es-ES"/>
        </w:rPr>
        <w:t>abril de 2018</w:t>
      </w:r>
      <w:r w:rsidRPr="004012E9">
        <w:rPr>
          <w:rFonts w:cs="Arial"/>
          <w:sz w:val="24"/>
          <w:szCs w:val="24"/>
          <w:lang w:val="es-ES"/>
        </w:rPr>
        <w:t>. Para efectos de las estimaciones de finanzas públicas se utiliza un crecimiento</w:t>
      </w:r>
      <w:r>
        <w:rPr>
          <w:rFonts w:cs="Arial"/>
          <w:sz w:val="24"/>
          <w:szCs w:val="24"/>
          <w:lang w:val="es-ES"/>
        </w:rPr>
        <w:t xml:space="preserve"> </w:t>
      </w:r>
      <w:r w:rsidRPr="004012E9">
        <w:rPr>
          <w:rFonts w:cs="Arial"/>
          <w:sz w:val="24"/>
          <w:szCs w:val="24"/>
          <w:lang w:val="es-ES"/>
        </w:rPr>
        <w:t>puntual del PIB para 2018 de 2.5% y para 2019 de 3.0%.</w:t>
      </w:r>
      <w:r>
        <w:rPr>
          <w:rFonts w:cs="Arial"/>
          <w:sz w:val="24"/>
          <w:szCs w:val="24"/>
          <w:lang w:val="es-ES"/>
        </w:rPr>
        <w:t xml:space="preserve">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Pr>
          <w:rFonts w:cs="Arial"/>
          <w:sz w:val="24"/>
          <w:szCs w:val="24"/>
          <w:lang w:val="es-ES"/>
        </w:rPr>
        <w:t>Por lo que</w:t>
      </w:r>
      <w:r w:rsidRPr="004012E9">
        <w:rPr>
          <w:rFonts w:cs="Arial"/>
          <w:sz w:val="24"/>
          <w:szCs w:val="24"/>
          <w:lang w:val="es-ES"/>
        </w:rPr>
        <w:t xml:space="preserve"> se anticipa que</w:t>
      </w:r>
      <w:r>
        <w:rPr>
          <w:rFonts w:cs="Arial"/>
          <w:sz w:val="24"/>
          <w:szCs w:val="24"/>
          <w:lang w:val="es-ES"/>
        </w:rPr>
        <w:t>,</w:t>
      </w:r>
      <w:r w:rsidRPr="004012E9">
        <w:rPr>
          <w:rFonts w:cs="Arial"/>
          <w:sz w:val="24"/>
          <w:szCs w:val="24"/>
          <w:lang w:val="es-ES"/>
        </w:rPr>
        <w:t xml:space="preserve"> las exportaciones de México sigan con una tendencia de</w:t>
      </w:r>
      <w:r>
        <w:rPr>
          <w:rFonts w:cs="Arial"/>
          <w:sz w:val="24"/>
          <w:szCs w:val="24"/>
          <w:lang w:val="es-ES"/>
        </w:rPr>
        <w:t xml:space="preserve"> </w:t>
      </w:r>
      <w:r w:rsidRPr="004012E9">
        <w:rPr>
          <w:rFonts w:cs="Arial"/>
          <w:sz w:val="24"/>
          <w:szCs w:val="24"/>
          <w:lang w:val="es-ES"/>
        </w:rPr>
        <w:t>crecimiento. Al mismo tiempo, se estima que la demanda interna se vea favorecida por</w:t>
      </w:r>
      <w:r>
        <w:rPr>
          <w:rFonts w:cs="Arial"/>
          <w:sz w:val="24"/>
          <w:szCs w:val="24"/>
          <w:lang w:val="es-ES"/>
        </w:rPr>
        <w:t xml:space="preserve"> </w:t>
      </w:r>
      <w:r w:rsidRPr="004012E9">
        <w:rPr>
          <w:rFonts w:cs="Arial"/>
          <w:sz w:val="24"/>
          <w:szCs w:val="24"/>
          <w:lang w:val="es-ES"/>
        </w:rPr>
        <w:t>una generación de empleos sólida, mayor disponibilidad de financiamiento, menor</w:t>
      </w:r>
      <w:r>
        <w:rPr>
          <w:rFonts w:cs="Arial"/>
          <w:sz w:val="24"/>
          <w:szCs w:val="24"/>
          <w:lang w:val="es-ES"/>
        </w:rPr>
        <w:t xml:space="preserve"> </w:t>
      </w:r>
      <w:r w:rsidRPr="004012E9">
        <w:rPr>
          <w:rFonts w:cs="Arial"/>
          <w:sz w:val="24"/>
          <w:szCs w:val="24"/>
          <w:lang w:val="es-ES"/>
        </w:rPr>
        <w:t>inflación y niveles elevados de ingresos por remesas. Además, el consumo y la inversión</w:t>
      </w:r>
      <w:r>
        <w:rPr>
          <w:rFonts w:cs="Arial"/>
          <w:sz w:val="24"/>
          <w:szCs w:val="24"/>
          <w:lang w:val="es-ES"/>
        </w:rPr>
        <w:t xml:space="preserve"> </w:t>
      </w:r>
      <w:r w:rsidRPr="004012E9">
        <w:rPr>
          <w:rFonts w:cs="Arial"/>
          <w:sz w:val="24"/>
          <w:szCs w:val="24"/>
          <w:lang w:val="es-ES"/>
        </w:rPr>
        <w:t>estarán apoyados por los beneficios de las Reformas Estructurales. En 2018, la</w:t>
      </w:r>
      <w:r>
        <w:rPr>
          <w:rFonts w:cs="Arial"/>
          <w:sz w:val="24"/>
          <w:szCs w:val="24"/>
          <w:lang w:val="es-ES"/>
        </w:rPr>
        <w:t xml:space="preserve"> </w:t>
      </w:r>
      <w:r w:rsidRPr="004012E9">
        <w:rPr>
          <w:rFonts w:cs="Arial"/>
          <w:sz w:val="24"/>
          <w:szCs w:val="24"/>
          <w:lang w:val="es-ES"/>
        </w:rPr>
        <w:t>inversión también podría ser impulsada por los esfuerzos de reconstrucción d</w:t>
      </w:r>
      <w:r>
        <w:rPr>
          <w:rFonts w:cs="Arial"/>
          <w:sz w:val="24"/>
          <w:szCs w:val="24"/>
          <w:lang w:val="es-ES"/>
        </w:rPr>
        <w:t>e</w:t>
      </w:r>
      <w:r w:rsidRPr="004012E9">
        <w:rPr>
          <w:rFonts w:cs="Arial"/>
          <w:sz w:val="24"/>
          <w:szCs w:val="24"/>
          <w:lang w:val="es-ES"/>
        </w:rPr>
        <w:t xml:space="preserve"> las</w:t>
      </w:r>
      <w:r>
        <w:rPr>
          <w:rFonts w:cs="Arial"/>
          <w:sz w:val="24"/>
          <w:szCs w:val="24"/>
          <w:lang w:val="es-ES"/>
        </w:rPr>
        <w:t xml:space="preserve"> </w:t>
      </w:r>
      <w:r w:rsidRPr="004012E9">
        <w:rPr>
          <w:rFonts w:cs="Arial"/>
          <w:sz w:val="24"/>
          <w:szCs w:val="24"/>
          <w:lang w:val="es-ES"/>
        </w:rPr>
        <w:t xml:space="preserve">zonas afectadas por los sismos. La estabilización de la plataforma de </w:t>
      </w:r>
      <w:r w:rsidRPr="004012E9">
        <w:rPr>
          <w:rFonts w:cs="Arial"/>
          <w:sz w:val="24"/>
          <w:szCs w:val="24"/>
          <w:lang w:val="es-ES"/>
        </w:rPr>
        <w:lastRenderedPageBreak/>
        <w:t>producción de</w:t>
      </w:r>
      <w:r>
        <w:rPr>
          <w:rFonts w:cs="Arial"/>
          <w:sz w:val="24"/>
          <w:szCs w:val="24"/>
          <w:lang w:val="es-ES"/>
        </w:rPr>
        <w:t xml:space="preserve"> </w:t>
      </w:r>
      <w:r w:rsidRPr="004012E9">
        <w:rPr>
          <w:rFonts w:cs="Arial"/>
          <w:sz w:val="24"/>
          <w:szCs w:val="24"/>
          <w:lang w:val="es-ES"/>
        </w:rPr>
        <w:t>petróleo implicará que dicho sector deje de tener un impacto negativo sobre el PIB.</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266834">
        <w:rPr>
          <w:rFonts w:cs="Arial"/>
          <w:sz w:val="24"/>
          <w:szCs w:val="24"/>
          <w:lang w:val="es-ES"/>
        </w:rPr>
        <w:t>Se prevé que la plataforma de producción de petróleo promedie 1,983 mbd durante</w:t>
      </w:r>
      <w:r>
        <w:rPr>
          <w:rFonts w:cs="Arial"/>
          <w:sz w:val="24"/>
          <w:szCs w:val="24"/>
          <w:lang w:val="es-ES"/>
        </w:rPr>
        <w:t xml:space="preserve"> </w:t>
      </w:r>
      <w:r w:rsidRPr="00266834">
        <w:rPr>
          <w:rFonts w:cs="Arial"/>
          <w:sz w:val="24"/>
          <w:szCs w:val="24"/>
          <w:lang w:val="es-ES"/>
        </w:rPr>
        <w:t>2018, igual a la plataforma aprobada por el H. Congreso de la Unión en el Paquete</w:t>
      </w:r>
      <w:r>
        <w:rPr>
          <w:rFonts w:cs="Arial"/>
          <w:sz w:val="24"/>
          <w:szCs w:val="24"/>
          <w:lang w:val="es-ES"/>
        </w:rPr>
        <w:t xml:space="preserve"> </w:t>
      </w:r>
      <w:r w:rsidRPr="00266834">
        <w:rPr>
          <w:rFonts w:cs="Arial"/>
          <w:sz w:val="24"/>
          <w:szCs w:val="24"/>
          <w:lang w:val="es-ES"/>
        </w:rPr>
        <w:t xml:space="preserve">Económico para </w:t>
      </w:r>
      <w:r>
        <w:rPr>
          <w:rFonts w:cs="Arial"/>
          <w:sz w:val="24"/>
          <w:szCs w:val="24"/>
          <w:lang w:val="es-ES"/>
        </w:rPr>
        <w:t>2018</w:t>
      </w:r>
      <w:r w:rsidRPr="00266834">
        <w:rPr>
          <w:rFonts w:cs="Arial"/>
          <w:sz w:val="24"/>
          <w:szCs w:val="24"/>
          <w:lang w:val="es-ES"/>
        </w:rPr>
        <w:t>, y 2,035 mbd durante 2019. Ambas cifras son consistentes</w:t>
      </w:r>
      <w:r>
        <w:rPr>
          <w:rFonts w:cs="Arial"/>
          <w:sz w:val="24"/>
          <w:szCs w:val="24"/>
          <w:lang w:val="es-ES"/>
        </w:rPr>
        <w:t xml:space="preserve"> </w:t>
      </w:r>
      <w:r w:rsidRPr="00266834">
        <w:rPr>
          <w:rFonts w:cs="Arial"/>
          <w:sz w:val="24"/>
          <w:szCs w:val="24"/>
          <w:lang w:val="es-ES"/>
        </w:rPr>
        <w:t>con las estimaciones de producción aprobadas por el Consejo de Administración de</w:t>
      </w:r>
      <w:r>
        <w:rPr>
          <w:rFonts w:cs="Arial"/>
          <w:sz w:val="24"/>
          <w:szCs w:val="24"/>
          <w:lang w:val="es-ES"/>
        </w:rPr>
        <w:t xml:space="preserve"> </w:t>
      </w:r>
      <w:r w:rsidRPr="00266834">
        <w:rPr>
          <w:rFonts w:cs="Arial"/>
          <w:sz w:val="24"/>
          <w:szCs w:val="24"/>
          <w:lang w:val="es-ES"/>
        </w:rPr>
        <w:t>Pemex.</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266834">
        <w:rPr>
          <w:rFonts w:cs="Arial"/>
          <w:sz w:val="24"/>
          <w:szCs w:val="24"/>
          <w:lang w:val="es-ES"/>
        </w:rPr>
        <w:t>El escenario Macroeconómico se encuentra sujeto a diversos</w:t>
      </w:r>
      <w:r>
        <w:rPr>
          <w:rFonts w:cs="Arial"/>
          <w:sz w:val="24"/>
          <w:szCs w:val="24"/>
          <w:lang w:val="es-ES"/>
        </w:rPr>
        <w:t xml:space="preserve"> </w:t>
      </w:r>
      <w:r w:rsidRPr="00266834">
        <w:rPr>
          <w:rFonts w:cs="Arial"/>
          <w:sz w:val="24"/>
          <w:szCs w:val="24"/>
          <w:lang w:val="es-ES"/>
        </w:rPr>
        <w:t>riesgos:</w:t>
      </w:r>
    </w:p>
    <w:p w:rsidR="0037578E" w:rsidRPr="00266834" w:rsidRDefault="0037578E" w:rsidP="0037578E">
      <w:pPr>
        <w:pStyle w:val="PRIMERAPLANA"/>
        <w:spacing w:line="360" w:lineRule="auto"/>
        <w:rPr>
          <w:rFonts w:cs="Arial"/>
          <w:sz w:val="24"/>
          <w:szCs w:val="24"/>
          <w:lang w:val="es-ES"/>
        </w:rPr>
      </w:pPr>
    </w:p>
    <w:p w:rsidR="0037578E" w:rsidRDefault="0037578E" w:rsidP="00F36D7A">
      <w:pPr>
        <w:pStyle w:val="PRIMERAPLANA"/>
        <w:numPr>
          <w:ilvl w:val="0"/>
          <w:numId w:val="8"/>
        </w:numPr>
        <w:spacing w:line="360" w:lineRule="auto"/>
        <w:rPr>
          <w:rFonts w:cs="Arial"/>
          <w:sz w:val="24"/>
          <w:szCs w:val="24"/>
          <w:lang w:val="es-ES"/>
        </w:rPr>
      </w:pPr>
      <w:r w:rsidRPr="00266834">
        <w:rPr>
          <w:rFonts w:cs="Arial"/>
          <w:sz w:val="24"/>
          <w:szCs w:val="24"/>
          <w:lang w:val="es-ES"/>
        </w:rPr>
        <w:t>El resultado de las negociaciones relativas a la modernización del Tratado de</w:t>
      </w:r>
      <w:r>
        <w:rPr>
          <w:rFonts w:cs="Arial"/>
          <w:sz w:val="24"/>
          <w:szCs w:val="24"/>
          <w:lang w:val="es-ES"/>
        </w:rPr>
        <w:t xml:space="preserve"> </w:t>
      </w:r>
      <w:r w:rsidRPr="00266834">
        <w:rPr>
          <w:rFonts w:cs="Arial"/>
          <w:sz w:val="24"/>
          <w:szCs w:val="24"/>
          <w:lang w:val="es-ES"/>
        </w:rPr>
        <w:t>Libre Comercio de América del Norte.</w:t>
      </w:r>
    </w:p>
    <w:p w:rsidR="0037578E" w:rsidRPr="00266834" w:rsidRDefault="0037578E" w:rsidP="0037578E">
      <w:pPr>
        <w:pStyle w:val="PRIMERAPLANA"/>
        <w:spacing w:line="360" w:lineRule="auto"/>
        <w:ind w:left="720"/>
        <w:rPr>
          <w:rFonts w:cs="Arial"/>
          <w:sz w:val="24"/>
          <w:szCs w:val="24"/>
          <w:lang w:val="es-ES"/>
        </w:rPr>
      </w:pPr>
    </w:p>
    <w:p w:rsidR="0037578E" w:rsidRDefault="0037578E" w:rsidP="00F36D7A">
      <w:pPr>
        <w:pStyle w:val="PRIMERAPLANA"/>
        <w:numPr>
          <w:ilvl w:val="0"/>
          <w:numId w:val="8"/>
        </w:numPr>
        <w:spacing w:line="360" w:lineRule="auto"/>
        <w:rPr>
          <w:rFonts w:cs="Arial"/>
          <w:sz w:val="24"/>
          <w:szCs w:val="24"/>
          <w:lang w:val="es-ES"/>
        </w:rPr>
      </w:pPr>
      <w:r w:rsidRPr="00266834">
        <w:rPr>
          <w:rFonts w:cs="Arial"/>
          <w:sz w:val="24"/>
          <w:szCs w:val="24"/>
          <w:lang w:val="es-ES"/>
        </w:rPr>
        <w:t>De manera relacionada, un dinamismo menor al anticipado en la economía</w:t>
      </w:r>
      <w:r>
        <w:rPr>
          <w:rFonts w:cs="Arial"/>
          <w:sz w:val="24"/>
          <w:szCs w:val="24"/>
          <w:lang w:val="es-ES"/>
        </w:rPr>
        <w:t xml:space="preserve"> </w:t>
      </w:r>
      <w:r w:rsidRPr="00266834">
        <w:rPr>
          <w:rFonts w:cs="Arial"/>
          <w:sz w:val="24"/>
          <w:szCs w:val="24"/>
          <w:lang w:val="es-ES"/>
        </w:rPr>
        <w:t>mundial, y de México en particular, el cual podría derivarse, por ejemplo, de la</w:t>
      </w:r>
      <w:r>
        <w:rPr>
          <w:rFonts w:cs="Arial"/>
          <w:sz w:val="24"/>
          <w:szCs w:val="24"/>
          <w:lang w:val="es-ES"/>
        </w:rPr>
        <w:t xml:space="preserve"> </w:t>
      </w:r>
      <w:r w:rsidRPr="00266834">
        <w:rPr>
          <w:rFonts w:cs="Arial"/>
          <w:sz w:val="24"/>
          <w:szCs w:val="24"/>
          <w:lang w:val="es-ES"/>
        </w:rPr>
        <w:t>implementación de políticas proteccionistas que obstaculicen el comercio</w:t>
      </w:r>
      <w:r>
        <w:rPr>
          <w:rFonts w:cs="Arial"/>
          <w:sz w:val="24"/>
          <w:szCs w:val="24"/>
          <w:lang w:val="es-ES"/>
        </w:rPr>
        <w:t xml:space="preserve"> </w:t>
      </w:r>
      <w:r w:rsidRPr="00266834">
        <w:rPr>
          <w:rFonts w:cs="Arial"/>
          <w:sz w:val="24"/>
          <w:szCs w:val="24"/>
          <w:lang w:val="es-ES"/>
        </w:rPr>
        <w:t>internacional.</w:t>
      </w:r>
    </w:p>
    <w:p w:rsidR="0037578E" w:rsidRDefault="0037578E" w:rsidP="0037578E">
      <w:pPr>
        <w:pStyle w:val="PRIMERAPLANA"/>
        <w:spacing w:line="360" w:lineRule="auto"/>
        <w:rPr>
          <w:rFonts w:cs="Arial"/>
          <w:sz w:val="24"/>
          <w:szCs w:val="24"/>
          <w:lang w:val="es-ES"/>
        </w:rPr>
      </w:pPr>
    </w:p>
    <w:p w:rsidR="0037578E" w:rsidRDefault="0037578E" w:rsidP="00F36D7A">
      <w:pPr>
        <w:pStyle w:val="PRIMERAPLANA"/>
        <w:numPr>
          <w:ilvl w:val="0"/>
          <w:numId w:val="8"/>
        </w:numPr>
        <w:spacing w:line="360" w:lineRule="auto"/>
        <w:rPr>
          <w:rFonts w:cs="Arial"/>
          <w:sz w:val="24"/>
          <w:szCs w:val="24"/>
          <w:lang w:val="es-ES"/>
        </w:rPr>
      </w:pPr>
      <w:r w:rsidRPr="00266834">
        <w:rPr>
          <w:rFonts w:cs="Arial"/>
          <w:sz w:val="24"/>
          <w:szCs w:val="24"/>
          <w:lang w:val="es-ES"/>
        </w:rPr>
        <w:t>Un crecimiento de la inversión en México más lento que lo anticipado.</w:t>
      </w:r>
    </w:p>
    <w:p w:rsidR="0037578E" w:rsidRPr="00266834" w:rsidRDefault="0037578E" w:rsidP="0037578E">
      <w:pPr>
        <w:pStyle w:val="PRIMERAPLANA"/>
        <w:spacing w:line="360" w:lineRule="auto"/>
        <w:ind w:left="720"/>
        <w:rPr>
          <w:rFonts w:cs="Arial"/>
          <w:sz w:val="24"/>
          <w:szCs w:val="24"/>
          <w:lang w:val="es-ES"/>
        </w:rPr>
      </w:pPr>
    </w:p>
    <w:p w:rsidR="0037578E" w:rsidRPr="00266834" w:rsidRDefault="0037578E" w:rsidP="00F36D7A">
      <w:pPr>
        <w:pStyle w:val="PRIMERAPLANA"/>
        <w:numPr>
          <w:ilvl w:val="0"/>
          <w:numId w:val="8"/>
        </w:numPr>
        <w:spacing w:line="360" w:lineRule="auto"/>
        <w:rPr>
          <w:rFonts w:cs="Arial"/>
          <w:sz w:val="24"/>
          <w:szCs w:val="24"/>
          <w:lang w:val="es-ES"/>
        </w:rPr>
      </w:pPr>
      <w:r w:rsidRPr="00266834">
        <w:rPr>
          <w:rFonts w:cs="Arial"/>
          <w:sz w:val="24"/>
          <w:szCs w:val="24"/>
          <w:lang w:val="es-ES"/>
        </w:rPr>
        <w:t>Mayor volatilidad en los mercados financieros internacionales que implique una</w:t>
      </w:r>
      <w:r>
        <w:rPr>
          <w:rFonts w:cs="Arial"/>
          <w:sz w:val="24"/>
          <w:szCs w:val="24"/>
          <w:lang w:val="es-ES"/>
        </w:rPr>
        <w:t xml:space="preserve"> </w:t>
      </w:r>
      <w:r w:rsidRPr="00266834">
        <w:rPr>
          <w:rFonts w:cs="Arial"/>
          <w:sz w:val="24"/>
          <w:szCs w:val="24"/>
          <w:lang w:val="es-ES"/>
        </w:rPr>
        <w:t>disminución de los flujos de capitales a los países emergentes. Esto podrí</w:t>
      </w:r>
      <w:r>
        <w:rPr>
          <w:rFonts w:cs="Arial"/>
          <w:sz w:val="24"/>
          <w:szCs w:val="24"/>
          <w:lang w:val="es-ES"/>
        </w:rPr>
        <w:t xml:space="preserve">a </w:t>
      </w:r>
      <w:r w:rsidRPr="00266834">
        <w:rPr>
          <w:rFonts w:cs="Arial"/>
          <w:sz w:val="24"/>
          <w:szCs w:val="24"/>
          <w:lang w:val="es-ES"/>
        </w:rPr>
        <w:t xml:space="preserve">suceder, por ejemplo, en caso de que el </w:t>
      </w:r>
      <w:r w:rsidRPr="00266834">
        <w:rPr>
          <w:rFonts w:cs="Arial"/>
          <w:sz w:val="24"/>
          <w:szCs w:val="24"/>
          <w:lang w:val="es-ES"/>
        </w:rPr>
        <w:lastRenderedPageBreak/>
        <w:t>proceso de normalización de la política</w:t>
      </w:r>
      <w:r>
        <w:rPr>
          <w:rFonts w:cs="Arial"/>
          <w:sz w:val="24"/>
          <w:szCs w:val="24"/>
          <w:lang w:val="es-ES"/>
        </w:rPr>
        <w:t xml:space="preserve"> </w:t>
      </w:r>
      <w:r w:rsidRPr="00266834">
        <w:rPr>
          <w:rFonts w:cs="Arial"/>
          <w:sz w:val="24"/>
          <w:szCs w:val="24"/>
          <w:lang w:val="es-ES"/>
        </w:rPr>
        <w:t>monetaria en EU sea más rápido que lo anticipado.</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266834">
        <w:rPr>
          <w:rFonts w:cs="Arial"/>
          <w:sz w:val="24"/>
          <w:szCs w:val="24"/>
          <w:lang w:val="es-ES"/>
        </w:rPr>
        <w:t>Si bien los riesgos descritos podrían significar un panorama</w:t>
      </w:r>
      <w:r>
        <w:rPr>
          <w:rFonts w:cs="Arial"/>
          <w:sz w:val="24"/>
          <w:szCs w:val="24"/>
          <w:lang w:val="es-ES"/>
        </w:rPr>
        <w:t xml:space="preserve"> </w:t>
      </w:r>
      <w:r w:rsidRPr="00266834">
        <w:rPr>
          <w:rFonts w:cs="Arial"/>
          <w:sz w:val="24"/>
          <w:szCs w:val="24"/>
          <w:lang w:val="es-ES"/>
        </w:rPr>
        <w:t>más complicado para las finanzas públicas, se han venido tomando acciones para que</w:t>
      </w:r>
      <w:r>
        <w:rPr>
          <w:rFonts w:cs="Arial"/>
          <w:sz w:val="24"/>
          <w:szCs w:val="24"/>
          <w:lang w:val="es-ES"/>
        </w:rPr>
        <w:t xml:space="preserve"> </w:t>
      </w:r>
      <w:r w:rsidRPr="00266834">
        <w:rPr>
          <w:rFonts w:cs="Arial"/>
          <w:sz w:val="24"/>
          <w:szCs w:val="24"/>
          <w:lang w:val="es-ES"/>
        </w:rPr>
        <w:t>estas permanezcan sólidas aun en situaciones adversas. Destaca, en particular, la</w:t>
      </w:r>
      <w:r>
        <w:rPr>
          <w:rFonts w:cs="Arial"/>
          <w:sz w:val="24"/>
          <w:szCs w:val="24"/>
          <w:lang w:val="es-ES"/>
        </w:rPr>
        <w:t xml:space="preserve"> </w:t>
      </w:r>
      <w:r w:rsidRPr="00266834">
        <w:rPr>
          <w:rFonts w:cs="Arial"/>
          <w:sz w:val="24"/>
          <w:szCs w:val="24"/>
          <w:lang w:val="es-ES"/>
        </w:rPr>
        <w:t>contratación de instrumentos financieros en los mercados internacionales de opciones</w:t>
      </w:r>
      <w:r>
        <w:rPr>
          <w:rFonts w:cs="Arial"/>
          <w:sz w:val="24"/>
          <w:szCs w:val="24"/>
          <w:lang w:val="es-ES"/>
        </w:rPr>
        <w:t xml:space="preserve"> </w:t>
      </w:r>
      <w:r w:rsidRPr="00266834">
        <w:rPr>
          <w:rFonts w:cs="Arial"/>
          <w:sz w:val="24"/>
          <w:szCs w:val="24"/>
          <w:lang w:val="es-ES"/>
        </w:rPr>
        <w:t xml:space="preserve">de venta tipo </w:t>
      </w:r>
      <w:r w:rsidRPr="00344447">
        <w:rPr>
          <w:rFonts w:cs="Arial"/>
          <w:sz w:val="24"/>
          <w:szCs w:val="24"/>
          <w:lang w:val="es-ES"/>
        </w:rPr>
        <w:t>put</w:t>
      </w:r>
      <w:r w:rsidRPr="00266834">
        <w:rPr>
          <w:rFonts w:cs="Arial"/>
          <w:sz w:val="24"/>
          <w:szCs w:val="24"/>
          <w:lang w:val="es-ES"/>
        </w:rPr>
        <w:t xml:space="preserve"> para cubrir ingresos del Gobierno Federal en caso de que el precio de</w:t>
      </w:r>
      <w:r>
        <w:rPr>
          <w:rFonts w:cs="Arial"/>
          <w:sz w:val="24"/>
          <w:szCs w:val="24"/>
          <w:lang w:val="es-ES"/>
        </w:rPr>
        <w:t xml:space="preserve"> </w:t>
      </w:r>
      <w:r w:rsidRPr="00266834">
        <w:rPr>
          <w:rFonts w:cs="Arial"/>
          <w:sz w:val="24"/>
          <w:szCs w:val="24"/>
          <w:lang w:val="es-ES"/>
        </w:rPr>
        <w:t>la mezcla mexicana de exportación se ubique por debajo de los 48.5 dólares por barril</w:t>
      </w:r>
      <w:r>
        <w:rPr>
          <w:rFonts w:cs="Arial"/>
          <w:sz w:val="24"/>
          <w:szCs w:val="24"/>
          <w:lang w:val="es-ES"/>
        </w:rPr>
        <w:t xml:space="preserve"> </w:t>
      </w:r>
      <w:r w:rsidRPr="00266834">
        <w:rPr>
          <w:rFonts w:cs="Arial"/>
          <w:sz w:val="24"/>
          <w:szCs w:val="24"/>
          <w:lang w:val="es-ES"/>
        </w:rPr>
        <w:t>previstos en la Ley de Ingresos de la Federación de 2018. De manera relacionada,</w:t>
      </w:r>
      <w:r>
        <w:rPr>
          <w:rFonts w:cs="Arial"/>
          <w:sz w:val="24"/>
          <w:szCs w:val="24"/>
          <w:lang w:val="es-ES"/>
        </w:rPr>
        <w:t xml:space="preserve"> </w:t>
      </w:r>
      <w:r w:rsidRPr="00266834">
        <w:rPr>
          <w:rFonts w:cs="Arial"/>
          <w:sz w:val="24"/>
          <w:szCs w:val="24"/>
          <w:lang w:val="es-ES"/>
        </w:rPr>
        <w:t>Pemex también cuenta con un programa propio de coberturas de sus ingresos</w:t>
      </w:r>
      <w:r>
        <w:rPr>
          <w:rFonts w:cs="Arial"/>
          <w:sz w:val="24"/>
          <w:szCs w:val="24"/>
          <w:lang w:val="es-ES"/>
        </w:rPr>
        <w:t xml:space="preserve"> </w:t>
      </w:r>
      <w:r w:rsidRPr="00266834">
        <w:rPr>
          <w:rFonts w:cs="Arial"/>
          <w:sz w:val="24"/>
          <w:szCs w:val="24"/>
          <w:lang w:val="es-ES"/>
        </w:rPr>
        <w:t>petroleros. Asimismo, el Fondo de Estabilización de los Ingresos Presupuestarios (FEIP)</w:t>
      </w:r>
      <w:r>
        <w:rPr>
          <w:rFonts w:cs="Arial"/>
          <w:sz w:val="24"/>
          <w:szCs w:val="24"/>
          <w:lang w:val="es-ES"/>
        </w:rPr>
        <w:t xml:space="preserve"> </w:t>
      </w:r>
      <w:r w:rsidRPr="00266834">
        <w:rPr>
          <w:rFonts w:cs="Arial"/>
          <w:sz w:val="24"/>
          <w:szCs w:val="24"/>
          <w:lang w:val="es-ES"/>
        </w:rPr>
        <w:t>cuenta con recursos que se ubican a diciembre de 2017 en 220.97 miles de millones</w:t>
      </w:r>
      <w:r>
        <w:rPr>
          <w:rFonts w:cs="Arial"/>
          <w:sz w:val="24"/>
          <w:szCs w:val="24"/>
          <w:lang w:val="es-ES"/>
        </w:rPr>
        <w:t xml:space="preserve"> </w:t>
      </w:r>
      <w:r w:rsidRPr="00266834">
        <w:rPr>
          <w:rFonts w:cs="Arial"/>
          <w:sz w:val="24"/>
          <w:szCs w:val="24"/>
          <w:lang w:val="es-ES"/>
        </w:rPr>
        <w:t>de pesos. Además, el Gobierno Federal ha refinanciado sus pasivos tanto en moneda</w:t>
      </w:r>
      <w:r>
        <w:rPr>
          <w:rFonts w:cs="Arial"/>
          <w:sz w:val="24"/>
          <w:szCs w:val="24"/>
          <w:lang w:val="es-ES"/>
        </w:rPr>
        <w:t xml:space="preserve"> </w:t>
      </w:r>
      <w:r w:rsidRPr="00266834">
        <w:rPr>
          <w:rFonts w:cs="Arial"/>
          <w:sz w:val="24"/>
          <w:szCs w:val="24"/>
          <w:lang w:val="es-ES"/>
        </w:rPr>
        <w:t>externa como local, reduciendo significativamente sus amortizaciones para los</w:t>
      </w:r>
      <w:r>
        <w:rPr>
          <w:rFonts w:cs="Arial"/>
          <w:sz w:val="24"/>
          <w:szCs w:val="24"/>
          <w:lang w:val="es-ES"/>
        </w:rPr>
        <w:t xml:space="preserve"> </w:t>
      </w:r>
      <w:r w:rsidRPr="00266834">
        <w:rPr>
          <w:rFonts w:cs="Arial"/>
          <w:sz w:val="24"/>
          <w:szCs w:val="24"/>
          <w:lang w:val="es-ES"/>
        </w:rPr>
        <w:t>próximos años, incrementando la eficiencia del portafolio y mejorando el perfil de</w:t>
      </w:r>
      <w:r>
        <w:rPr>
          <w:rFonts w:cs="Arial"/>
          <w:sz w:val="24"/>
          <w:szCs w:val="24"/>
          <w:lang w:val="es-ES"/>
        </w:rPr>
        <w:t xml:space="preserve"> </w:t>
      </w:r>
      <w:r w:rsidRPr="00266834">
        <w:rPr>
          <w:rFonts w:cs="Arial"/>
          <w:sz w:val="24"/>
          <w:szCs w:val="24"/>
          <w:lang w:val="es-ES"/>
        </w:rPr>
        <w:t>vencimientos</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B634B4">
        <w:rPr>
          <w:rFonts w:cs="Arial"/>
          <w:sz w:val="24"/>
          <w:szCs w:val="24"/>
          <w:lang w:val="es-ES"/>
        </w:rPr>
        <w:t>Se estima que en 2019 los ingresos presupuestarios sean mayores en 65.1 mmp, en</w:t>
      </w:r>
      <w:r>
        <w:rPr>
          <w:rFonts w:cs="Arial"/>
          <w:sz w:val="24"/>
          <w:szCs w:val="24"/>
          <w:lang w:val="es-ES"/>
        </w:rPr>
        <w:t xml:space="preserve"> </w:t>
      </w:r>
      <w:r w:rsidRPr="00B634B4">
        <w:rPr>
          <w:rFonts w:cs="Arial"/>
          <w:sz w:val="24"/>
          <w:szCs w:val="24"/>
          <w:lang w:val="es-ES"/>
        </w:rPr>
        <w:t>pesos de 2019, respecto al monto previsto en la LIF 2018, resultado de las siguientes</w:t>
      </w:r>
      <w:r>
        <w:rPr>
          <w:rFonts w:cs="Arial"/>
          <w:sz w:val="24"/>
          <w:szCs w:val="24"/>
          <w:lang w:val="es-ES"/>
        </w:rPr>
        <w:t xml:space="preserve"> </w:t>
      </w:r>
      <w:r w:rsidRPr="00B634B4">
        <w:rPr>
          <w:rFonts w:cs="Arial"/>
          <w:sz w:val="24"/>
          <w:szCs w:val="24"/>
          <w:lang w:val="es-ES"/>
        </w:rPr>
        <w:t>variaciones en sus componentes:</w:t>
      </w:r>
    </w:p>
    <w:p w:rsidR="0037578E" w:rsidRDefault="0037578E" w:rsidP="0037578E">
      <w:pPr>
        <w:pStyle w:val="PRIMERAPLANA"/>
        <w:spacing w:line="360" w:lineRule="auto"/>
        <w:rPr>
          <w:rFonts w:cs="Arial"/>
          <w:sz w:val="24"/>
          <w:szCs w:val="24"/>
          <w:lang w:val="es-ES"/>
        </w:rPr>
      </w:pPr>
    </w:p>
    <w:p w:rsidR="0037578E" w:rsidRDefault="0037578E" w:rsidP="00F36D7A">
      <w:pPr>
        <w:pStyle w:val="PRIMERAPLANA"/>
        <w:numPr>
          <w:ilvl w:val="0"/>
          <w:numId w:val="8"/>
        </w:numPr>
        <w:spacing w:line="360" w:lineRule="auto"/>
        <w:rPr>
          <w:rFonts w:cs="Arial"/>
          <w:sz w:val="24"/>
          <w:szCs w:val="24"/>
          <w:lang w:val="es-ES"/>
        </w:rPr>
      </w:pPr>
      <w:r w:rsidRPr="00B634B4">
        <w:rPr>
          <w:rFonts w:cs="Arial"/>
          <w:sz w:val="24"/>
          <w:szCs w:val="24"/>
          <w:lang w:val="es-ES"/>
        </w:rPr>
        <w:lastRenderedPageBreak/>
        <w:t>Mayores ingresos tributarios en 106.4 mmp, por la mayor actividad económica.</w:t>
      </w:r>
    </w:p>
    <w:p w:rsidR="0037578E" w:rsidRPr="00B634B4" w:rsidRDefault="0037578E" w:rsidP="0037578E">
      <w:pPr>
        <w:pStyle w:val="PRIMERAPLANA"/>
        <w:spacing w:line="360" w:lineRule="auto"/>
        <w:ind w:left="720"/>
        <w:rPr>
          <w:rFonts w:cs="Arial"/>
          <w:sz w:val="24"/>
          <w:szCs w:val="24"/>
          <w:lang w:val="es-ES"/>
        </w:rPr>
      </w:pPr>
    </w:p>
    <w:p w:rsidR="0037578E" w:rsidRDefault="0037578E" w:rsidP="00F36D7A">
      <w:pPr>
        <w:pStyle w:val="PRIMERAPLANA"/>
        <w:numPr>
          <w:ilvl w:val="0"/>
          <w:numId w:val="8"/>
        </w:numPr>
        <w:spacing w:line="360" w:lineRule="auto"/>
        <w:rPr>
          <w:rFonts w:cs="Arial"/>
          <w:sz w:val="24"/>
          <w:szCs w:val="24"/>
          <w:lang w:val="es-ES"/>
        </w:rPr>
      </w:pPr>
      <w:r w:rsidRPr="00B634B4">
        <w:rPr>
          <w:rFonts w:cs="Arial"/>
          <w:sz w:val="24"/>
          <w:szCs w:val="24"/>
          <w:lang w:val="es-ES"/>
        </w:rPr>
        <w:t>Mayores ingresos propios de las entidades distintas de Pemex en 16.9 mmp,</w:t>
      </w:r>
      <w:r>
        <w:rPr>
          <w:rFonts w:cs="Arial"/>
          <w:sz w:val="24"/>
          <w:szCs w:val="24"/>
          <w:lang w:val="es-ES"/>
        </w:rPr>
        <w:t xml:space="preserve"> </w:t>
      </w:r>
      <w:r w:rsidRPr="00B634B4">
        <w:rPr>
          <w:rFonts w:cs="Arial"/>
          <w:sz w:val="24"/>
          <w:szCs w:val="24"/>
          <w:lang w:val="es-ES"/>
        </w:rPr>
        <w:t>como consecuencia del aumento en las contribuciones a la seguridad social.</w:t>
      </w:r>
    </w:p>
    <w:p w:rsidR="0037578E" w:rsidRPr="00B634B4" w:rsidRDefault="0037578E" w:rsidP="0037578E">
      <w:pPr>
        <w:pStyle w:val="PRIMERAPLANA"/>
        <w:spacing w:line="360" w:lineRule="auto"/>
        <w:ind w:left="720"/>
        <w:rPr>
          <w:rFonts w:cs="Arial"/>
          <w:sz w:val="24"/>
          <w:szCs w:val="24"/>
          <w:lang w:val="es-ES"/>
        </w:rPr>
      </w:pPr>
    </w:p>
    <w:p w:rsidR="0037578E" w:rsidRDefault="0037578E" w:rsidP="00F36D7A">
      <w:pPr>
        <w:pStyle w:val="PRIMERAPLANA"/>
        <w:numPr>
          <w:ilvl w:val="0"/>
          <w:numId w:val="8"/>
        </w:numPr>
        <w:spacing w:line="360" w:lineRule="auto"/>
        <w:rPr>
          <w:rFonts w:cs="Arial"/>
          <w:sz w:val="24"/>
          <w:szCs w:val="24"/>
          <w:lang w:val="es-ES"/>
        </w:rPr>
      </w:pPr>
      <w:r w:rsidRPr="00B634B4">
        <w:rPr>
          <w:rFonts w:cs="Arial"/>
          <w:sz w:val="24"/>
          <w:szCs w:val="24"/>
          <w:lang w:val="es-ES"/>
        </w:rPr>
        <w:t>Ingresos petroleros inferiores en 63.6 mmp</w:t>
      </w:r>
      <w:r>
        <w:rPr>
          <w:rFonts w:cs="Arial"/>
          <w:sz w:val="24"/>
          <w:szCs w:val="24"/>
          <w:lang w:val="es-ES"/>
        </w:rPr>
        <w:t>,</w:t>
      </w:r>
      <w:r w:rsidRPr="00B634B4">
        <w:rPr>
          <w:rFonts w:cs="Arial"/>
          <w:sz w:val="24"/>
          <w:szCs w:val="24"/>
          <w:lang w:val="es-ES"/>
        </w:rPr>
        <w:t xml:space="preserve"> </w:t>
      </w:r>
      <w:r>
        <w:rPr>
          <w:rFonts w:cs="Arial"/>
          <w:sz w:val="24"/>
          <w:szCs w:val="24"/>
          <w:lang w:val="es-ES"/>
        </w:rPr>
        <w:t>s</w:t>
      </w:r>
      <w:r w:rsidRPr="00B634B4">
        <w:rPr>
          <w:rFonts w:cs="Arial"/>
          <w:sz w:val="24"/>
          <w:szCs w:val="24"/>
          <w:lang w:val="es-ES"/>
        </w:rPr>
        <w:t>i bien el precio promedio del</w:t>
      </w:r>
      <w:r>
        <w:rPr>
          <w:rFonts w:cs="Arial"/>
          <w:sz w:val="24"/>
          <w:szCs w:val="24"/>
          <w:lang w:val="es-ES"/>
        </w:rPr>
        <w:t xml:space="preserve"> </w:t>
      </w:r>
      <w:r w:rsidRPr="00B634B4">
        <w:rPr>
          <w:rFonts w:cs="Arial"/>
          <w:sz w:val="24"/>
          <w:szCs w:val="24"/>
          <w:lang w:val="es-ES"/>
        </w:rPr>
        <w:t>petróleo para 2019 es mayor al precio aprobado para 2018 en el Paquete</w:t>
      </w:r>
      <w:r>
        <w:rPr>
          <w:rFonts w:cs="Arial"/>
          <w:sz w:val="24"/>
          <w:szCs w:val="24"/>
          <w:lang w:val="es-ES"/>
        </w:rPr>
        <w:t xml:space="preserve"> </w:t>
      </w:r>
      <w:r w:rsidRPr="00B634B4">
        <w:rPr>
          <w:rFonts w:cs="Arial"/>
          <w:sz w:val="24"/>
          <w:szCs w:val="24"/>
          <w:lang w:val="es-ES"/>
        </w:rPr>
        <w:t>Económico de este año, también se anticipa una disminución en el precio del gas</w:t>
      </w:r>
      <w:r>
        <w:rPr>
          <w:rFonts w:cs="Arial"/>
          <w:sz w:val="24"/>
          <w:szCs w:val="24"/>
          <w:lang w:val="es-ES"/>
        </w:rPr>
        <w:t xml:space="preserve"> </w:t>
      </w:r>
      <w:r w:rsidRPr="00B634B4">
        <w:rPr>
          <w:rFonts w:cs="Arial"/>
          <w:sz w:val="24"/>
          <w:szCs w:val="24"/>
          <w:lang w:val="es-ES"/>
        </w:rPr>
        <w:t>natural y una apreciación real del tipo de cambio</w:t>
      </w:r>
      <w:r>
        <w:rPr>
          <w:rFonts w:cs="Arial"/>
          <w:sz w:val="24"/>
          <w:szCs w:val="24"/>
          <w:lang w:val="es-ES"/>
        </w:rPr>
        <w:t>.</w:t>
      </w:r>
    </w:p>
    <w:p w:rsidR="0037578E" w:rsidRPr="00B634B4" w:rsidRDefault="0037578E" w:rsidP="0037578E">
      <w:pPr>
        <w:pStyle w:val="PRIMERAPLANA"/>
        <w:spacing w:line="360" w:lineRule="auto"/>
        <w:ind w:left="720"/>
        <w:rPr>
          <w:rFonts w:cs="Arial"/>
          <w:sz w:val="24"/>
          <w:szCs w:val="24"/>
          <w:lang w:val="es-ES"/>
        </w:rPr>
      </w:pPr>
    </w:p>
    <w:p w:rsidR="0037578E" w:rsidRDefault="0037578E" w:rsidP="00F36D7A">
      <w:pPr>
        <w:pStyle w:val="PRIMERAPLANA"/>
        <w:numPr>
          <w:ilvl w:val="0"/>
          <w:numId w:val="8"/>
        </w:numPr>
        <w:spacing w:line="360" w:lineRule="auto"/>
        <w:rPr>
          <w:rFonts w:cs="Arial"/>
          <w:sz w:val="24"/>
          <w:szCs w:val="24"/>
          <w:lang w:val="es-ES"/>
        </w:rPr>
      </w:pPr>
      <w:r w:rsidRPr="00B634B4">
        <w:rPr>
          <w:rFonts w:cs="Arial"/>
          <w:sz w:val="24"/>
          <w:szCs w:val="24"/>
          <w:lang w:val="es-ES"/>
        </w:rPr>
        <w:t>Mayores ingresos no tributarios en 5.3 mmp.</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B31E21">
        <w:rPr>
          <w:rFonts w:cs="Arial"/>
          <w:sz w:val="24"/>
          <w:szCs w:val="24"/>
          <w:lang w:val="es-ES"/>
        </w:rPr>
        <w:t>La meta de balance presupuestario de 2.0% del PIB y los ingresos estimados implican</w:t>
      </w:r>
      <w:r>
        <w:rPr>
          <w:rFonts w:cs="Arial"/>
          <w:sz w:val="24"/>
          <w:szCs w:val="24"/>
          <w:lang w:val="es-ES"/>
        </w:rPr>
        <w:t xml:space="preserve"> </w:t>
      </w:r>
      <w:r w:rsidRPr="00B31E21">
        <w:rPr>
          <w:rFonts w:cs="Arial"/>
          <w:sz w:val="24"/>
          <w:szCs w:val="24"/>
          <w:lang w:val="es-ES"/>
        </w:rPr>
        <w:t>que el gasto neto total pagado para 2019 aumente 80.6 mmp con</w:t>
      </w:r>
      <w:r>
        <w:rPr>
          <w:rFonts w:cs="Arial"/>
          <w:sz w:val="24"/>
          <w:szCs w:val="24"/>
          <w:lang w:val="es-ES"/>
        </w:rPr>
        <w:t xml:space="preserve"> </w:t>
      </w:r>
      <w:r w:rsidRPr="00B31E21">
        <w:rPr>
          <w:rFonts w:cs="Arial"/>
          <w:sz w:val="24"/>
          <w:szCs w:val="24"/>
          <w:lang w:val="es-ES"/>
        </w:rPr>
        <w:t>respecto al monto aprobado en el PEF 2018, es decir, un incremento de 1.5% real. En</w:t>
      </w:r>
      <w:r>
        <w:rPr>
          <w:rFonts w:cs="Arial"/>
          <w:sz w:val="24"/>
          <w:szCs w:val="24"/>
          <w:lang w:val="es-ES"/>
        </w:rPr>
        <w:t xml:space="preserve"> </w:t>
      </w:r>
      <w:r w:rsidRPr="00B31E21">
        <w:rPr>
          <w:rFonts w:cs="Arial"/>
          <w:sz w:val="24"/>
          <w:szCs w:val="24"/>
          <w:lang w:val="es-ES"/>
        </w:rPr>
        <w:t>sus componentes, se estima que:</w:t>
      </w:r>
      <w:r>
        <w:rPr>
          <w:rFonts w:cs="Arial"/>
          <w:sz w:val="24"/>
          <w:szCs w:val="24"/>
          <w:lang w:val="es-ES"/>
        </w:rPr>
        <w:t xml:space="preserve"> </w:t>
      </w:r>
    </w:p>
    <w:p w:rsidR="0037578E" w:rsidRDefault="0037578E" w:rsidP="0037578E">
      <w:pPr>
        <w:pStyle w:val="PRIMERAPLANA"/>
        <w:spacing w:line="360" w:lineRule="auto"/>
        <w:rPr>
          <w:rFonts w:cs="Arial"/>
          <w:sz w:val="24"/>
          <w:szCs w:val="24"/>
          <w:lang w:val="es-ES"/>
        </w:rPr>
      </w:pPr>
    </w:p>
    <w:p w:rsidR="0037578E" w:rsidRDefault="0037578E" w:rsidP="00F36D7A">
      <w:pPr>
        <w:pStyle w:val="PRIMERAPLANA"/>
        <w:numPr>
          <w:ilvl w:val="0"/>
          <w:numId w:val="8"/>
        </w:numPr>
        <w:spacing w:line="360" w:lineRule="auto"/>
        <w:rPr>
          <w:rFonts w:cs="Arial"/>
          <w:sz w:val="24"/>
          <w:szCs w:val="24"/>
          <w:lang w:val="es-ES"/>
        </w:rPr>
      </w:pPr>
      <w:r w:rsidRPr="00B31E21">
        <w:rPr>
          <w:rFonts w:cs="Arial"/>
          <w:sz w:val="24"/>
          <w:szCs w:val="24"/>
          <w:lang w:val="es-ES"/>
        </w:rPr>
        <w:t>El gasto no programable aumente 92.8 mmp, debido al mayor costo financiero</w:t>
      </w:r>
      <w:r>
        <w:rPr>
          <w:rFonts w:cs="Arial"/>
          <w:sz w:val="24"/>
          <w:szCs w:val="24"/>
          <w:lang w:val="es-ES"/>
        </w:rPr>
        <w:t xml:space="preserve"> </w:t>
      </w:r>
      <w:r w:rsidRPr="00B31E21">
        <w:rPr>
          <w:rFonts w:cs="Arial"/>
          <w:sz w:val="24"/>
          <w:szCs w:val="24"/>
          <w:lang w:val="es-ES"/>
        </w:rPr>
        <w:t>que resulta de un aumento en las tasas de interés que se ha venido observando</w:t>
      </w:r>
      <w:r>
        <w:rPr>
          <w:rFonts w:cs="Arial"/>
          <w:sz w:val="24"/>
          <w:szCs w:val="24"/>
          <w:lang w:val="es-ES"/>
        </w:rPr>
        <w:t xml:space="preserve"> </w:t>
      </w:r>
      <w:r w:rsidRPr="00B31E21">
        <w:rPr>
          <w:rFonts w:cs="Arial"/>
          <w:sz w:val="24"/>
          <w:szCs w:val="24"/>
          <w:lang w:val="es-ES"/>
        </w:rPr>
        <w:t>en los últimos años, así como mayores participaciones derivadas del crecimiento</w:t>
      </w:r>
      <w:r>
        <w:rPr>
          <w:rFonts w:cs="Arial"/>
          <w:sz w:val="24"/>
          <w:szCs w:val="24"/>
          <w:lang w:val="es-ES"/>
        </w:rPr>
        <w:t xml:space="preserve"> </w:t>
      </w:r>
      <w:r w:rsidRPr="00B31E21">
        <w:rPr>
          <w:rFonts w:cs="Arial"/>
          <w:sz w:val="24"/>
          <w:szCs w:val="24"/>
          <w:lang w:val="es-ES"/>
        </w:rPr>
        <w:t xml:space="preserve">de la recaudación federal </w:t>
      </w:r>
      <w:r w:rsidRPr="00B31E21">
        <w:rPr>
          <w:rFonts w:cs="Arial"/>
          <w:sz w:val="24"/>
          <w:szCs w:val="24"/>
          <w:lang w:val="es-ES"/>
        </w:rPr>
        <w:lastRenderedPageBreak/>
        <w:t xml:space="preserve">participable y al mayor pago de </w:t>
      </w:r>
      <w:r>
        <w:rPr>
          <w:rFonts w:cs="Arial"/>
          <w:sz w:val="24"/>
          <w:szCs w:val="24"/>
          <w:lang w:val="es-ES"/>
        </w:rPr>
        <w:t>Adeudos de Ejercicios Fiscales Anteriores (ADEFAS).</w:t>
      </w:r>
    </w:p>
    <w:p w:rsidR="0037578E" w:rsidRPr="00B31E21" w:rsidRDefault="0037578E" w:rsidP="0037578E">
      <w:pPr>
        <w:pStyle w:val="PRIMERAPLANA"/>
        <w:spacing w:line="360" w:lineRule="auto"/>
        <w:ind w:left="720"/>
        <w:rPr>
          <w:rFonts w:cs="Arial"/>
          <w:sz w:val="24"/>
          <w:szCs w:val="24"/>
          <w:lang w:val="es-ES"/>
        </w:rPr>
      </w:pPr>
    </w:p>
    <w:p w:rsidR="0037578E" w:rsidRDefault="0037578E" w:rsidP="00F36D7A">
      <w:pPr>
        <w:pStyle w:val="PRIMERAPLANA"/>
        <w:numPr>
          <w:ilvl w:val="0"/>
          <w:numId w:val="8"/>
        </w:numPr>
        <w:spacing w:line="360" w:lineRule="auto"/>
        <w:rPr>
          <w:rFonts w:cs="Arial"/>
          <w:sz w:val="24"/>
          <w:szCs w:val="24"/>
          <w:lang w:val="es-ES"/>
        </w:rPr>
      </w:pPr>
      <w:r w:rsidRPr="00B31E21">
        <w:rPr>
          <w:rFonts w:cs="Arial"/>
          <w:sz w:val="24"/>
          <w:szCs w:val="24"/>
          <w:lang w:val="es-ES"/>
        </w:rPr>
        <w:t>Considerando lo anterior, el cumplimento de las metas fiscales requiere una</w:t>
      </w:r>
      <w:r>
        <w:rPr>
          <w:rFonts w:cs="Arial"/>
          <w:sz w:val="24"/>
          <w:szCs w:val="24"/>
          <w:lang w:val="es-ES"/>
        </w:rPr>
        <w:t xml:space="preserve"> </w:t>
      </w:r>
      <w:r w:rsidRPr="00B31E21">
        <w:rPr>
          <w:rFonts w:cs="Arial"/>
          <w:sz w:val="24"/>
          <w:szCs w:val="24"/>
          <w:lang w:val="es-ES"/>
        </w:rPr>
        <w:t>reducción en el gasto programable pagado de 12.2 mmp respecto a lo aprobado</w:t>
      </w:r>
      <w:r>
        <w:rPr>
          <w:rFonts w:cs="Arial"/>
          <w:sz w:val="24"/>
          <w:szCs w:val="24"/>
          <w:lang w:val="es-ES"/>
        </w:rPr>
        <w:t xml:space="preserve"> </w:t>
      </w:r>
      <w:r w:rsidRPr="00B31E21">
        <w:rPr>
          <w:rFonts w:cs="Arial"/>
          <w:sz w:val="24"/>
          <w:szCs w:val="24"/>
          <w:lang w:val="es-ES"/>
        </w:rPr>
        <w:t>en 2018 (-0.3% real), si bien este ajuste es el menor de los previstos en los Pre-</w:t>
      </w:r>
      <w:r>
        <w:rPr>
          <w:rFonts w:cs="Arial"/>
          <w:sz w:val="24"/>
          <w:szCs w:val="24"/>
          <w:lang w:val="es-ES"/>
        </w:rPr>
        <w:t xml:space="preserve"> </w:t>
      </w:r>
      <w:r w:rsidRPr="00B31E21">
        <w:rPr>
          <w:rFonts w:cs="Arial"/>
          <w:sz w:val="24"/>
          <w:szCs w:val="24"/>
          <w:lang w:val="es-ES"/>
        </w:rPr>
        <w:t>Criterios de los últimos tres años (2018: -2.0%; 2017: -10.5% y 2016: -8.3%).</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sidRPr="00662503">
        <w:rPr>
          <w:rFonts w:cs="Arial"/>
          <w:sz w:val="24"/>
          <w:szCs w:val="24"/>
          <w:lang w:val="es-ES"/>
        </w:rPr>
        <w:t xml:space="preserve">A </w:t>
      </w:r>
      <w:r w:rsidR="00521596" w:rsidRPr="00662503">
        <w:rPr>
          <w:rFonts w:cs="Arial"/>
          <w:sz w:val="24"/>
          <w:szCs w:val="24"/>
          <w:lang w:val="es-ES"/>
        </w:rPr>
        <w:t>continuación,</w:t>
      </w:r>
      <w:r w:rsidRPr="00662503">
        <w:rPr>
          <w:rFonts w:cs="Arial"/>
          <w:sz w:val="24"/>
          <w:szCs w:val="24"/>
          <w:lang w:val="es-ES"/>
        </w:rPr>
        <w:t xml:space="preserve"> se presentan las principales variables empleadas en la estimación del marco macroeconómico 201</w:t>
      </w:r>
      <w:r>
        <w:rPr>
          <w:rFonts w:cs="Arial"/>
          <w:sz w:val="24"/>
          <w:szCs w:val="24"/>
          <w:lang w:val="es-ES"/>
        </w:rPr>
        <w:t>9</w:t>
      </w:r>
      <w:r w:rsidRPr="00662503">
        <w:rPr>
          <w:rFonts w:cs="Arial"/>
          <w:sz w:val="24"/>
          <w:szCs w:val="24"/>
          <w:lang w:val="es-ES"/>
        </w:rPr>
        <w:t xml:space="preserve">, establecidas en </w:t>
      </w:r>
      <w:r>
        <w:rPr>
          <w:rFonts w:cs="Arial"/>
          <w:bCs/>
          <w:sz w:val="24"/>
          <w:szCs w:val="24"/>
          <w:lang w:val="es-ES"/>
        </w:rPr>
        <w:t>el Documento relativo al Cumplimiento de las Disposiciones Contenidas en el Artículo 42, Fracción I, de la Ley Federal de Presupuesto y Responsabilidad Hacendaria (Pre-Criterios 2019)</w:t>
      </w:r>
      <w:r w:rsidRPr="00AA2E86">
        <w:rPr>
          <w:rFonts w:cs="Arial"/>
          <w:bCs/>
          <w:sz w:val="24"/>
          <w:szCs w:val="24"/>
          <w:lang w:val="es-ES"/>
        </w:rPr>
        <w:t>.</w:t>
      </w:r>
    </w:p>
    <w:p w:rsidR="0037578E" w:rsidRDefault="0037578E" w:rsidP="0037578E">
      <w:pPr>
        <w:pStyle w:val="PRIMERAPLANA"/>
        <w:spacing w:line="360" w:lineRule="auto"/>
        <w:jc w:val="center"/>
        <w:rPr>
          <w:rFonts w:cs="Arial"/>
          <w:sz w:val="24"/>
          <w:szCs w:val="24"/>
          <w:lang w:val="es-ES"/>
        </w:rPr>
      </w:pPr>
      <w:r w:rsidRPr="00FD6EB8">
        <w:rPr>
          <w:rFonts w:cs="Arial"/>
          <w:noProof/>
          <w:sz w:val="24"/>
          <w:szCs w:val="24"/>
          <w:lang w:val="es-MX" w:eastAsia="es-MX"/>
        </w:rPr>
        <w:lastRenderedPageBreak/>
        <w:drawing>
          <wp:inline distT="0" distB="0" distL="0" distR="0" wp14:anchorId="156608F6" wp14:editId="06727C4C">
            <wp:extent cx="3695700" cy="6457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3768198" cy="6584635"/>
                    </a:xfrm>
                    <a:prstGeom prst="rect">
                      <a:avLst/>
                    </a:prstGeom>
                    <a:noFill/>
                    <a:ln>
                      <a:noFill/>
                    </a:ln>
                  </pic:spPr>
                </pic:pic>
              </a:graphicData>
            </a:graphic>
          </wp:inline>
        </w:drawing>
      </w:r>
    </w:p>
    <w:p w:rsidR="0037578E" w:rsidRPr="00507E6F" w:rsidRDefault="0037578E" w:rsidP="0037578E">
      <w:pPr>
        <w:pStyle w:val="PRIMERAPLANA"/>
        <w:spacing w:line="360" w:lineRule="auto"/>
        <w:rPr>
          <w:rFonts w:cs="Arial"/>
          <w:iCs/>
          <w:sz w:val="24"/>
          <w:szCs w:val="24"/>
          <w:lang w:val="es-ES"/>
        </w:rPr>
      </w:pPr>
      <w:r w:rsidRPr="00507E6F">
        <w:rPr>
          <w:rFonts w:cs="Arial"/>
          <w:iCs/>
          <w:sz w:val="24"/>
          <w:szCs w:val="24"/>
          <w:lang w:val="es-ES"/>
        </w:rPr>
        <w:lastRenderedPageBreak/>
        <w:t xml:space="preserve">Ante la incertidumbre que prevalece en la economía mexicana, el balance de riesgos para el crecimiento económico del país continúa sesgado a la baja. </w:t>
      </w:r>
    </w:p>
    <w:p w:rsidR="0037578E" w:rsidRDefault="0037578E" w:rsidP="0037578E">
      <w:pPr>
        <w:pStyle w:val="PRIMERAPLANA"/>
        <w:spacing w:line="360" w:lineRule="auto"/>
        <w:rPr>
          <w:rFonts w:cs="Arial"/>
          <w:iCs/>
          <w:sz w:val="24"/>
          <w:szCs w:val="24"/>
          <w:lang w:val="es-ES"/>
        </w:rPr>
      </w:pPr>
    </w:p>
    <w:p w:rsidR="0037578E" w:rsidRDefault="0037578E" w:rsidP="0037578E">
      <w:pPr>
        <w:pStyle w:val="PRIMERAPLANA"/>
        <w:spacing w:line="360" w:lineRule="auto"/>
        <w:rPr>
          <w:rFonts w:cs="Arial"/>
          <w:iCs/>
          <w:sz w:val="24"/>
          <w:szCs w:val="24"/>
          <w:lang w:val="es-ES"/>
        </w:rPr>
      </w:pPr>
      <w:r w:rsidRPr="00507E6F">
        <w:rPr>
          <w:rFonts w:cs="Arial"/>
          <w:iCs/>
          <w:sz w:val="24"/>
          <w:szCs w:val="24"/>
          <w:lang w:val="es-ES"/>
        </w:rPr>
        <w:t>Entre los riesgos a la baja en el horizonte de pronósti</w:t>
      </w:r>
      <w:r>
        <w:rPr>
          <w:rFonts w:cs="Arial"/>
          <w:iCs/>
          <w:sz w:val="24"/>
          <w:szCs w:val="24"/>
          <w:lang w:val="es-ES"/>
        </w:rPr>
        <w:t>co destacan:</w:t>
      </w:r>
    </w:p>
    <w:p w:rsidR="0037578E" w:rsidRPr="00507E6F" w:rsidRDefault="0037578E" w:rsidP="0037578E">
      <w:pPr>
        <w:pStyle w:val="PRIMERAPLANA"/>
        <w:spacing w:line="360" w:lineRule="auto"/>
        <w:rPr>
          <w:rFonts w:cs="Arial"/>
          <w:iCs/>
          <w:sz w:val="24"/>
          <w:szCs w:val="24"/>
          <w:lang w:val="es-ES"/>
        </w:rPr>
      </w:pPr>
    </w:p>
    <w:p w:rsidR="0037578E" w:rsidRDefault="0037578E" w:rsidP="00F36D7A">
      <w:pPr>
        <w:pStyle w:val="PRIMERAPLANA"/>
        <w:numPr>
          <w:ilvl w:val="0"/>
          <w:numId w:val="11"/>
        </w:numPr>
        <w:spacing w:line="360" w:lineRule="auto"/>
        <w:rPr>
          <w:rFonts w:cs="Arial"/>
          <w:iCs/>
          <w:sz w:val="24"/>
          <w:szCs w:val="24"/>
          <w:lang w:val="es-ES"/>
        </w:rPr>
      </w:pPr>
      <w:r w:rsidRPr="00507E6F">
        <w:rPr>
          <w:rFonts w:cs="Arial"/>
          <w:iCs/>
          <w:sz w:val="24"/>
          <w:szCs w:val="24"/>
          <w:lang w:val="es-ES"/>
        </w:rPr>
        <w:t xml:space="preserve">Que el escalamiento de medidas proteccionistas a nivel mundial afecte adversamente el crecimiento global y el comercio internacional, particularmente el de México. </w:t>
      </w:r>
    </w:p>
    <w:p w:rsidR="0037578E" w:rsidRDefault="0037578E" w:rsidP="0037578E">
      <w:pPr>
        <w:pStyle w:val="PRIMERAPLANA"/>
        <w:spacing w:line="360" w:lineRule="auto"/>
        <w:ind w:left="720"/>
        <w:rPr>
          <w:rFonts w:cs="Arial"/>
          <w:iCs/>
          <w:sz w:val="24"/>
          <w:szCs w:val="24"/>
          <w:lang w:val="es-ES"/>
        </w:rPr>
      </w:pPr>
    </w:p>
    <w:p w:rsidR="0037578E" w:rsidRDefault="0037578E" w:rsidP="00F36D7A">
      <w:pPr>
        <w:pStyle w:val="PRIMERAPLANA"/>
        <w:numPr>
          <w:ilvl w:val="0"/>
          <w:numId w:val="11"/>
        </w:numPr>
        <w:spacing w:line="360" w:lineRule="auto"/>
        <w:rPr>
          <w:rFonts w:cs="Arial"/>
          <w:iCs/>
          <w:sz w:val="24"/>
          <w:szCs w:val="24"/>
          <w:lang w:val="es-ES"/>
        </w:rPr>
      </w:pPr>
      <w:r w:rsidRPr="00507E6F">
        <w:rPr>
          <w:rFonts w:cs="Arial"/>
          <w:iCs/>
          <w:sz w:val="24"/>
          <w:szCs w:val="24"/>
          <w:lang w:val="es-ES"/>
        </w:rPr>
        <w:t>Que se observen episodios de volatilidad en los mercados financieros internacionales derivados, entre otros factores, de sorpresas inflacionarias en Estados Unidos, que resulten en aumentos en las tasas de interés en ese país mayores a los esperados, así como de un</w:t>
      </w:r>
      <w:r>
        <w:rPr>
          <w:rFonts w:cs="Arial"/>
          <w:iCs/>
          <w:sz w:val="24"/>
          <w:szCs w:val="24"/>
          <w:lang w:val="es-ES"/>
        </w:rPr>
        <w:t>a</w:t>
      </w:r>
      <w:r w:rsidRPr="00507E6F">
        <w:rPr>
          <w:rFonts w:cs="Arial"/>
          <w:iCs/>
          <w:sz w:val="24"/>
          <w:szCs w:val="24"/>
          <w:lang w:val="es-ES"/>
        </w:rPr>
        <w:t xml:space="preserve"> posible </w:t>
      </w:r>
      <w:r>
        <w:rPr>
          <w:rFonts w:cs="Arial"/>
          <w:iCs/>
          <w:sz w:val="24"/>
          <w:szCs w:val="24"/>
          <w:lang w:val="es-ES"/>
        </w:rPr>
        <w:t>afectación</w:t>
      </w:r>
      <w:r w:rsidRPr="00507E6F">
        <w:rPr>
          <w:rFonts w:cs="Arial"/>
          <w:iCs/>
          <w:sz w:val="24"/>
          <w:szCs w:val="24"/>
          <w:lang w:val="es-ES"/>
        </w:rPr>
        <w:t xml:space="preserve"> proveniente de otras economías emergentes o de acontecimientos geopolíticos que pudieran reducir las fuentes de financiamiento. </w:t>
      </w:r>
    </w:p>
    <w:p w:rsidR="0037578E" w:rsidRDefault="0037578E" w:rsidP="0037578E">
      <w:pPr>
        <w:pStyle w:val="Prrafodelista"/>
        <w:rPr>
          <w:rFonts w:cs="Arial"/>
          <w:iCs/>
        </w:rPr>
      </w:pPr>
    </w:p>
    <w:p w:rsidR="0037578E" w:rsidRPr="006B771F" w:rsidRDefault="0037578E" w:rsidP="00F36D7A">
      <w:pPr>
        <w:pStyle w:val="PRIMERAPLANA"/>
        <w:numPr>
          <w:ilvl w:val="0"/>
          <w:numId w:val="11"/>
        </w:numPr>
        <w:spacing w:line="360" w:lineRule="auto"/>
        <w:rPr>
          <w:rFonts w:cs="Arial"/>
          <w:iCs/>
          <w:sz w:val="24"/>
          <w:szCs w:val="24"/>
          <w:lang w:val="es-ES"/>
        </w:rPr>
      </w:pPr>
      <w:r w:rsidRPr="00507E6F">
        <w:rPr>
          <w:rFonts w:cs="Arial"/>
          <w:iCs/>
          <w:sz w:val="24"/>
          <w:szCs w:val="24"/>
          <w:lang w:val="es-ES"/>
        </w:rPr>
        <w:t xml:space="preserve">Que permanezca el ambiente de incertidumbre que ha </w:t>
      </w:r>
      <w:r>
        <w:rPr>
          <w:rFonts w:cs="Arial"/>
          <w:iCs/>
          <w:sz w:val="24"/>
          <w:szCs w:val="24"/>
          <w:lang w:val="es-ES"/>
        </w:rPr>
        <w:t xml:space="preserve">estado </w:t>
      </w:r>
      <w:r w:rsidRPr="00507E6F">
        <w:rPr>
          <w:rFonts w:cs="Arial"/>
          <w:iCs/>
          <w:sz w:val="24"/>
          <w:szCs w:val="24"/>
          <w:lang w:val="es-ES"/>
        </w:rPr>
        <w:t>afecta</w:t>
      </w:r>
      <w:r>
        <w:rPr>
          <w:rFonts w:cs="Arial"/>
          <w:iCs/>
          <w:sz w:val="24"/>
          <w:szCs w:val="24"/>
          <w:lang w:val="es-ES"/>
        </w:rPr>
        <w:t>n</w:t>
      </w:r>
      <w:r w:rsidRPr="00507E6F">
        <w:rPr>
          <w:rFonts w:cs="Arial"/>
          <w:iCs/>
          <w:sz w:val="24"/>
          <w:szCs w:val="24"/>
          <w:lang w:val="es-ES"/>
        </w:rPr>
        <w:t xml:space="preserve">do la inversión, y que ello ocasione que diversas empresas pospongan sus </w:t>
      </w:r>
      <w:r w:rsidRPr="006B771F">
        <w:rPr>
          <w:rFonts w:cs="Arial"/>
          <w:iCs/>
          <w:sz w:val="24"/>
          <w:szCs w:val="24"/>
          <w:lang w:val="es-ES"/>
        </w:rPr>
        <w:t xml:space="preserve">planes de inversión en México o que los consumidores mexicanos reduzcan su gasto de manera precautoria. </w:t>
      </w:r>
    </w:p>
    <w:p w:rsidR="0037578E" w:rsidRDefault="0037578E" w:rsidP="0037578E">
      <w:pPr>
        <w:pStyle w:val="PRIMERAPLANA"/>
        <w:spacing w:line="360" w:lineRule="auto"/>
        <w:rPr>
          <w:rFonts w:cs="Arial"/>
          <w:iCs/>
          <w:sz w:val="24"/>
          <w:szCs w:val="24"/>
          <w:lang w:val="es-ES"/>
        </w:rPr>
      </w:pPr>
    </w:p>
    <w:p w:rsidR="0037578E" w:rsidRDefault="0037578E" w:rsidP="0037578E">
      <w:pPr>
        <w:pStyle w:val="PRIMERAPLANA"/>
        <w:spacing w:line="360" w:lineRule="auto"/>
        <w:rPr>
          <w:rFonts w:cs="Arial"/>
          <w:iCs/>
          <w:sz w:val="24"/>
          <w:szCs w:val="24"/>
          <w:lang w:val="es-ES"/>
        </w:rPr>
      </w:pPr>
      <w:r w:rsidRPr="006B771F">
        <w:rPr>
          <w:rFonts w:cs="Arial"/>
          <w:iCs/>
          <w:sz w:val="24"/>
          <w:szCs w:val="24"/>
          <w:lang w:val="es-ES"/>
        </w:rPr>
        <w:t>Entre los riesgos a</w:t>
      </w:r>
      <w:r>
        <w:rPr>
          <w:rFonts w:cs="Arial"/>
          <w:iCs/>
          <w:sz w:val="24"/>
          <w:szCs w:val="24"/>
          <w:lang w:val="es-ES"/>
        </w:rPr>
        <w:t>l alza</w:t>
      </w:r>
      <w:r w:rsidRPr="006B771F">
        <w:rPr>
          <w:rFonts w:cs="Arial"/>
          <w:iCs/>
          <w:sz w:val="24"/>
          <w:szCs w:val="24"/>
          <w:lang w:val="es-ES"/>
        </w:rPr>
        <w:t xml:space="preserve"> para el crecimiento en el horizonte de pronóstico sobresalen: </w:t>
      </w:r>
    </w:p>
    <w:p w:rsidR="0037578E" w:rsidRPr="006B771F" w:rsidRDefault="0037578E" w:rsidP="0037578E">
      <w:pPr>
        <w:pStyle w:val="PRIMERAPLANA"/>
        <w:spacing w:line="360" w:lineRule="auto"/>
        <w:rPr>
          <w:rFonts w:cs="Arial"/>
          <w:iCs/>
          <w:sz w:val="24"/>
          <w:szCs w:val="24"/>
          <w:lang w:val="es-ES"/>
        </w:rPr>
      </w:pPr>
    </w:p>
    <w:p w:rsidR="0037578E" w:rsidRDefault="0037578E" w:rsidP="00F36D7A">
      <w:pPr>
        <w:pStyle w:val="PRIMERAPLANA"/>
        <w:numPr>
          <w:ilvl w:val="0"/>
          <w:numId w:val="12"/>
        </w:numPr>
        <w:spacing w:line="360" w:lineRule="auto"/>
        <w:rPr>
          <w:rFonts w:cs="Arial"/>
          <w:iCs/>
          <w:sz w:val="24"/>
          <w:szCs w:val="24"/>
          <w:lang w:val="es-ES"/>
        </w:rPr>
      </w:pPr>
      <w:r w:rsidRPr="006B771F">
        <w:rPr>
          <w:rFonts w:cs="Arial"/>
          <w:iCs/>
          <w:sz w:val="24"/>
          <w:szCs w:val="24"/>
          <w:lang w:val="es-ES"/>
        </w:rPr>
        <w:lastRenderedPageBreak/>
        <w:t xml:space="preserve">Que los anuncios recientes referentes al entendimiento sobre la modernización del acuerdo comercial con Estados Unidos den lugar a una reactivación de la inversión. </w:t>
      </w:r>
    </w:p>
    <w:p w:rsidR="0037578E" w:rsidRDefault="0037578E" w:rsidP="0037578E">
      <w:pPr>
        <w:pStyle w:val="PRIMERAPLANA"/>
        <w:spacing w:line="360" w:lineRule="auto"/>
        <w:ind w:left="720"/>
        <w:rPr>
          <w:rFonts w:cs="Arial"/>
          <w:iCs/>
          <w:sz w:val="24"/>
          <w:szCs w:val="24"/>
          <w:lang w:val="es-ES"/>
        </w:rPr>
      </w:pPr>
    </w:p>
    <w:p w:rsidR="0037578E" w:rsidRDefault="0037578E" w:rsidP="00F36D7A">
      <w:pPr>
        <w:pStyle w:val="PRIMERAPLANA"/>
        <w:numPr>
          <w:ilvl w:val="0"/>
          <w:numId w:val="12"/>
        </w:numPr>
        <w:spacing w:line="360" w:lineRule="auto"/>
        <w:rPr>
          <w:rFonts w:cs="Arial"/>
          <w:iCs/>
          <w:sz w:val="24"/>
          <w:szCs w:val="24"/>
          <w:lang w:val="es-ES"/>
        </w:rPr>
      </w:pPr>
      <w:r w:rsidRPr="006B771F">
        <w:rPr>
          <w:rFonts w:cs="Arial"/>
          <w:iCs/>
          <w:sz w:val="24"/>
          <w:szCs w:val="24"/>
          <w:lang w:val="es-ES"/>
        </w:rPr>
        <w:t xml:space="preserve">Que un dinamismo de la producción industrial en Estados Unidos mayor al anticipado favorezca el desempeño de las exportaciones manufactureras de México. </w:t>
      </w:r>
    </w:p>
    <w:p w:rsidR="0037578E" w:rsidRDefault="0037578E" w:rsidP="0037578E">
      <w:pPr>
        <w:pStyle w:val="PRIMERAPLANA"/>
        <w:spacing w:line="360" w:lineRule="auto"/>
        <w:ind w:left="720"/>
        <w:rPr>
          <w:rFonts w:cs="Arial"/>
          <w:iCs/>
          <w:sz w:val="24"/>
          <w:szCs w:val="24"/>
          <w:lang w:val="es-ES"/>
        </w:rPr>
      </w:pPr>
    </w:p>
    <w:p w:rsidR="0037578E" w:rsidRPr="006B771F" w:rsidRDefault="0037578E" w:rsidP="00F36D7A">
      <w:pPr>
        <w:pStyle w:val="PRIMERAPLANA"/>
        <w:numPr>
          <w:ilvl w:val="0"/>
          <w:numId w:val="12"/>
        </w:numPr>
        <w:spacing w:line="360" w:lineRule="auto"/>
        <w:rPr>
          <w:rFonts w:cs="Arial"/>
          <w:iCs/>
          <w:sz w:val="24"/>
          <w:szCs w:val="24"/>
          <w:lang w:val="es-ES"/>
        </w:rPr>
      </w:pPr>
      <w:r w:rsidRPr="006B771F">
        <w:rPr>
          <w:rFonts w:cs="Arial"/>
          <w:iCs/>
          <w:sz w:val="24"/>
          <w:szCs w:val="24"/>
          <w:lang w:val="es-ES"/>
        </w:rPr>
        <w:t xml:space="preserve">Que se observe un gasto público mayor al anticipado. </w:t>
      </w:r>
    </w:p>
    <w:p w:rsidR="0037578E" w:rsidRPr="006B771F" w:rsidRDefault="0037578E" w:rsidP="0037578E">
      <w:pPr>
        <w:pStyle w:val="PRIMERAPLANA"/>
        <w:spacing w:line="360" w:lineRule="auto"/>
        <w:rPr>
          <w:rFonts w:cs="Arial"/>
          <w:iCs/>
          <w:sz w:val="24"/>
          <w:szCs w:val="24"/>
          <w:lang w:val="es-ES"/>
        </w:rPr>
      </w:pPr>
    </w:p>
    <w:p w:rsidR="0037578E" w:rsidRDefault="0037578E" w:rsidP="0037578E">
      <w:pPr>
        <w:pStyle w:val="PRIMERAPLANA"/>
        <w:spacing w:line="360" w:lineRule="auto"/>
        <w:rPr>
          <w:rFonts w:cs="Arial"/>
          <w:iCs/>
          <w:sz w:val="24"/>
          <w:szCs w:val="24"/>
          <w:lang w:val="es-ES"/>
        </w:rPr>
      </w:pPr>
      <w:r w:rsidRPr="006B771F">
        <w:rPr>
          <w:rFonts w:cs="Arial"/>
          <w:iCs/>
          <w:sz w:val="24"/>
          <w:szCs w:val="24"/>
          <w:lang w:val="es-ES"/>
        </w:rPr>
        <w:t xml:space="preserve">Además de los anteriores, la economía mexicana enfrenta diversos riesgos que, de materializarse, no solo podrían afectar su crecimiento cíclico, sino que también podrían incidir negativamente sobre su potencial de crecimiento en el mediano y largo plazos. Entre estos se encuentran: </w:t>
      </w:r>
    </w:p>
    <w:p w:rsidR="0037578E" w:rsidRPr="006B771F" w:rsidRDefault="0037578E" w:rsidP="0037578E">
      <w:pPr>
        <w:pStyle w:val="PRIMERAPLANA"/>
        <w:spacing w:line="360" w:lineRule="auto"/>
        <w:rPr>
          <w:rFonts w:cs="Arial"/>
          <w:iCs/>
          <w:sz w:val="24"/>
          <w:szCs w:val="24"/>
          <w:lang w:val="es-ES"/>
        </w:rPr>
      </w:pPr>
    </w:p>
    <w:p w:rsidR="0037578E" w:rsidRDefault="0037578E" w:rsidP="00F36D7A">
      <w:pPr>
        <w:pStyle w:val="PRIMERAPLANA"/>
        <w:numPr>
          <w:ilvl w:val="0"/>
          <w:numId w:val="13"/>
        </w:numPr>
        <w:spacing w:line="360" w:lineRule="auto"/>
        <w:rPr>
          <w:rFonts w:cs="Arial"/>
          <w:iCs/>
          <w:sz w:val="24"/>
          <w:szCs w:val="24"/>
          <w:lang w:val="es-ES"/>
        </w:rPr>
      </w:pPr>
      <w:r w:rsidRPr="006B771F">
        <w:rPr>
          <w:rFonts w:cs="Arial"/>
          <w:iCs/>
          <w:sz w:val="24"/>
          <w:szCs w:val="24"/>
          <w:lang w:val="es-ES"/>
        </w:rPr>
        <w:t xml:space="preserve">Que el prolongamiento de la atonía que la inversión ha venido exhibiendo desde hace varios años tenga un efecto más notorio sobre la capacidad productiva del país y el ritmo de adopción de nuevas tecnologías. </w:t>
      </w:r>
    </w:p>
    <w:p w:rsidR="0037578E" w:rsidRDefault="0037578E" w:rsidP="0037578E">
      <w:pPr>
        <w:pStyle w:val="PRIMERAPLANA"/>
        <w:spacing w:line="360" w:lineRule="auto"/>
        <w:ind w:left="720"/>
        <w:rPr>
          <w:rFonts w:cs="Arial"/>
          <w:iCs/>
          <w:sz w:val="24"/>
          <w:szCs w:val="24"/>
          <w:lang w:val="es-ES"/>
        </w:rPr>
      </w:pPr>
    </w:p>
    <w:p w:rsidR="0037578E" w:rsidRDefault="0037578E" w:rsidP="00F36D7A">
      <w:pPr>
        <w:pStyle w:val="PRIMERAPLANA"/>
        <w:numPr>
          <w:ilvl w:val="0"/>
          <w:numId w:val="13"/>
        </w:numPr>
        <w:spacing w:line="360" w:lineRule="auto"/>
        <w:rPr>
          <w:rFonts w:cs="Arial"/>
          <w:iCs/>
          <w:sz w:val="24"/>
          <w:szCs w:val="24"/>
          <w:lang w:val="es-ES"/>
        </w:rPr>
      </w:pPr>
      <w:r w:rsidRPr="006B771F">
        <w:rPr>
          <w:rFonts w:cs="Arial"/>
          <w:iCs/>
          <w:sz w:val="24"/>
          <w:szCs w:val="24"/>
          <w:lang w:val="es-ES"/>
        </w:rPr>
        <w:t xml:space="preserve">Que las medidas proteccionistas ya implementadas, o la adopción de nuevas acciones, afecten de manera adversa la inserción de ciertas economías, y en particular de la mexicana, en las cadenas globales de valor. </w:t>
      </w:r>
    </w:p>
    <w:p w:rsidR="0037578E" w:rsidRDefault="0037578E" w:rsidP="0037578E">
      <w:pPr>
        <w:pStyle w:val="Prrafodelista"/>
        <w:rPr>
          <w:rFonts w:cs="Arial"/>
          <w:iCs/>
        </w:rPr>
      </w:pPr>
    </w:p>
    <w:p w:rsidR="0037578E" w:rsidRDefault="0037578E" w:rsidP="00F36D7A">
      <w:pPr>
        <w:pStyle w:val="PRIMERAPLANA"/>
        <w:numPr>
          <w:ilvl w:val="0"/>
          <w:numId w:val="13"/>
        </w:numPr>
        <w:spacing w:line="360" w:lineRule="auto"/>
        <w:rPr>
          <w:rFonts w:cs="Arial"/>
          <w:iCs/>
          <w:sz w:val="24"/>
          <w:szCs w:val="24"/>
          <w:lang w:val="es-ES"/>
        </w:rPr>
      </w:pPr>
      <w:r w:rsidRPr="006B771F">
        <w:rPr>
          <w:rFonts w:cs="Arial"/>
          <w:iCs/>
          <w:sz w:val="24"/>
          <w:szCs w:val="24"/>
          <w:lang w:val="es-ES"/>
        </w:rPr>
        <w:t xml:space="preserve">Que la competitividad de la economía mexicana se vea afectada por diversos factores, externos o internos, como la reducción tributaria a empresas en Estados Unidos. </w:t>
      </w:r>
    </w:p>
    <w:p w:rsidR="0037578E" w:rsidRDefault="0037578E" w:rsidP="0037578E">
      <w:pPr>
        <w:pStyle w:val="Prrafodelista"/>
        <w:rPr>
          <w:rFonts w:cs="Arial"/>
          <w:iCs/>
        </w:rPr>
      </w:pPr>
    </w:p>
    <w:p w:rsidR="0037578E" w:rsidRPr="006B771F" w:rsidRDefault="0037578E" w:rsidP="00F36D7A">
      <w:pPr>
        <w:pStyle w:val="PRIMERAPLANA"/>
        <w:numPr>
          <w:ilvl w:val="0"/>
          <w:numId w:val="13"/>
        </w:numPr>
        <w:spacing w:line="360" w:lineRule="auto"/>
        <w:rPr>
          <w:rFonts w:cs="Arial"/>
          <w:iCs/>
          <w:sz w:val="24"/>
          <w:szCs w:val="24"/>
          <w:lang w:val="es-ES"/>
        </w:rPr>
      </w:pPr>
      <w:r w:rsidRPr="006B771F">
        <w:rPr>
          <w:rFonts w:cs="Arial"/>
          <w:iCs/>
          <w:sz w:val="24"/>
          <w:szCs w:val="24"/>
          <w:lang w:val="es-ES"/>
        </w:rPr>
        <w:t xml:space="preserve">Que se acentúen los problemas de inseguridad pública, de corrupción, de impunidad y de falta de estado de derecho, con sus consecuentes efectos adversos sobre la inversión y la actividad económica. </w:t>
      </w:r>
    </w:p>
    <w:p w:rsidR="0037578E" w:rsidRDefault="0037578E" w:rsidP="0037578E">
      <w:pPr>
        <w:pStyle w:val="PRIMERAPLANA"/>
        <w:spacing w:line="360" w:lineRule="auto"/>
        <w:rPr>
          <w:rFonts w:cs="Arial"/>
          <w:iCs/>
          <w:sz w:val="24"/>
          <w:szCs w:val="24"/>
          <w:lang w:val="es-ES"/>
        </w:rPr>
      </w:pPr>
    </w:p>
    <w:p w:rsidR="0037578E" w:rsidRDefault="0037578E" w:rsidP="004336DD">
      <w:pPr>
        <w:spacing w:line="360" w:lineRule="auto"/>
        <w:jc w:val="both"/>
        <w:rPr>
          <w:rFonts w:ascii="Arial" w:hAnsi="Arial" w:cs="Arial"/>
          <w:b/>
          <w:bCs/>
        </w:rPr>
      </w:pPr>
      <w:r>
        <w:rPr>
          <w:rFonts w:ascii="Arial" w:hAnsi="Arial" w:cs="Arial"/>
          <w:b/>
          <w:bCs/>
        </w:rPr>
        <w:t>ENTORNO LOCAL.</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iCs/>
          <w:sz w:val="24"/>
          <w:szCs w:val="24"/>
          <w:lang w:val="es-ES"/>
        </w:rPr>
      </w:pPr>
      <w:r>
        <w:rPr>
          <w:rFonts w:cs="Arial"/>
          <w:iCs/>
          <w:sz w:val="24"/>
          <w:szCs w:val="24"/>
          <w:lang w:val="es-ES"/>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el PIB </w:t>
      </w:r>
      <w:r w:rsidRPr="005979D0">
        <w:rPr>
          <w:rFonts w:cs="Arial"/>
          <w:i/>
          <w:iCs/>
          <w:sz w:val="24"/>
          <w:szCs w:val="24"/>
          <w:lang w:val="es-ES"/>
        </w:rPr>
        <w:t>per cápita</w:t>
      </w:r>
      <w:r>
        <w:rPr>
          <w:rFonts w:cs="Arial"/>
          <w:iCs/>
          <w:sz w:val="24"/>
          <w:szCs w:val="24"/>
          <w:lang w:val="es-ES"/>
        </w:rPr>
        <w:t xml:space="preserve"> de nuestra Entidad en el ejercicio 2016 fue equivalente al 55.1% del promedio nacional, cabe hacer mención que el nivel de ingresos propios es bajo y fue equivalente a 5.6% de los ingresos totales en 2017 y de 4.6% en 2016, este incremento se debió básicamente al aumento de la tasa del Impuesto Sobre Nóminas del 2% al 3% a partir del 2017, como puede observarse, los ingresos propios reflejan un crecimiento continuo estimándose en un 6.5% de los ingresos totales durante los ejercicios de 2018 y 2019.</w:t>
      </w:r>
    </w:p>
    <w:p w:rsidR="0037578E" w:rsidRDefault="0037578E" w:rsidP="0037578E">
      <w:pPr>
        <w:pStyle w:val="PRIMERAPLANA"/>
        <w:spacing w:line="360" w:lineRule="auto"/>
        <w:rPr>
          <w:rFonts w:cs="Arial"/>
          <w:iCs/>
          <w:sz w:val="24"/>
          <w:szCs w:val="24"/>
          <w:lang w:val="es-ES"/>
        </w:rPr>
      </w:pPr>
    </w:p>
    <w:p w:rsidR="0037578E" w:rsidRDefault="0037578E" w:rsidP="0037578E">
      <w:pPr>
        <w:pStyle w:val="PRIMERAPLANA"/>
        <w:spacing w:line="360" w:lineRule="auto"/>
        <w:rPr>
          <w:rFonts w:cs="Arial"/>
          <w:iCs/>
          <w:sz w:val="24"/>
          <w:szCs w:val="24"/>
          <w:lang w:val="es-ES"/>
        </w:rPr>
      </w:pPr>
      <w:r>
        <w:rPr>
          <w:rFonts w:cs="Arial"/>
          <w:iCs/>
          <w:sz w:val="24"/>
          <w:szCs w:val="24"/>
          <w:lang w:val="es-ES"/>
        </w:rPr>
        <w:lastRenderedPageBreak/>
        <w:t xml:space="preserve">El Estado de Tlaxcala ha implementado políticas de administración y de gobierno prudentes, obteniendo resultados positivos durante los últimos años. La política fiscal mantenida ha limitado el gasto corriente respecto de los ingresos disponibles en cada ejercicio, por lo que, se estima que se registren </w:t>
      </w:r>
      <w:r w:rsidRPr="00581F45">
        <w:rPr>
          <w:rFonts w:cs="Arial"/>
          <w:i/>
          <w:iCs/>
          <w:sz w:val="24"/>
          <w:szCs w:val="24"/>
          <w:lang w:val="es-ES"/>
        </w:rPr>
        <w:t>superávits</w:t>
      </w:r>
      <w:r>
        <w:rPr>
          <w:rFonts w:cs="Arial"/>
          <w:iCs/>
          <w:sz w:val="24"/>
          <w:szCs w:val="24"/>
          <w:lang w:val="es-ES"/>
        </w:rPr>
        <w:t xml:space="preserve"> financieros en los ejercicios 2018 y 2019 en niveles alrededor del 0.5% de sus ingresos totales.</w:t>
      </w:r>
    </w:p>
    <w:p w:rsidR="0037578E" w:rsidRDefault="0037578E" w:rsidP="0037578E">
      <w:pPr>
        <w:pStyle w:val="PRIMERAPLANA"/>
        <w:spacing w:line="360" w:lineRule="auto"/>
        <w:rPr>
          <w:rFonts w:cs="Arial"/>
          <w:iCs/>
          <w:sz w:val="24"/>
          <w:szCs w:val="24"/>
          <w:lang w:val="es-ES"/>
        </w:rPr>
      </w:pPr>
    </w:p>
    <w:p w:rsidR="0037578E" w:rsidRDefault="0037578E" w:rsidP="0037578E">
      <w:pPr>
        <w:pStyle w:val="PRIMERAPLANA"/>
        <w:spacing w:line="360" w:lineRule="auto"/>
        <w:rPr>
          <w:rFonts w:cs="Arial"/>
          <w:iCs/>
          <w:sz w:val="24"/>
          <w:szCs w:val="24"/>
          <w:lang w:val="es-ES"/>
        </w:rPr>
      </w:pPr>
      <w:r>
        <w:rPr>
          <w:rFonts w:cs="Arial"/>
          <w:iCs/>
          <w:sz w:val="24"/>
          <w:szCs w:val="24"/>
          <w:lang w:val="es-ES"/>
        </w:rPr>
        <w:t xml:space="preserve">Los resultados financieros balanceados y la política de deuda conservadora, han permitido que desde el ejercicio 2008 el Estado de Tlaxcala haya registrado una posición libre de endeudamiento. </w:t>
      </w:r>
    </w:p>
    <w:p w:rsidR="0037578E" w:rsidRDefault="0037578E" w:rsidP="0037578E">
      <w:pPr>
        <w:pStyle w:val="PRIMERAPLANA"/>
        <w:spacing w:line="360" w:lineRule="auto"/>
        <w:rPr>
          <w:rFonts w:cs="Arial"/>
          <w:iCs/>
          <w:sz w:val="24"/>
          <w:szCs w:val="24"/>
          <w:lang w:val="es-ES"/>
        </w:rPr>
      </w:pPr>
    </w:p>
    <w:p w:rsidR="0037578E" w:rsidRDefault="0037578E" w:rsidP="0037578E">
      <w:pPr>
        <w:pStyle w:val="PRIMERAPLANA"/>
        <w:spacing w:line="360" w:lineRule="auto"/>
        <w:rPr>
          <w:rFonts w:cs="Arial"/>
          <w:iCs/>
          <w:sz w:val="24"/>
          <w:szCs w:val="24"/>
          <w:lang w:val="es-ES"/>
        </w:rPr>
      </w:pPr>
      <w:r>
        <w:rPr>
          <w:rFonts w:cs="Arial"/>
          <w:iCs/>
          <w:sz w:val="24"/>
          <w:szCs w:val="24"/>
          <w:lang w:val="es-ES"/>
        </w:rPr>
        <w:t>Cabe hacer mención que se modificó la Ley de Deuda del Estado de Tlaxcala y sus Municipios, estableciéndose que el Estado puede contratar obligaciones a corto plazo sin la autorización del Congreso hasta por un monto equivalente al 3% de sus ingresos totales aprobados en la Ley de Ingresos correspondiente; por otro lado la contratación de obligaciones de largo plazo podrá ser de hasta el 20% del equivalente al presupuesto anual del Estado y deberá ser autorizado por el Congreso, sin embargo, no se ha recurrido a la contratación de deuda de corto o largo plazo para financiar el gasto público.</w:t>
      </w:r>
    </w:p>
    <w:p w:rsidR="0037578E" w:rsidRDefault="0037578E" w:rsidP="0037578E">
      <w:pPr>
        <w:pStyle w:val="PRIMERAPLANA"/>
        <w:spacing w:line="360" w:lineRule="auto"/>
        <w:rPr>
          <w:rFonts w:cs="Arial"/>
          <w:iCs/>
          <w:sz w:val="24"/>
          <w:szCs w:val="24"/>
          <w:lang w:val="es-ES"/>
        </w:rPr>
      </w:pPr>
    </w:p>
    <w:p w:rsidR="0037578E" w:rsidRPr="00B87196" w:rsidRDefault="0037578E" w:rsidP="0037578E">
      <w:pPr>
        <w:spacing w:line="360" w:lineRule="auto"/>
        <w:jc w:val="both"/>
        <w:rPr>
          <w:rFonts w:ascii="Arial" w:hAnsi="Arial" w:cs="Arial"/>
        </w:rPr>
      </w:pPr>
      <w:r w:rsidRPr="00B87196">
        <w:rPr>
          <w:rFonts w:ascii="Arial" w:hAnsi="Arial" w:cs="Arial"/>
        </w:rPr>
        <w:t xml:space="preserve">El comportamiento de los ingresos </w:t>
      </w:r>
      <w:r>
        <w:rPr>
          <w:rFonts w:ascii="Arial" w:hAnsi="Arial" w:cs="Arial"/>
        </w:rPr>
        <w:t xml:space="preserve">derivados de </w:t>
      </w:r>
      <w:r w:rsidRPr="00B87196">
        <w:rPr>
          <w:rFonts w:ascii="Arial" w:hAnsi="Arial" w:cs="Arial"/>
        </w:rPr>
        <w:t>fuentes</w:t>
      </w:r>
      <w:r>
        <w:rPr>
          <w:rFonts w:ascii="Arial" w:hAnsi="Arial" w:cs="Arial"/>
        </w:rPr>
        <w:t xml:space="preserve"> locales en los últimos 5 </w:t>
      </w:r>
      <w:r w:rsidRPr="00B87196">
        <w:rPr>
          <w:rFonts w:ascii="Arial" w:hAnsi="Arial" w:cs="Arial"/>
        </w:rPr>
        <w:t xml:space="preserve">años, presenta estabilidad financiera, derivado de las acciones </w:t>
      </w:r>
      <w:r w:rsidRPr="00B87196">
        <w:rPr>
          <w:rFonts w:ascii="Arial" w:hAnsi="Arial" w:cs="Arial"/>
        </w:rPr>
        <w:lastRenderedPageBreak/>
        <w:t>implementadas</w:t>
      </w:r>
      <w:r>
        <w:rPr>
          <w:rFonts w:ascii="Arial" w:hAnsi="Arial" w:cs="Arial"/>
        </w:rPr>
        <w:t xml:space="preserve"> y</w:t>
      </w:r>
      <w:r w:rsidRPr="00B87196">
        <w:rPr>
          <w:rFonts w:ascii="Arial" w:hAnsi="Arial" w:cs="Arial"/>
        </w:rPr>
        <w:t xml:space="preserve"> enfocadas a la simplificación administrativa y a la mejora en la prestación de servicios a</w:t>
      </w:r>
      <w:r>
        <w:rPr>
          <w:rFonts w:ascii="Arial" w:hAnsi="Arial" w:cs="Arial"/>
        </w:rPr>
        <w:t xml:space="preserve"> </w:t>
      </w:r>
      <w:r w:rsidRPr="00B87196">
        <w:rPr>
          <w:rFonts w:ascii="Arial" w:hAnsi="Arial" w:cs="Arial"/>
        </w:rPr>
        <w:t>l</w:t>
      </w:r>
      <w:r>
        <w:rPr>
          <w:rFonts w:ascii="Arial" w:hAnsi="Arial" w:cs="Arial"/>
        </w:rPr>
        <w:t>a ciudadanía</w:t>
      </w:r>
      <w:r w:rsidRPr="00B87196">
        <w:rPr>
          <w:rFonts w:ascii="Arial" w:hAnsi="Arial" w:cs="Arial"/>
        </w:rPr>
        <w:t>.</w:t>
      </w:r>
    </w:p>
    <w:p w:rsidR="0037578E" w:rsidRDefault="0037578E" w:rsidP="0037578E">
      <w:pPr>
        <w:spacing w:line="360" w:lineRule="auto"/>
        <w:jc w:val="center"/>
        <w:rPr>
          <w:rFonts w:ascii="Arial" w:hAnsi="Arial" w:cs="Arial"/>
          <w:b/>
          <w:sz w:val="22"/>
        </w:rPr>
      </w:pPr>
    </w:p>
    <w:p w:rsidR="0037578E" w:rsidRPr="00E37E88" w:rsidRDefault="0037578E" w:rsidP="0037578E">
      <w:pPr>
        <w:spacing w:line="360" w:lineRule="auto"/>
        <w:jc w:val="center"/>
        <w:rPr>
          <w:rFonts w:ascii="Arial" w:hAnsi="Arial" w:cs="Arial"/>
          <w:b/>
          <w:sz w:val="22"/>
        </w:rPr>
      </w:pPr>
      <w:r w:rsidRPr="00E37E88">
        <w:rPr>
          <w:rFonts w:ascii="Arial" w:hAnsi="Arial" w:cs="Arial"/>
          <w:b/>
          <w:sz w:val="22"/>
        </w:rPr>
        <w:t>RECAUDACIÓN DE IMPUESTOS PROPIOS 201</w:t>
      </w:r>
      <w:r>
        <w:rPr>
          <w:rFonts w:ascii="Arial" w:hAnsi="Arial" w:cs="Arial"/>
          <w:b/>
          <w:sz w:val="22"/>
        </w:rPr>
        <w:t>3</w:t>
      </w:r>
      <w:r w:rsidRPr="00E37E88">
        <w:rPr>
          <w:rFonts w:ascii="Arial" w:hAnsi="Arial" w:cs="Arial"/>
          <w:b/>
          <w:sz w:val="22"/>
        </w:rPr>
        <w:t>-201</w:t>
      </w:r>
      <w:r>
        <w:rPr>
          <w:rFonts w:ascii="Arial" w:hAnsi="Arial" w:cs="Arial"/>
          <w:b/>
          <w:sz w:val="22"/>
        </w:rPr>
        <w:t>8</w:t>
      </w:r>
      <w:r w:rsidRPr="00E37E88">
        <w:rPr>
          <w:rFonts w:ascii="Arial" w:hAnsi="Arial" w:cs="Arial"/>
          <w:b/>
          <w:sz w:val="22"/>
        </w:rPr>
        <w:t>*</w:t>
      </w:r>
      <w:r>
        <w:rPr>
          <w:rFonts w:ascii="Arial" w:hAnsi="Arial" w:cs="Arial"/>
          <w:b/>
          <w:sz w:val="22"/>
        </w:rPr>
        <w:t xml:space="preserve"> (Mdp)</w:t>
      </w:r>
    </w:p>
    <w:p w:rsidR="0037578E" w:rsidRDefault="0037578E" w:rsidP="0037578E">
      <w:pPr>
        <w:spacing w:line="360" w:lineRule="auto"/>
        <w:jc w:val="center"/>
        <w:rPr>
          <w:rFonts w:ascii="Arial" w:hAnsi="Arial" w:cs="Arial"/>
          <w:b/>
          <w:sz w:val="22"/>
        </w:rPr>
      </w:pPr>
      <w:r w:rsidRPr="00144E96">
        <w:rPr>
          <w:noProof/>
          <w:lang w:val="es-MX" w:eastAsia="es-MX"/>
        </w:rPr>
        <w:drawing>
          <wp:inline distT="0" distB="0" distL="0" distR="0" wp14:anchorId="71171931" wp14:editId="1E2E65BD">
            <wp:extent cx="4940935" cy="15831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070" cy="1591834"/>
                    </a:xfrm>
                    <a:prstGeom prst="rect">
                      <a:avLst/>
                    </a:prstGeom>
                    <a:noFill/>
                    <a:ln>
                      <a:noFill/>
                    </a:ln>
                  </pic:spPr>
                </pic:pic>
              </a:graphicData>
            </a:graphic>
          </wp:inline>
        </w:drawing>
      </w:r>
    </w:p>
    <w:p w:rsidR="0037578E" w:rsidRDefault="0037578E" w:rsidP="0037578E">
      <w:pPr>
        <w:spacing w:line="360" w:lineRule="auto"/>
        <w:jc w:val="both"/>
        <w:rPr>
          <w:rFonts w:ascii="Arial" w:hAnsi="Arial" w:cs="Arial"/>
          <w:b/>
          <w:sz w:val="10"/>
        </w:rPr>
      </w:pPr>
    </w:p>
    <w:p w:rsidR="0037578E" w:rsidRPr="00B87196" w:rsidRDefault="0037578E" w:rsidP="0037578E">
      <w:pPr>
        <w:spacing w:line="360" w:lineRule="auto"/>
        <w:jc w:val="both"/>
        <w:rPr>
          <w:rFonts w:ascii="Arial" w:hAnsi="Arial" w:cs="Arial"/>
          <w:b/>
          <w:sz w:val="10"/>
        </w:rPr>
      </w:pPr>
      <w:r>
        <w:rPr>
          <w:rFonts w:ascii="Arial" w:hAnsi="Arial" w:cs="Arial"/>
          <w:b/>
          <w:sz w:val="10"/>
        </w:rPr>
        <w:t xml:space="preserve">Fuente: Dirección de Contabilidad Gubernamental y Coordinación Hacendaria </w:t>
      </w:r>
    </w:p>
    <w:p w:rsidR="0037578E" w:rsidRDefault="0037578E" w:rsidP="0037578E">
      <w:pPr>
        <w:spacing w:line="360" w:lineRule="auto"/>
        <w:jc w:val="both"/>
        <w:rPr>
          <w:rFonts w:ascii="Arial" w:hAnsi="Arial" w:cs="Arial"/>
          <w:b/>
          <w:sz w:val="10"/>
        </w:rPr>
      </w:pPr>
      <w:r w:rsidRPr="00B87196">
        <w:rPr>
          <w:rFonts w:ascii="Arial" w:hAnsi="Arial" w:cs="Arial"/>
          <w:b/>
          <w:sz w:val="10"/>
        </w:rPr>
        <w:t>* Estimaciones al Cierre de 201</w:t>
      </w:r>
      <w:r>
        <w:rPr>
          <w:rFonts w:ascii="Arial" w:hAnsi="Arial" w:cs="Arial"/>
          <w:b/>
          <w:sz w:val="10"/>
        </w:rPr>
        <w:t>8</w:t>
      </w:r>
      <w:r w:rsidRPr="00B87196">
        <w:rPr>
          <w:rFonts w:ascii="Arial" w:hAnsi="Arial" w:cs="Arial"/>
          <w:b/>
          <w:sz w:val="10"/>
        </w:rPr>
        <w:t>.</w:t>
      </w:r>
    </w:p>
    <w:p w:rsidR="00B8501C" w:rsidRDefault="00B8501C" w:rsidP="0037578E">
      <w:pPr>
        <w:spacing w:line="360" w:lineRule="auto"/>
        <w:jc w:val="both"/>
        <w:rPr>
          <w:rFonts w:ascii="Arial" w:hAnsi="Arial" w:cs="Arial"/>
          <w:b/>
          <w:sz w:val="10"/>
        </w:rPr>
      </w:pPr>
    </w:p>
    <w:p w:rsidR="0037578E" w:rsidRPr="00B87196" w:rsidRDefault="0037578E" w:rsidP="0037578E">
      <w:pPr>
        <w:spacing w:line="360" w:lineRule="auto"/>
        <w:jc w:val="both"/>
        <w:rPr>
          <w:rFonts w:ascii="Arial" w:hAnsi="Arial" w:cs="Arial"/>
          <w:b/>
          <w:sz w:val="10"/>
        </w:rPr>
      </w:pPr>
      <w:r>
        <w:rPr>
          <w:rFonts w:ascii="Arial" w:hAnsi="Arial" w:cs="Arial"/>
          <w:b/>
          <w:noProof/>
          <w:sz w:val="10"/>
          <w:lang w:val="es-MX" w:eastAsia="es-MX"/>
        </w:rPr>
        <w:drawing>
          <wp:inline distT="0" distB="0" distL="0" distR="0" wp14:anchorId="7501BDBA" wp14:editId="5ED88001">
            <wp:extent cx="5146779" cy="304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5170" cy="3070736"/>
                    </a:xfrm>
                    <a:prstGeom prst="rect">
                      <a:avLst/>
                    </a:prstGeom>
                    <a:noFill/>
                  </pic:spPr>
                </pic:pic>
              </a:graphicData>
            </a:graphic>
          </wp:inline>
        </w:drawing>
      </w:r>
      <w:r>
        <w:rPr>
          <w:rFonts w:ascii="Arial" w:hAnsi="Arial" w:cs="Arial"/>
          <w:b/>
          <w:sz w:val="10"/>
        </w:rPr>
        <w:t xml:space="preserve">Fuente: Dirección de Contabilidad Gubernamental y Coordinación Hacendaria </w:t>
      </w:r>
    </w:p>
    <w:p w:rsidR="0037578E" w:rsidRPr="00B87196" w:rsidRDefault="0037578E" w:rsidP="0037578E">
      <w:pPr>
        <w:spacing w:line="360" w:lineRule="auto"/>
        <w:jc w:val="both"/>
        <w:rPr>
          <w:rFonts w:ascii="Arial" w:hAnsi="Arial" w:cs="Arial"/>
          <w:b/>
          <w:sz w:val="10"/>
        </w:rPr>
      </w:pPr>
      <w:r w:rsidRPr="00B87196">
        <w:rPr>
          <w:rFonts w:ascii="Arial" w:hAnsi="Arial" w:cs="Arial"/>
          <w:b/>
          <w:sz w:val="10"/>
        </w:rPr>
        <w:t>* Estimaciones al Cierre de 201</w:t>
      </w:r>
      <w:r>
        <w:rPr>
          <w:rFonts w:ascii="Arial" w:hAnsi="Arial" w:cs="Arial"/>
          <w:b/>
          <w:sz w:val="10"/>
        </w:rPr>
        <w:t>8</w:t>
      </w:r>
      <w:r w:rsidRPr="00B87196">
        <w:rPr>
          <w:rFonts w:ascii="Arial" w:hAnsi="Arial" w:cs="Arial"/>
          <w:b/>
          <w:sz w:val="10"/>
        </w:rPr>
        <w:t>.</w:t>
      </w:r>
    </w:p>
    <w:p w:rsidR="0037578E" w:rsidRDefault="0037578E" w:rsidP="0037578E">
      <w:pPr>
        <w:pStyle w:val="PRIMERAPLANA"/>
        <w:spacing w:line="360" w:lineRule="auto"/>
        <w:rPr>
          <w:rFonts w:cs="Arial"/>
          <w:sz w:val="24"/>
          <w:szCs w:val="24"/>
          <w:lang w:val="es-ES"/>
        </w:rPr>
      </w:pPr>
      <w:r>
        <w:rPr>
          <w:rFonts w:cs="Arial"/>
          <w:sz w:val="24"/>
          <w:szCs w:val="24"/>
          <w:lang w:val="es-ES"/>
        </w:rPr>
        <w:lastRenderedPageBreak/>
        <w:t>Ante un panorama económico que puede presentar riesgos, no se contempla la creación de nuevos impuestos, por lo que es fundamental implementar una política fiscal que contribuya a financiar el gasto público con ingresos provenientes de acciones que eficienten la recaudación y con ello se incrementen gradualmente los ingresos, siendo las estrategias principales las siguientes: el aumento de la base de contribuyentes, la promoción del uso de medios electrónicos de pago y la continua mejora de los procedimientos de fiscalización que garanticen la recuperación de créditos fiscales firmes.</w:t>
      </w:r>
    </w:p>
    <w:p w:rsidR="0037578E" w:rsidRDefault="0037578E" w:rsidP="0037578E">
      <w:pPr>
        <w:pStyle w:val="PRIMERAPLANA"/>
        <w:spacing w:line="360" w:lineRule="auto"/>
        <w:rPr>
          <w:rFonts w:cs="Arial"/>
          <w:sz w:val="24"/>
          <w:szCs w:val="24"/>
          <w:lang w:val="es-ES"/>
        </w:rPr>
      </w:pPr>
    </w:p>
    <w:p w:rsidR="0037578E" w:rsidRDefault="0037578E" w:rsidP="0037578E">
      <w:pPr>
        <w:spacing w:line="360" w:lineRule="auto"/>
        <w:jc w:val="both"/>
        <w:rPr>
          <w:rFonts w:ascii="Arial" w:eastAsia="Arial Unicode MS" w:hAnsi="Arial" w:cs="Arial"/>
          <w:bCs/>
        </w:rPr>
      </w:pPr>
      <w:r>
        <w:rPr>
          <w:rFonts w:ascii="Arial" w:eastAsia="Arial Unicode MS" w:hAnsi="Arial" w:cs="Arial"/>
          <w:bCs/>
        </w:rPr>
        <w:t>El Impuesto Sobre Nóminas como fuente de ingresos locales para sufragar el gasto público, ocupa el primer lugar en la estructura de los ingresos propios, por esa razón, se hace imprescindible fortalecer su recaudación.</w:t>
      </w:r>
    </w:p>
    <w:p w:rsidR="0037578E" w:rsidRDefault="0037578E" w:rsidP="0037578E">
      <w:pPr>
        <w:spacing w:line="360" w:lineRule="auto"/>
        <w:jc w:val="both"/>
        <w:rPr>
          <w:rFonts w:ascii="Arial" w:eastAsia="Arial Unicode MS" w:hAnsi="Arial" w:cs="Arial"/>
          <w:bCs/>
        </w:rPr>
      </w:pPr>
    </w:p>
    <w:p w:rsidR="0037578E" w:rsidRDefault="0037578E" w:rsidP="0037578E">
      <w:pPr>
        <w:spacing w:line="360" w:lineRule="auto"/>
        <w:jc w:val="center"/>
        <w:rPr>
          <w:rFonts w:ascii="Arial" w:hAnsi="Arial" w:cs="Arial"/>
          <w:b/>
          <w:sz w:val="10"/>
        </w:rPr>
      </w:pPr>
      <w:r w:rsidRPr="00780EF5">
        <w:rPr>
          <w:noProof/>
          <w:lang w:val="es-MX" w:eastAsia="es-MX"/>
        </w:rPr>
        <w:drawing>
          <wp:inline distT="0" distB="0" distL="0" distR="0" wp14:anchorId="32B394E2" wp14:editId="2E6378DF">
            <wp:extent cx="4486275" cy="27622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6275" cy="2762250"/>
                    </a:xfrm>
                    <a:prstGeom prst="rect">
                      <a:avLst/>
                    </a:prstGeom>
                    <a:noFill/>
                    <a:ln>
                      <a:noFill/>
                    </a:ln>
                  </pic:spPr>
                </pic:pic>
              </a:graphicData>
            </a:graphic>
          </wp:inline>
        </w:drawing>
      </w:r>
      <w:r w:rsidRPr="007F76FC">
        <w:rPr>
          <w:rFonts w:ascii="Arial" w:hAnsi="Arial" w:cs="Arial"/>
          <w:b/>
          <w:sz w:val="10"/>
        </w:rPr>
        <w:t xml:space="preserve"> </w:t>
      </w:r>
    </w:p>
    <w:p w:rsidR="0037578E" w:rsidRPr="00B87196" w:rsidRDefault="0037578E" w:rsidP="0037578E">
      <w:pPr>
        <w:spacing w:line="360" w:lineRule="auto"/>
        <w:ind w:left="567"/>
        <w:rPr>
          <w:rFonts w:ascii="Arial" w:hAnsi="Arial" w:cs="Arial"/>
          <w:b/>
          <w:sz w:val="10"/>
        </w:rPr>
      </w:pPr>
      <w:r>
        <w:rPr>
          <w:rFonts w:ascii="Arial" w:hAnsi="Arial" w:cs="Arial"/>
          <w:b/>
          <w:sz w:val="10"/>
        </w:rPr>
        <w:t xml:space="preserve">Fuente: Dirección de Contabilidad Gubernamental y Coordinación Hacendaria </w:t>
      </w:r>
    </w:p>
    <w:p w:rsidR="0037578E" w:rsidRDefault="0037578E" w:rsidP="0037578E">
      <w:pPr>
        <w:pStyle w:val="PRIMERAPLANA"/>
        <w:spacing w:line="360" w:lineRule="auto"/>
        <w:rPr>
          <w:rFonts w:cs="Arial"/>
          <w:sz w:val="24"/>
          <w:szCs w:val="24"/>
          <w:lang w:val="es-ES"/>
        </w:rPr>
      </w:pPr>
      <w:r w:rsidRPr="00B87196">
        <w:rPr>
          <w:rFonts w:cs="Arial"/>
          <w:sz w:val="24"/>
          <w:szCs w:val="24"/>
          <w:lang w:val="es-ES"/>
        </w:rPr>
        <w:lastRenderedPageBreak/>
        <w:t>En materia de incentivos fiscales estatales, se han propuesto políticas de fomento económico para impulsar la creación de nuevos empleos y generar cadenas productivas en el ámbito rural e industrial, que permitan atraer la atención de inversionistas al Estado.</w:t>
      </w:r>
    </w:p>
    <w:p w:rsidR="0037578E" w:rsidRPr="00B87196"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Pr>
          <w:rFonts w:cs="Arial"/>
          <w:sz w:val="24"/>
          <w:szCs w:val="24"/>
          <w:lang w:val="es-ES"/>
        </w:rPr>
        <w:t>O</w:t>
      </w:r>
      <w:r w:rsidRPr="00F14FCB">
        <w:rPr>
          <w:rFonts w:cs="Arial"/>
          <w:sz w:val="24"/>
          <w:szCs w:val="24"/>
          <w:lang w:val="es-ES"/>
        </w:rPr>
        <w:t>bserva</w:t>
      </w:r>
      <w:r>
        <w:rPr>
          <w:rFonts w:cs="Arial"/>
          <w:sz w:val="24"/>
          <w:szCs w:val="24"/>
          <w:lang w:val="es-ES"/>
        </w:rPr>
        <w:t>ndo</w:t>
      </w:r>
      <w:r w:rsidRPr="00F14FCB">
        <w:rPr>
          <w:rFonts w:cs="Arial"/>
          <w:sz w:val="24"/>
          <w:szCs w:val="24"/>
          <w:lang w:val="es-ES"/>
        </w:rPr>
        <w:t xml:space="preserve"> el principio de justicia tributaria</w:t>
      </w:r>
      <w:r>
        <w:rPr>
          <w:rFonts w:cs="Arial"/>
          <w:sz w:val="24"/>
          <w:szCs w:val="24"/>
          <w:lang w:val="es-ES"/>
        </w:rPr>
        <w:t>,</w:t>
      </w:r>
      <w:r w:rsidRPr="00913AFE">
        <w:rPr>
          <w:rFonts w:cs="Arial"/>
          <w:sz w:val="24"/>
          <w:szCs w:val="24"/>
          <w:lang w:val="es-ES"/>
        </w:rPr>
        <w:t xml:space="preserve"> </w:t>
      </w:r>
      <w:r>
        <w:rPr>
          <w:rFonts w:cs="Arial"/>
          <w:sz w:val="24"/>
          <w:szCs w:val="24"/>
          <w:lang w:val="es-ES"/>
        </w:rPr>
        <w:t>se</w:t>
      </w:r>
      <w:r w:rsidRPr="00913AFE">
        <w:rPr>
          <w:rFonts w:cs="Arial"/>
          <w:sz w:val="24"/>
          <w:szCs w:val="24"/>
          <w:lang w:val="es-ES"/>
        </w:rPr>
        <w:t xml:space="preserve"> </w:t>
      </w:r>
      <w:r>
        <w:rPr>
          <w:rFonts w:cs="Arial"/>
          <w:sz w:val="24"/>
          <w:szCs w:val="24"/>
          <w:lang w:val="es-ES"/>
        </w:rPr>
        <w:t xml:space="preserve">prevé </w:t>
      </w:r>
      <w:r w:rsidRPr="00913AFE">
        <w:rPr>
          <w:rFonts w:cs="Arial"/>
          <w:sz w:val="24"/>
          <w:szCs w:val="24"/>
          <w:lang w:val="es-ES"/>
        </w:rPr>
        <w:t>otorga</w:t>
      </w:r>
      <w:r>
        <w:rPr>
          <w:rFonts w:cs="Arial"/>
          <w:sz w:val="24"/>
          <w:szCs w:val="24"/>
          <w:lang w:val="es-ES"/>
        </w:rPr>
        <w:t>r</w:t>
      </w:r>
      <w:r w:rsidRPr="00913AFE">
        <w:rPr>
          <w:rFonts w:cs="Arial"/>
          <w:sz w:val="24"/>
          <w:szCs w:val="24"/>
          <w:lang w:val="es-ES"/>
        </w:rPr>
        <w:t xml:space="preserve"> estímulos </w:t>
      </w:r>
      <w:r>
        <w:rPr>
          <w:rFonts w:cs="Arial"/>
          <w:sz w:val="24"/>
          <w:szCs w:val="24"/>
          <w:lang w:val="es-ES"/>
        </w:rPr>
        <w:t xml:space="preserve">en materia del Impuesto Sobre Nóminas </w:t>
      </w:r>
      <w:r w:rsidRPr="00913AFE">
        <w:rPr>
          <w:rFonts w:cs="Arial"/>
          <w:sz w:val="24"/>
          <w:szCs w:val="24"/>
          <w:lang w:val="es-ES"/>
        </w:rPr>
        <w:t xml:space="preserve">a empresas que </w:t>
      </w:r>
      <w:r>
        <w:rPr>
          <w:rFonts w:cs="Arial"/>
          <w:sz w:val="24"/>
          <w:szCs w:val="24"/>
          <w:lang w:val="es-ES"/>
        </w:rPr>
        <w:t xml:space="preserve">ya se encuentren instaladas o de nueva creación con domicilio fiscal en el Estado, que </w:t>
      </w:r>
      <w:r w:rsidRPr="00913AFE">
        <w:rPr>
          <w:rFonts w:cs="Arial"/>
          <w:sz w:val="24"/>
          <w:szCs w:val="24"/>
          <w:lang w:val="es-ES"/>
        </w:rPr>
        <w:t xml:space="preserve">contraten </w:t>
      </w:r>
      <w:r>
        <w:rPr>
          <w:rFonts w:cs="Arial"/>
          <w:sz w:val="24"/>
          <w:szCs w:val="24"/>
          <w:lang w:val="es-ES"/>
        </w:rPr>
        <w:t xml:space="preserve">adultos mayores y a personas con capacidades diferentes, por otra parte, se continuará subsidiando el pago del Impuesto Estatal Sobre Tenencia o Uso de Vehículos. </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Pr>
          <w:rFonts w:cs="Arial"/>
          <w:sz w:val="24"/>
          <w:szCs w:val="24"/>
          <w:lang w:val="es-ES"/>
        </w:rPr>
        <w:t>E</w:t>
      </w:r>
      <w:r w:rsidRPr="00B87196">
        <w:rPr>
          <w:rFonts w:cs="Arial"/>
          <w:sz w:val="24"/>
          <w:szCs w:val="24"/>
          <w:lang w:val="es-ES"/>
        </w:rPr>
        <w:t xml:space="preserve">n atención al exhorto realizado por el Congreso de la Unión, se otorgan beneficios a los propietarios, tenedores o usuarios de vehículos automotores híbridos que circulen en la Entidad, otorgándoles una exención del 100% en </w:t>
      </w:r>
      <w:r>
        <w:rPr>
          <w:rFonts w:cs="Arial"/>
          <w:sz w:val="24"/>
          <w:szCs w:val="24"/>
          <w:lang w:val="es-ES"/>
        </w:rPr>
        <w:t xml:space="preserve">el </w:t>
      </w:r>
      <w:r w:rsidRPr="00B87196">
        <w:rPr>
          <w:rFonts w:cs="Arial"/>
          <w:sz w:val="24"/>
          <w:szCs w:val="24"/>
          <w:lang w:val="es-ES"/>
        </w:rPr>
        <w:t xml:space="preserve">pago del Impuesto Estatal Sobre Tenencia </w:t>
      </w:r>
      <w:r>
        <w:rPr>
          <w:rFonts w:cs="Arial"/>
          <w:sz w:val="24"/>
          <w:szCs w:val="24"/>
          <w:lang w:val="es-ES"/>
        </w:rPr>
        <w:t xml:space="preserve">o Uso de Vehículos </w:t>
      </w:r>
      <w:r w:rsidRPr="00B87196">
        <w:rPr>
          <w:rFonts w:cs="Arial"/>
          <w:sz w:val="24"/>
          <w:szCs w:val="24"/>
          <w:lang w:val="es-ES"/>
        </w:rPr>
        <w:t xml:space="preserve">y de los Derechos </w:t>
      </w:r>
      <w:r>
        <w:rPr>
          <w:rFonts w:cs="Arial"/>
          <w:sz w:val="24"/>
          <w:szCs w:val="24"/>
          <w:lang w:val="es-ES"/>
        </w:rPr>
        <w:t>por Registro y Control Vehicular</w:t>
      </w:r>
      <w:r w:rsidRPr="00B87196">
        <w:rPr>
          <w:rFonts w:cs="Arial"/>
          <w:sz w:val="24"/>
          <w:szCs w:val="24"/>
          <w:lang w:val="es-ES"/>
        </w:rPr>
        <w:t>.</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Pr>
          <w:rFonts w:cs="Arial"/>
          <w:sz w:val="24"/>
          <w:szCs w:val="24"/>
          <w:lang w:val="es-ES"/>
        </w:rPr>
        <w:t>L</w:t>
      </w:r>
      <w:r w:rsidRPr="00B64CA4">
        <w:rPr>
          <w:rFonts w:cs="Arial"/>
          <w:sz w:val="24"/>
          <w:szCs w:val="24"/>
          <w:lang w:val="es-ES"/>
        </w:rPr>
        <w:t>as acciones de gobiern</w:t>
      </w:r>
      <w:r>
        <w:rPr>
          <w:rFonts w:cs="Arial"/>
          <w:sz w:val="24"/>
          <w:szCs w:val="24"/>
          <w:lang w:val="es-ES"/>
        </w:rPr>
        <w:t xml:space="preserve">o emprendidas por esta administración, tienen como finalidad </w:t>
      </w:r>
      <w:r w:rsidRPr="00B64CA4">
        <w:rPr>
          <w:rFonts w:cs="Arial"/>
          <w:sz w:val="24"/>
          <w:szCs w:val="24"/>
          <w:lang w:val="es-ES"/>
        </w:rPr>
        <w:t>el desarrollo económico,</w:t>
      </w:r>
      <w:r>
        <w:rPr>
          <w:rFonts w:cs="Arial"/>
          <w:sz w:val="24"/>
          <w:szCs w:val="24"/>
          <w:lang w:val="es-ES"/>
        </w:rPr>
        <w:t xml:space="preserve"> así como </w:t>
      </w:r>
      <w:r w:rsidRPr="00B64CA4">
        <w:rPr>
          <w:rFonts w:cs="Arial"/>
          <w:sz w:val="24"/>
          <w:szCs w:val="24"/>
          <w:lang w:val="es-ES"/>
        </w:rPr>
        <w:t>mejor</w:t>
      </w:r>
      <w:r>
        <w:rPr>
          <w:rFonts w:cs="Arial"/>
          <w:sz w:val="24"/>
          <w:szCs w:val="24"/>
          <w:lang w:val="es-ES"/>
        </w:rPr>
        <w:t>ar</w:t>
      </w:r>
      <w:r w:rsidRPr="00B64CA4">
        <w:rPr>
          <w:rFonts w:cs="Arial"/>
          <w:sz w:val="24"/>
          <w:szCs w:val="24"/>
          <w:lang w:val="es-ES"/>
        </w:rPr>
        <w:t xml:space="preserve"> </w:t>
      </w:r>
      <w:r>
        <w:rPr>
          <w:rFonts w:cs="Arial"/>
          <w:sz w:val="24"/>
          <w:szCs w:val="24"/>
          <w:lang w:val="es-ES"/>
        </w:rPr>
        <w:t xml:space="preserve">las </w:t>
      </w:r>
      <w:r w:rsidRPr="00B64CA4">
        <w:rPr>
          <w:rFonts w:cs="Arial"/>
          <w:sz w:val="24"/>
          <w:szCs w:val="24"/>
          <w:lang w:val="es-ES"/>
        </w:rPr>
        <w:t xml:space="preserve">condiciones de vida </w:t>
      </w:r>
      <w:r>
        <w:rPr>
          <w:rFonts w:cs="Arial"/>
          <w:sz w:val="24"/>
          <w:szCs w:val="24"/>
          <w:lang w:val="es-ES"/>
        </w:rPr>
        <w:t>de</w:t>
      </w:r>
      <w:r w:rsidRPr="00B64CA4">
        <w:rPr>
          <w:rFonts w:cs="Arial"/>
          <w:sz w:val="24"/>
          <w:szCs w:val="24"/>
          <w:lang w:val="es-ES"/>
        </w:rPr>
        <w:t xml:space="preserve"> la población del Estado</w:t>
      </w:r>
      <w:r>
        <w:rPr>
          <w:rFonts w:cs="Arial"/>
          <w:sz w:val="24"/>
          <w:szCs w:val="24"/>
          <w:lang w:val="es-ES"/>
        </w:rPr>
        <w:t xml:space="preserve">, para lo cual </w:t>
      </w:r>
      <w:r w:rsidRPr="00B64CA4">
        <w:rPr>
          <w:rFonts w:cs="Arial"/>
          <w:sz w:val="24"/>
          <w:szCs w:val="24"/>
          <w:lang w:val="es-ES"/>
        </w:rPr>
        <w:t xml:space="preserve">se busca propiciar </w:t>
      </w:r>
      <w:r>
        <w:rPr>
          <w:rFonts w:cs="Arial"/>
          <w:sz w:val="24"/>
          <w:szCs w:val="24"/>
          <w:lang w:val="es-ES"/>
        </w:rPr>
        <w:t xml:space="preserve">las </w:t>
      </w:r>
      <w:r w:rsidRPr="00B64CA4">
        <w:rPr>
          <w:rFonts w:cs="Arial"/>
          <w:sz w:val="24"/>
          <w:szCs w:val="24"/>
          <w:lang w:val="es-ES"/>
        </w:rPr>
        <w:t xml:space="preserve">condiciones que permitan crear más y mejores empleos en </w:t>
      </w:r>
      <w:r>
        <w:rPr>
          <w:rFonts w:cs="Arial"/>
          <w:sz w:val="24"/>
          <w:szCs w:val="24"/>
          <w:lang w:val="es-ES"/>
        </w:rPr>
        <w:t>la Entidad</w:t>
      </w:r>
      <w:r w:rsidRPr="00B64CA4">
        <w:rPr>
          <w:rFonts w:cs="Arial"/>
          <w:sz w:val="24"/>
          <w:szCs w:val="24"/>
          <w:lang w:val="es-ES"/>
        </w:rPr>
        <w:t xml:space="preserve"> y con ello mejorar las condiciones </w:t>
      </w:r>
      <w:r>
        <w:rPr>
          <w:rFonts w:cs="Arial"/>
          <w:sz w:val="24"/>
          <w:szCs w:val="24"/>
          <w:lang w:val="es-ES"/>
        </w:rPr>
        <w:t xml:space="preserve">de vida </w:t>
      </w:r>
      <w:r w:rsidRPr="00B64CA4">
        <w:rPr>
          <w:rFonts w:cs="Arial"/>
          <w:sz w:val="24"/>
          <w:szCs w:val="24"/>
          <w:lang w:val="es-ES"/>
        </w:rPr>
        <w:t>de las familias tlaxcaltecas</w:t>
      </w:r>
      <w:r>
        <w:rPr>
          <w:rFonts w:cs="Arial"/>
          <w:sz w:val="24"/>
          <w:szCs w:val="24"/>
          <w:lang w:val="es-ES"/>
        </w:rPr>
        <w:t>.</w:t>
      </w:r>
    </w:p>
    <w:p w:rsidR="0037578E" w:rsidRDefault="0037578E" w:rsidP="0037578E">
      <w:pPr>
        <w:pStyle w:val="PRIMERAPLANA"/>
        <w:spacing w:line="360" w:lineRule="auto"/>
        <w:rPr>
          <w:rFonts w:cs="Arial"/>
          <w:sz w:val="24"/>
          <w:szCs w:val="24"/>
          <w:lang w:val="es-ES"/>
        </w:rPr>
      </w:pPr>
    </w:p>
    <w:p w:rsidR="0037578E" w:rsidRDefault="0037578E" w:rsidP="0037578E">
      <w:pPr>
        <w:pStyle w:val="PRIMERAPLANA"/>
        <w:spacing w:line="360" w:lineRule="auto"/>
        <w:rPr>
          <w:rFonts w:cs="Arial"/>
          <w:sz w:val="24"/>
          <w:szCs w:val="24"/>
          <w:lang w:val="es-ES"/>
        </w:rPr>
      </w:pPr>
      <w:r>
        <w:rPr>
          <w:rFonts w:cs="Arial"/>
          <w:sz w:val="24"/>
          <w:szCs w:val="24"/>
          <w:lang w:val="es-ES"/>
        </w:rPr>
        <w:lastRenderedPageBreak/>
        <w:t xml:space="preserve">En el primer </w:t>
      </w:r>
      <w:r w:rsidRPr="00BB01BE">
        <w:rPr>
          <w:rFonts w:cs="Arial"/>
          <w:sz w:val="24"/>
          <w:szCs w:val="24"/>
          <w:lang w:val="es-ES"/>
        </w:rPr>
        <w:t>trimestre de 201</w:t>
      </w:r>
      <w:r>
        <w:rPr>
          <w:rFonts w:cs="Arial"/>
          <w:sz w:val="24"/>
          <w:szCs w:val="24"/>
          <w:lang w:val="es-ES"/>
        </w:rPr>
        <w:t>8, el Indicador Trimestral de la Actividad Económica</w:t>
      </w:r>
      <w:r w:rsidRPr="00BB01BE">
        <w:rPr>
          <w:rFonts w:cs="Arial"/>
          <w:sz w:val="24"/>
          <w:szCs w:val="24"/>
          <w:lang w:val="es-ES"/>
        </w:rPr>
        <w:t xml:space="preserve"> </w:t>
      </w:r>
      <w:r>
        <w:rPr>
          <w:rFonts w:cs="Arial"/>
          <w:sz w:val="24"/>
          <w:szCs w:val="24"/>
          <w:lang w:val="es-ES"/>
        </w:rPr>
        <w:t>Estatal (ITAEE), muestra que el Estado de Tlaxcala ha tenido un crecimiento estable respecto del primer trimestre de 2017 con una variación del 0.9%, destacándose la aportación en volúmenes de la producción física de las actividades económicas primarias en 74.8, secundarias 100.8, terciarias 127.1, respectivamente al total nacional, siendo la aportación mayor la de las actividades terciarias.</w:t>
      </w:r>
    </w:p>
    <w:p w:rsidR="0037578E" w:rsidRDefault="0037578E" w:rsidP="0037578E">
      <w:pPr>
        <w:pStyle w:val="PRIMERAPLANA"/>
        <w:spacing w:line="360" w:lineRule="auto"/>
        <w:rPr>
          <w:rFonts w:cs="Arial"/>
          <w:sz w:val="24"/>
          <w:szCs w:val="24"/>
          <w:lang w:val="es-ES"/>
        </w:rPr>
      </w:pPr>
    </w:p>
    <w:p w:rsidR="0037578E" w:rsidRDefault="0037578E" w:rsidP="00B8501C">
      <w:pPr>
        <w:pStyle w:val="PRIMERAPLANA"/>
        <w:spacing w:line="360" w:lineRule="auto"/>
        <w:jc w:val="center"/>
        <w:rPr>
          <w:noProof/>
          <w:lang w:val="es-MX" w:eastAsia="es-MX"/>
        </w:rPr>
      </w:pPr>
      <w:r>
        <w:rPr>
          <w:noProof/>
          <w:lang w:val="es-MX" w:eastAsia="es-MX"/>
        </w:rPr>
        <mc:AlternateContent>
          <mc:Choice Requires="wps">
            <w:drawing>
              <wp:anchor distT="0" distB="0" distL="114300" distR="114300" simplePos="0" relativeHeight="251661312" behindDoc="0" locked="0" layoutInCell="1" allowOverlap="1" wp14:anchorId="3920C387" wp14:editId="38F9D494">
                <wp:simplePos x="0" y="0"/>
                <wp:positionH relativeFrom="column">
                  <wp:posOffset>565785</wp:posOffset>
                </wp:positionH>
                <wp:positionV relativeFrom="paragraph">
                  <wp:posOffset>3558540</wp:posOffset>
                </wp:positionV>
                <wp:extent cx="189865" cy="45720"/>
                <wp:effectExtent l="19050" t="38100" r="57785" b="49530"/>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117D74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44.55pt;margin-top:280.2pt;width:14.9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" adj="15918" fillcolor="red" strokecolor="red" strokeweight="3pt">
                <v:shadow on="t" color="#823b0b" opacity=".5" offset="1pt"/>
              </v:shape>
            </w:pict>
          </mc:Fallback>
        </mc:AlternateContent>
      </w:r>
      <w:r>
        <w:rPr>
          <w:noProof/>
          <w:lang w:val="es-MX" w:eastAsia="es-MX"/>
        </w:rPr>
        <w:drawing>
          <wp:inline distT="0" distB="0" distL="0" distR="0" wp14:anchorId="635D16FE" wp14:editId="0547F754">
            <wp:extent cx="3600450" cy="43529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037" t="11711" r="24872" b="8850"/>
                    <a:stretch/>
                  </pic:blipFill>
                  <pic:spPr bwMode="auto">
                    <a:xfrm>
                      <a:off x="0" y="0"/>
                      <a:ext cx="3625008" cy="4382616"/>
                    </a:xfrm>
                    <a:prstGeom prst="rect">
                      <a:avLst/>
                    </a:prstGeom>
                    <a:ln>
                      <a:noFill/>
                    </a:ln>
                    <a:extLst>
                      <a:ext uri="{53640926-AAD7-44D8-BBD7-CCE9431645EC}">
                        <a14:shadowObscured xmlns:a14="http://schemas.microsoft.com/office/drawing/2010/main"/>
                      </a:ext>
                    </a:extLst>
                  </pic:spPr>
                </pic:pic>
              </a:graphicData>
            </a:graphic>
          </wp:inline>
        </w:drawing>
      </w:r>
    </w:p>
    <w:p w:rsidR="0037578E" w:rsidRDefault="0037578E" w:rsidP="0037578E">
      <w:pPr>
        <w:pStyle w:val="PRIMERAPLANA"/>
        <w:spacing w:line="360" w:lineRule="auto"/>
        <w:rPr>
          <w:rFonts w:cs="Arial"/>
          <w:sz w:val="24"/>
          <w:szCs w:val="24"/>
          <w:lang w:val="es-ES"/>
        </w:rPr>
      </w:pPr>
      <w:r>
        <w:rPr>
          <w:noProof/>
          <w:lang w:val="es-MX" w:eastAsia="es-MX"/>
        </w:rPr>
        <w:lastRenderedPageBreak/>
        <mc:AlternateContent>
          <mc:Choice Requires="wps">
            <w:drawing>
              <wp:anchor distT="0" distB="0" distL="114300" distR="114300" simplePos="0" relativeHeight="251659264" behindDoc="0" locked="0" layoutInCell="1" allowOverlap="1" wp14:anchorId="34E7F7F4" wp14:editId="42202C73">
                <wp:simplePos x="0" y="0"/>
                <wp:positionH relativeFrom="margin">
                  <wp:posOffset>778510</wp:posOffset>
                </wp:positionH>
                <wp:positionV relativeFrom="paragraph">
                  <wp:posOffset>1721536</wp:posOffset>
                </wp:positionV>
                <wp:extent cx="189865" cy="45720"/>
                <wp:effectExtent l="19050" t="38100" r="57785" b="49530"/>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C3623AB" id="AutoShape 86" o:spid="_x0000_s1026" type="#_x0000_t13" style="position:absolute;margin-left:61.3pt;margin-top:135.55pt;width:14.95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dkkA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" adj="15918" fillcolor="red" strokecolor="red" strokeweight="3pt">
                <v:shadow on="t" color="#823b0b" opacity=".5" offset="1pt"/>
                <w10:wrap anchorx="margin"/>
              </v:shape>
            </w:pict>
          </mc:Fallback>
        </mc:AlternateContent>
      </w:r>
      <w:r>
        <w:rPr>
          <w:noProof/>
          <w:lang w:val="es-MX" w:eastAsia="es-MX"/>
        </w:rPr>
        <w:drawing>
          <wp:inline distT="0" distB="0" distL="0" distR="0" wp14:anchorId="67560553" wp14:editId="6A174147">
            <wp:extent cx="4023651" cy="3095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235" t="25679" r="20343" b="18259"/>
                    <a:stretch/>
                  </pic:blipFill>
                  <pic:spPr bwMode="auto">
                    <a:xfrm>
                      <a:off x="0" y="0"/>
                      <a:ext cx="4147457" cy="3190876"/>
                    </a:xfrm>
                    <a:prstGeom prst="rect">
                      <a:avLst/>
                    </a:prstGeom>
                    <a:ln>
                      <a:noFill/>
                    </a:ln>
                    <a:extLst>
                      <a:ext uri="{53640926-AAD7-44D8-BBD7-CCE9431645EC}">
                        <a14:shadowObscured xmlns:a14="http://schemas.microsoft.com/office/drawing/2010/main"/>
                      </a:ext>
                    </a:extLst>
                  </pic:spPr>
                </pic:pic>
              </a:graphicData>
            </a:graphic>
          </wp:inline>
        </w:drawing>
      </w:r>
    </w:p>
    <w:p w:rsidR="0037578E" w:rsidRPr="005F0514" w:rsidRDefault="0037578E" w:rsidP="0037578E">
      <w:pPr>
        <w:pStyle w:val="PRIMERAPLANA"/>
        <w:spacing w:line="360" w:lineRule="auto"/>
        <w:rPr>
          <w:rFonts w:cs="Arial"/>
          <w:sz w:val="24"/>
          <w:szCs w:val="24"/>
          <w:lang w:val="es-ES"/>
        </w:rPr>
      </w:pPr>
      <w:r>
        <w:rPr>
          <w:noProof/>
          <w:lang w:val="es-MX" w:eastAsia="es-MX"/>
        </w:rPr>
        <mc:AlternateContent>
          <mc:Choice Requires="wps">
            <w:drawing>
              <wp:anchor distT="0" distB="0" distL="114300" distR="114300" simplePos="0" relativeHeight="251663360" behindDoc="0" locked="0" layoutInCell="1" allowOverlap="1" wp14:anchorId="193031DD" wp14:editId="68F5A26E">
                <wp:simplePos x="0" y="0"/>
                <wp:positionH relativeFrom="margin">
                  <wp:posOffset>709028</wp:posOffset>
                </wp:positionH>
                <wp:positionV relativeFrom="paragraph">
                  <wp:posOffset>2047478</wp:posOffset>
                </wp:positionV>
                <wp:extent cx="189865" cy="45720"/>
                <wp:effectExtent l="19050" t="38100" r="57785" b="49530"/>
                <wp:wrapNone/>
                <wp:docPr id="2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D5B80FE" id="AutoShape 86" o:spid="_x0000_s1026" type="#_x0000_t13" style="position:absolute;margin-left:55.85pt;margin-top:161.2pt;width:14.95pt;height:3.6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kBkA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" adj="15918" fillcolor="red" strokecolor="red" strokeweight="3pt">
                <v:shadow on="t" color="#823b0b" opacity=".5" offset="1pt"/>
                <w10:wrap anchorx="margin"/>
              </v:shape>
            </w:pict>
          </mc:Fallback>
        </mc:AlternateContent>
      </w:r>
      <w:r>
        <w:rPr>
          <w:noProof/>
          <w:lang w:val="es-MX" w:eastAsia="es-MX"/>
        </w:rPr>
        <w:drawing>
          <wp:inline distT="0" distB="0" distL="0" distR="0" wp14:anchorId="32654A2D" wp14:editId="72DB6F9E">
            <wp:extent cx="3993515" cy="3276600"/>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346" t="17120" r="20089" b="28045"/>
                    <a:stretch/>
                  </pic:blipFill>
                  <pic:spPr bwMode="auto">
                    <a:xfrm>
                      <a:off x="0" y="0"/>
                      <a:ext cx="4019352" cy="3297799"/>
                    </a:xfrm>
                    <a:prstGeom prst="rect">
                      <a:avLst/>
                    </a:prstGeom>
                    <a:ln>
                      <a:noFill/>
                    </a:ln>
                    <a:extLst>
                      <a:ext uri="{53640926-AAD7-44D8-BBD7-CCE9431645EC}">
                        <a14:shadowObscured xmlns:a14="http://schemas.microsoft.com/office/drawing/2010/main"/>
                      </a:ext>
                    </a:extLst>
                  </pic:spPr>
                </pic:pic>
              </a:graphicData>
            </a:graphic>
          </wp:inline>
        </w:drawing>
      </w:r>
    </w:p>
    <w:p w:rsidR="0037578E" w:rsidRPr="00D67C5B" w:rsidRDefault="0037578E" w:rsidP="0037578E">
      <w:pPr>
        <w:spacing w:line="360" w:lineRule="auto"/>
        <w:jc w:val="both"/>
        <w:rPr>
          <w:rFonts w:ascii="Arial" w:hAnsi="Arial" w:cs="Arial"/>
        </w:rPr>
      </w:pPr>
      <w:r>
        <w:rPr>
          <w:rFonts w:ascii="Arial" w:hAnsi="Arial" w:cs="Arial"/>
        </w:rPr>
        <w:lastRenderedPageBreak/>
        <w:t>El Gobierno del Estado considera prioritaria la atención a los derechos de las niñas, niño</w:t>
      </w:r>
      <w:r w:rsidRPr="00D67C5B">
        <w:rPr>
          <w:rFonts w:ascii="Arial" w:hAnsi="Arial" w:cs="Arial"/>
        </w:rPr>
        <w:t>s y adolescentes, previniendo la acumulación de rezagos y la desigualdad</w:t>
      </w:r>
      <w:r>
        <w:rPr>
          <w:rFonts w:ascii="Arial" w:hAnsi="Arial" w:cs="Arial"/>
        </w:rPr>
        <w:t>,</w:t>
      </w:r>
      <w:r w:rsidRPr="00D67C5B">
        <w:rPr>
          <w:rFonts w:ascii="Arial" w:hAnsi="Arial" w:cs="Arial"/>
        </w:rPr>
        <w:t xml:space="preserve"> amp</w:t>
      </w:r>
      <w:r>
        <w:rPr>
          <w:rFonts w:ascii="Arial" w:hAnsi="Arial" w:cs="Arial"/>
        </w:rPr>
        <w:t>liando la atención dirigida a las niñas y niño</w:t>
      </w:r>
      <w:r w:rsidRPr="00D67C5B">
        <w:rPr>
          <w:rFonts w:ascii="Arial" w:hAnsi="Arial" w:cs="Arial"/>
        </w:rPr>
        <w:t>s de 0 a 5 años y adolescentes hasta los 18 años</w:t>
      </w:r>
      <w:r>
        <w:rPr>
          <w:rFonts w:ascii="Arial" w:hAnsi="Arial" w:cs="Arial"/>
        </w:rPr>
        <w:t xml:space="preserve">, a través de una estrategia de inclusión social, </w:t>
      </w:r>
      <w:r w:rsidRPr="00F54489">
        <w:rPr>
          <w:rFonts w:ascii="Arial" w:hAnsi="Arial" w:cs="Arial"/>
        </w:rPr>
        <w:t>in</w:t>
      </w:r>
      <w:r>
        <w:rPr>
          <w:rFonts w:ascii="Arial" w:hAnsi="Arial" w:cs="Arial"/>
        </w:rPr>
        <w:t xml:space="preserve">corporando </w:t>
      </w:r>
      <w:r w:rsidRPr="00F54489">
        <w:rPr>
          <w:rFonts w:ascii="Arial" w:hAnsi="Arial" w:cs="Arial"/>
        </w:rPr>
        <w:t xml:space="preserve">propuestas y estrategias de desarrollo </w:t>
      </w:r>
      <w:r>
        <w:rPr>
          <w:rFonts w:ascii="Arial" w:hAnsi="Arial" w:cs="Arial"/>
        </w:rPr>
        <w:t>con</w:t>
      </w:r>
      <w:r w:rsidRPr="00F54489">
        <w:rPr>
          <w:rFonts w:ascii="Arial" w:hAnsi="Arial" w:cs="Arial"/>
        </w:rPr>
        <w:t xml:space="preserve"> perspectiva de género</w:t>
      </w:r>
      <w:r>
        <w:rPr>
          <w:rFonts w:ascii="Arial" w:hAnsi="Arial" w:cs="Arial"/>
        </w:rPr>
        <w:t>.</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Al mes de agosto de 2018 la tasa de ocupación reflejó una participación del 1.1% al total nacional, representando un incremento de más de 3,491 puestos de trabajo permanentes respecto a diciembre de 2017. Al mes de agosto de 2018, se tienen registrados 100,665 trabajadores asegurados en el IMSS, tal y como se muestra en los siguientes cuadros:</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noProof/>
          <w:lang w:val="es-MX" w:eastAsia="es-MX"/>
        </w:rPr>
        <w:drawing>
          <wp:inline distT="0" distB="0" distL="0" distR="0" wp14:anchorId="67560758" wp14:editId="6A649A0D">
            <wp:extent cx="5326500" cy="284659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29" t="22504" r="15020" b="17379"/>
                    <a:stretch/>
                  </pic:blipFill>
                  <pic:spPr bwMode="auto">
                    <a:xfrm>
                      <a:off x="0" y="0"/>
                      <a:ext cx="5418428" cy="2895720"/>
                    </a:xfrm>
                    <a:prstGeom prst="rect">
                      <a:avLst/>
                    </a:prstGeom>
                    <a:ln>
                      <a:noFill/>
                    </a:ln>
                    <a:extLst>
                      <a:ext uri="{53640926-AAD7-44D8-BBD7-CCE9431645EC}">
                        <a14:shadowObscured xmlns:a14="http://schemas.microsoft.com/office/drawing/2010/main"/>
                      </a:ext>
                    </a:extLst>
                  </pic:spPr>
                </pic:pic>
              </a:graphicData>
            </a:graphic>
          </wp:inline>
        </w:drawing>
      </w:r>
    </w:p>
    <w:p w:rsidR="0037578E" w:rsidRDefault="0037578E" w:rsidP="0037578E">
      <w:pPr>
        <w:spacing w:line="360" w:lineRule="auto"/>
        <w:jc w:val="both"/>
        <w:rPr>
          <w:rFonts w:ascii="Arial" w:hAnsi="Arial" w:cs="Arial"/>
        </w:rPr>
      </w:pPr>
      <w:r w:rsidRPr="00931854">
        <w:rPr>
          <w:noProof/>
          <w:lang w:val="es-MX" w:eastAsia="es-MX"/>
        </w:rPr>
        <w:lastRenderedPageBreak/>
        <w:drawing>
          <wp:inline distT="0" distB="0" distL="0" distR="0" wp14:anchorId="3076D1D2" wp14:editId="595C2ABF">
            <wp:extent cx="5179695" cy="2642244"/>
            <wp:effectExtent l="0" t="0" r="190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2582" t="20181" r="13615" b="12727"/>
                    <a:stretch>
                      <a:fillRect/>
                    </a:stretch>
                  </pic:blipFill>
                  <pic:spPr bwMode="auto">
                    <a:xfrm>
                      <a:off x="0" y="0"/>
                      <a:ext cx="5179695" cy="2642244"/>
                    </a:xfrm>
                    <a:prstGeom prst="rect">
                      <a:avLst/>
                    </a:prstGeom>
                    <a:noFill/>
                    <a:ln>
                      <a:noFill/>
                    </a:ln>
                  </pic:spPr>
                </pic:pic>
              </a:graphicData>
            </a:graphic>
          </wp:inline>
        </w:drawing>
      </w:r>
      <w:r>
        <w:rPr>
          <w:noProof/>
          <w:lang w:val="es-MX" w:eastAsia="es-MX"/>
        </w:rPr>
        <w:t xml:space="preserve"> </w:t>
      </w:r>
    </w:p>
    <w:p w:rsidR="0037578E" w:rsidRDefault="0037578E" w:rsidP="0037578E">
      <w:pPr>
        <w:spacing w:line="360" w:lineRule="auto"/>
        <w:jc w:val="both"/>
        <w:rPr>
          <w:rFonts w:ascii="Arial" w:hAnsi="Arial" w:cs="Arial"/>
        </w:rPr>
      </w:pPr>
      <w:r>
        <w:rPr>
          <w:rFonts w:ascii="Arial" w:hAnsi="Arial" w:cs="Arial"/>
        </w:rPr>
        <w:t>De acuerdo al Directorio Estadístico Nacional de Unidades Económicas, Tlaxcala cuenta con 73,136 Unidades Económicas, en los rubros siguientes:</w:t>
      </w:r>
    </w:p>
    <w:p w:rsidR="001559A2" w:rsidRPr="001559A2" w:rsidRDefault="001559A2" w:rsidP="0037578E">
      <w:pPr>
        <w:spacing w:line="360" w:lineRule="auto"/>
        <w:jc w:val="both"/>
        <w:rPr>
          <w:rFonts w:ascii="Arial" w:hAnsi="Arial" w:cs="Arial"/>
          <w:sz w:val="14"/>
        </w:rPr>
      </w:pPr>
    </w:p>
    <w:p w:rsidR="0037578E" w:rsidRDefault="0037578E" w:rsidP="0037578E">
      <w:pPr>
        <w:spacing w:line="360" w:lineRule="auto"/>
        <w:rPr>
          <w:rFonts w:ascii="Arial" w:hAnsi="Arial" w:cs="Arial"/>
        </w:rPr>
      </w:pPr>
      <w:r>
        <w:rPr>
          <w:noProof/>
          <w:lang w:val="es-MX" w:eastAsia="es-MX"/>
        </w:rPr>
        <w:drawing>
          <wp:inline distT="0" distB="0" distL="0" distR="0" wp14:anchorId="3FE0C9D6" wp14:editId="2DABF886">
            <wp:extent cx="3550920" cy="2872854"/>
            <wp:effectExtent l="0" t="0" r="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54" t="38432" r="70617" b="15626"/>
                    <a:stretch/>
                  </pic:blipFill>
                  <pic:spPr bwMode="auto">
                    <a:xfrm>
                      <a:off x="0" y="0"/>
                      <a:ext cx="3622674" cy="2930906"/>
                    </a:xfrm>
                    <a:prstGeom prst="rect">
                      <a:avLst/>
                    </a:prstGeom>
                    <a:ln>
                      <a:noFill/>
                    </a:ln>
                    <a:extLst>
                      <a:ext uri="{53640926-AAD7-44D8-BBD7-CCE9431645EC}">
                        <a14:shadowObscured xmlns:a14="http://schemas.microsoft.com/office/drawing/2010/main"/>
                      </a:ext>
                    </a:extLst>
                  </pic:spPr>
                </pic:pic>
              </a:graphicData>
            </a:graphic>
          </wp:inline>
        </w:drawing>
      </w:r>
    </w:p>
    <w:p w:rsidR="0037578E" w:rsidRPr="00FD01B8" w:rsidRDefault="0037578E" w:rsidP="0037578E">
      <w:pPr>
        <w:spacing w:line="360" w:lineRule="auto"/>
        <w:jc w:val="both"/>
        <w:rPr>
          <w:rFonts w:ascii="Arial" w:hAnsi="Arial" w:cs="Arial"/>
          <w:sz w:val="12"/>
        </w:rPr>
      </w:pPr>
      <w:r w:rsidRPr="00FD01B8">
        <w:rPr>
          <w:rFonts w:ascii="Arial" w:hAnsi="Arial" w:cs="Arial"/>
          <w:b/>
          <w:sz w:val="12"/>
        </w:rPr>
        <w:t>FUENTE:</w:t>
      </w:r>
      <w:r w:rsidRPr="00FD01B8">
        <w:rPr>
          <w:rFonts w:ascii="Arial" w:hAnsi="Arial" w:cs="Arial"/>
          <w:sz w:val="12"/>
        </w:rPr>
        <w:t xml:space="preserve"> INEGI. DENUE. Agosto 2018.</w:t>
      </w:r>
    </w:p>
    <w:p w:rsidR="0037578E" w:rsidRDefault="0037578E" w:rsidP="0037578E">
      <w:pPr>
        <w:spacing w:line="360" w:lineRule="auto"/>
        <w:jc w:val="both"/>
        <w:rPr>
          <w:rFonts w:ascii="Arial" w:hAnsi="Arial" w:cs="Arial"/>
        </w:rPr>
      </w:pPr>
      <w:r>
        <w:rPr>
          <w:rFonts w:ascii="Arial" w:hAnsi="Arial" w:cs="Arial"/>
        </w:rPr>
        <w:lastRenderedPageBreak/>
        <w:t>Lo anterior representa el 1.4% del total nacional. Al segundo trimestre de 2018 la Población Económicamente Activa (PEA) ascendió a 589,811 personas, representando el 60.7% de la población en edad de trabajar. Del total de la PEA, el 96.7% está ocupada y el 3.3% se encuentra desocupada.</w:t>
      </w:r>
    </w:p>
    <w:p w:rsidR="0037578E" w:rsidRDefault="0037578E" w:rsidP="0037578E">
      <w:pPr>
        <w:spacing w:line="360" w:lineRule="auto"/>
        <w:jc w:val="both"/>
        <w:rPr>
          <w:rFonts w:ascii="Arial" w:hAnsi="Arial" w:cs="Arial"/>
        </w:rPr>
      </w:pPr>
      <w:r w:rsidRPr="00931854">
        <w:rPr>
          <w:noProof/>
          <w:lang w:val="es-MX" w:eastAsia="es-MX"/>
        </w:rPr>
        <w:drawing>
          <wp:inline distT="0" distB="0" distL="0" distR="0" wp14:anchorId="396A0818" wp14:editId="33C54B46">
            <wp:extent cx="5179695" cy="381350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2203" t="14909" r="23441" b="13667"/>
                    <a:stretch>
                      <a:fillRect/>
                    </a:stretch>
                  </pic:blipFill>
                  <pic:spPr bwMode="auto">
                    <a:xfrm>
                      <a:off x="0" y="0"/>
                      <a:ext cx="5179695" cy="3813505"/>
                    </a:xfrm>
                    <a:prstGeom prst="rect">
                      <a:avLst/>
                    </a:prstGeom>
                    <a:noFill/>
                    <a:ln>
                      <a:noFill/>
                    </a:ln>
                  </pic:spPr>
                </pic:pic>
              </a:graphicData>
            </a:graphic>
          </wp:inline>
        </w:drawing>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780FD3">
        <w:rPr>
          <w:rFonts w:ascii="Arial" w:hAnsi="Arial" w:cs="Arial"/>
        </w:rPr>
        <w:t>Con plena conciencia de la participación y neces</w:t>
      </w:r>
      <w:r>
        <w:rPr>
          <w:rFonts w:ascii="Arial" w:hAnsi="Arial" w:cs="Arial"/>
        </w:rPr>
        <w:t>idad de integración de nuestro E</w:t>
      </w:r>
      <w:r w:rsidRPr="00780FD3">
        <w:rPr>
          <w:rFonts w:ascii="Arial" w:hAnsi="Arial" w:cs="Arial"/>
        </w:rPr>
        <w:t>stado en el en</w:t>
      </w:r>
      <w:r>
        <w:rPr>
          <w:rFonts w:ascii="Arial" w:hAnsi="Arial" w:cs="Arial"/>
        </w:rPr>
        <w:t xml:space="preserve">torno global y atendiendo los </w:t>
      </w:r>
      <w:r w:rsidRPr="00780FD3">
        <w:rPr>
          <w:rFonts w:ascii="Arial" w:hAnsi="Arial" w:cs="Arial"/>
        </w:rPr>
        <w:t xml:space="preserve">compromisos internacionales que nuestro país ha adoptado en materia de desarrollo humano, cuidado del ambiente y responsabilidad con el planeta, que se ven reflejados inicialmente en los Objetivos del Milenio, y que actualmente se </w:t>
      </w:r>
      <w:r w:rsidRPr="00780FD3">
        <w:rPr>
          <w:rFonts w:ascii="Arial" w:hAnsi="Arial" w:cs="Arial"/>
        </w:rPr>
        <w:lastRenderedPageBreak/>
        <w:t>manifiestan en los Objetivos de Desarrollo Sostenible (ODS), suscritos por 193 países, con el apoyo de la Orga</w:t>
      </w:r>
      <w:r>
        <w:rPr>
          <w:rFonts w:ascii="Arial" w:hAnsi="Arial" w:cs="Arial"/>
        </w:rPr>
        <w:t>nización de las Naciones Unidas, h</w:t>
      </w:r>
      <w:r w:rsidRPr="003D6624">
        <w:rPr>
          <w:rFonts w:ascii="Arial" w:hAnsi="Arial" w:cs="Arial"/>
        </w:rPr>
        <w:t>emos buscado insertar los productos tlaxcal</w:t>
      </w:r>
      <w:r>
        <w:rPr>
          <w:rFonts w:ascii="Arial" w:hAnsi="Arial" w:cs="Arial"/>
        </w:rPr>
        <w:t>tecas en los mercados nacional e internacional</w:t>
      </w:r>
      <w:r w:rsidRPr="003D6624">
        <w:rPr>
          <w:rFonts w:ascii="Arial" w:hAnsi="Arial" w:cs="Arial"/>
        </w:rPr>
        <w:t xml:space="preserve">, dado que en el marco de una economía globalizada </w:t>
      </w:r>
      <w:r>
        <w:rPr>
          <w:rFonts w:ascii="Arial" w:hAnsi="Arial" w:cs="Arial"/>
        </w:rPr>
        <w:t xml:space="preserve">se </w:t>
      </w:r>
      <w:r w:rsidRPr="003D6624">
        <w:rPr>
          <w:rFonts w:ascii="Arial" w:hAnsi="Arial" w:cs="Arial"/>
        </w:rPr>
        <w:t>presenta</w:t>
      </w:r>
      <w:r>
        <w:rPr>
          <w:rFonts w:ascii="Arial" w:hAnsi="Arial" w:cs="Arial"/>
        </w:rPr>
        <w:t>n</w:t>
      </w:r>
      <w:r w:rsidRPr="003D6624">
        <w:rPr>
          <w:rFonts w:ascii="Arial" w:hAnsi="Arial" w:cs="Arial"/>
        </w:rPr>
        <w:t xml:space="preserve"> mayores complejidades, por lo que es indispensable identificar las oportunidades y aprovech</w:t>
      </w:r>
      <w:r>
        <w:rPr>
          <w:rFonts w:ascii="Arial" w:hAnsi="Arial" w:cs="Arial"/>
        </w:rPr>
        <w:t>arlas con eficacia.</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Al segundo trimestre de 2018, la Inversión Extranjera Directa Acumulada del año 1999 al mes de junio de 2018 en el Estado de Tlaxcala fue de 2,783.0 millones de dólares, lo que representó un aporte del 0.5 % al total nacional, instalándose empresas de diversas nacionalidades, tal y como se observa en el cuadro comparativo siguiente:</w:t>
      </w:r>
    </w:p>
    <w:p w:rsidR="0037578E" w:rsidRDefault="0037578E" w:rsidP="0037578E">
      <w:pPr>
        <w:spacing w:line="360" w:lineRule="auto"/>
        <w:jc w:val="both"/>
        <w:rPr>
          <w:rFonts w:ascii="Arial" w:hAnsi="Arial" w:cs="Arial"/>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1559A2" w:rsidRDefault="001559A2" w:rsidP="0037578E">
      <w:pPr>
        <w:spacing w:line="360" w:lineRule="auto"/>
        <w:jc w:val="center"/>
        <w:rPr>
          <w:rFonts w:ascii="Arial" w:hAnsi="Arial" w:cs="Arial"/>
          <w:b/>
          <w:sz w:val="14"/>
          <w:szCs w:val="20"/>
        </w:rPr>
      </w:pPr>
    </w:p>
    <w:p w:rsidR="0037578E" w:rsidRPr="00314E6B" w:rsidRDefault="0037578E" w:rsidP="001559A2">
      <w:pPr>
        <w:spacing w:line="360" w:lineRule="auto"/>
        <w:ind w:left="-142"/>
        <w:jc w:val="center"/>
        <w:rPr>
          <w:rFonts w:ascii="Arial" w:hAnsi="Arial" w:cs="Arial"/>
          <w:b/>
          <w:sz w:val="14"/>
          <w:szCs w:val="20"/>
        </w:rPr>
      </w:pPr>
      <w:r w:rsidRPr="00314E6B">
        <w:rPr>
          <w:rFonts w:ascii="Arial" w:hAnsi="Arial" w:cs="Arial"/>
          <w:b/>
          <w:sz w:val="14"/>
          <w:szCs w:val="20"/>
        </w:rPr>
        <w:lastRenderedPageBreak/>
        <w:t>INVERSIÓN EXTRANJERA DIRECTA EN MÉXICO</w:t>
      </w:r>
    </w:p>
    <w:p w:rsidR="0037578E" w:rsidRPr="00314E6B" w:rsidRDefault="0037578E" w:rsidP="001559A2">
      <w:pPr>
        <w:spacing w:line="360" w:lineRule="auto"/>
        <w:ind w:left="-142"/>
        <w:jc w:val="center"/>
        <w:rPr>
          <w:rFonts w:ascii="Arial" w:hAnsi="Arial" w:cs="Arial"/>
          <w:b/>
          <w:sz w:val="14"/>
          <w:szCs w:val="20"/>
        </w:rPr>
      </w:pPr>
      <w:r w:rsidRPr="00314E6B">
        <w:rPr>
          <w:rFonts w:ascii="Arial" w:hAnsi="Arial" w:cs="Arial"/>
          <w:b/>
          <w:sz w:val="14"/>
          <w:szCs w:val="20"/>
        </w:rPr>
        <w:t>POR ENTIDAD FEDERATIVA</w:t>
      </w:r>
    </w:p>
    <w:p w:rsidR="0037578E" w:rsidRPr="00314E6B" w:rsidRDefault="001559A2" w:rsidP="001559A2">
      <w:pPr>
        <w:spacing w:line="360" w:lineRule="auto"/>
        <w:ind w:left="-142"/>
        <w:jc w:val="center"/>
        <w:rPr>
          <w:rFonts w:ascii="Arial" w:hAnsi="Arial" w:cs="Arial"/>
          <w:b/>
          <w:sz w:val="14"/>
          <w:szCs w:val="20"/>
        </w:rPr>
      </w:pPr>
      <w:r>
        <w:rPr>
          <w:rFonts w:ascii="Arial" w:hAnsi="Arial" w:cs="Arial"/>
          <w:noProof/>
          <w:lang w:val="es-MX" w:eastAsia="es-MX"/>
        </w:rPr>
        <mc:AlternateContent>
          <mc:Choice Requires="wps">
            <w:drawing>
              <wp:anchor distT="0" distB="0" distL="114300" distR="114300" simplePos="0" relativeHeight="251662336" behindDoc="0" locked="0" layoutInCell="1" allowOverlap="1" wp14:anchorId="06F620B0" wp14:editId="2B50B583">
                <wp:simplePos x="0" y="0"/>
                <wp:positionH relativeFrom="leftMargin">
                  <wp:posOffset>1715960</wp:posOffset>
                </wp:positionH>
                <wp:positionV relativeFrom="paragraph">
                  <wp:posOffset>2949395</wp:posOffset>
                </wp:positionV>
                <wp:extent cx="189865" cy="45720"/>
                <wp:effectExtent l="19050" t="38100" r="57785" b="49530"/>
                <wp:wrapNone/>
                <wp:docPr id="1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62B4510" id="AutoShape 86" o:spid="_x0000_s1026" type="#_x0000_t13" style="position:absolute;margin-left:135.1pt;margin-top:232.25pt;width:14.95pt;height:3.6pt;flip:y;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lWjw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" adj="15918" fillcolor="red" strokecolor="red" strokeweight="3pt">
                <v:shadow on="t" color="#823b0b" opacity=".5" offset="1pt"/>
                <w10:wrap anchorx="margin"/>
              </v:shape>
            </w:pict>
          </mc:Fallback>
        </mc:AlternateContent>
      </w:r>
      <w:r w:rsidR="0037578E" w:rsidRPr="00314E6B">
        <w:rPr>
          <w:rFonts w:ascii="Arial" w:hAnsi="Arial" w:cs="Arial"/>
          <w:b/>
          <w:sz w:val="14"/>
          <w:szCs w:val="20"/>
        </w:rPr>
        <w:t>(Millones de Dólares)</w:t>
      </w:r>
      <w:r w:rsidR="0037578E" w:rsidRPr="00BE3723">
        <w:rPr>
          <w:noProof/>
          <w:lang w:val="es-MX" w:eastAsia="es-MX"/>
        </w:rPr>
        <w:drawing>
          <wp:inline distT="0" distB="0" distL="0" distR="0" wp14:anchorId="556E1B09" wp14:editId="7C101D87">
            <wp:extent cx="5445456" cy="3426232"/>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0210" cy="3441807"/>
                    </a:xfrm>
                    <a:prstGeom prst="rect">
                      <a:avLst/>
                    </a:prstGeom>
                    <a:noFill/>
                    <a:ln>
                      <a:noFill/>
                    </a:ln>
                  </pic:spPr>
                </pic:pic>
              </a:graphicData>
            </a:graphic>
          </wp:inline>
        </w:drawing>
      </w:r>
      <w:r w:rsidR="0037578E" w:rsidRPr="00BE3723">
        <w:t xml:space="preserve"> </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E</w:t>
      </w:r>
      <w:r w:rsidRPr="00D81C94">
        <w:rPr>
          <w:rFonts w:ascii="Arial" w:hAnsi="Arial" w:cs="Arial"/>
        </w:rPr>
        <w:t xml:space="preserve">l </w:t>
      </w:r>
      <w:r>
        <w:rPr>
          <w:rFonts w:ascii="Arial" w:hAnsi="Arial" w:cs="Arial"/>
        </w:rPr>
        <w:t>sector turismo en T</w:t>
      </w:r>
      <w:r w:rsidRPr="00D81C94">
        <w:rPr>
          <w:rFonts w:ascii="Arial" w:hAnsi="Arial" w:cs="Arial"/>
        </w:rPr>
        <w:t>laxcala ha recuperado dinamismo en los últimos años</w:t>
      </w:r>
      <w:r>
        <w:rPr>
          <w:rFonts w:ascii="Arial" w:hAnsi="Arial" w:cs="Arial"/>
        </w:rPr>
        <w:t>;</w:t>
      </w:r>
      <w:r w:rsidRPr="00D81C94">
        <w:rPr>
          <w:rFonts w:ascii="Arial" w:hAnsi="Arial" w:cs="Arial"/>
        </w:rPr>
        <w:t xml:space="preserve"> </w:t>
      </w:r>
      <w:r>
        <w:rPr>
          <w:rFonts w:ascii="Arial" w:hAnsi="Arial" w:cs="Arial"/>
        </w:rPr>
        <w:t>p</w:t>
      </w:r>
      <w:r w:rsidRPr="00D81C94">
        <w:rPr>
          <w:rFonts w:ascii="Arial" w:hAnsi="Arial" w:cs="Arial"/>
        </w:rPr>
        <w:t>rueba de esta recuperación es el aumento en el número de turistas que han visitado Tlaxcala, al pasar de 267</w:t>
      </w:r>
      <w:r>
        <w:rPr>
          <w:rFonts w:ascii="Arial" w:hAnsi="Arial" w:cs="Arial"/>
        </w:rPr>
        <w:t>,</w:t>
      </w:r>
      <w:r w:rsidRPr="00D81C94">
        <w:rPr>
          <w:rFonts w:ascii="Arial" w:hAnsi="Arial" w:cs="Arial"/>
        </w:rPr>
        <w:t>718 en 2011, a 456</w:t>
      </w:r>
      <w:r>
        <w:rPr>
          <w:rFonts w:ascii="Arial" w:hAnsi="Arial" w:cs="Arial"/>
        </w:rPr>
        <w:t>,</w:t>
      </w:r>
      <w:r w:rsidRPr="00D81C94">
        <w:rPr>
          <w:rFonts w:ascii="Arial" w:hAnsi="Arial" w:cs="Arial"/>
        </w:rPr>
        <w:t>252 visitantes en 2016. El incremento en el número de turistas</w:t>
      </w:r>
      <w:r>
        <w:rPr>
          <w:rFonts w:ascii="Arial" w:hAnsi="Arial" w:cs="Arial"/>
        </w:rPr>
        <w:t>,</w:t>
      </w:r>
      <w:r w:rsidRPr="00D81C94">
        <w:rPr>
          <w:rFonts w:ascii="Arial" w:hAnsi="Arial" w:cs="Arial"/>
        </w:rPr>
        <w:t xml:space="preserve">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w:t>
      </w:r>
      <w:r w:rsidRPr="00D81C94">
        <w:rPr>
          <w:rFonts w:ascii="Arial" w:hAnsi="Arial" w:cs="Arial"/>
        </w:rPr>
        <w:lastRenderedPageBreak/>
        <w:t>hotelera todavía es menor al promedio nacional de 56% y al 47% obtenido por el estado en 2005</w:t>
      </w:r>
      <w:r>
        <w:rPr>
          <w:rFonts w:ascii="Arial" w:hAnsi="Arial" w:cs="Arial"/>
        </w:rPr>
        <w:t>;</w:t>
      </w:r>
      <w:r w:rsidRPr="00D81C94">
        <w:rPr>
          <w:rFonts w:ascii="Arial" w:hAnsi="Arial" w:cs="Arial"/>
        </w:rPr>
        <w:t xml:space="preserve"> </w:t>
      </w:r>
      <w:r>
        <w:rPr>
          <w:rFonts w:ascii="Arial" w:hAnsi="Arial" w:cs="Arial"/>
        </w:rPr>
        <w:t>a</w:t>
      </w:r>
      <w:r w:rsidRPr="00D81C94">
        <w:rPr>
          <w:rFonts w:ascii="Arial" w:hAnsi="Arial" w:cs="Arial"/>
        </w:rPr>
        <w:t>demás, la estadía de los turistas en Tlaxcala sigue siendo baja</w:t>
      </w:r>
      <w:r>
        <w:rPr>
          <w:rFonts w:ascii="Arial" w:hAnsi="Arial" w:cs="Arial"/>
        </w:rPr>
        <w:t xml:space="preserve"> la cual en promedio es de aproximadamente</w:t>
      </w:r>
      <w:r w:rsidRPr="00D81C94">
        <w:rPr>
          <w:rFonts w:ascii="Arial" w:hAnsi="Arial" w:cs="Arial"/>
        </w:rPr>
        <w:t xml:space="preserve"> 1.4 días, y se ha mantenido así desde 2008.</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D81C94">
        <w:rPr>
          <w:rFonts w:ascii="Arial" w:hAnsi="Arial" w:cs="Arial"/>
        </w:rPr>
        <w:t>En 2015,</w:t>
      </w:r>
      <w:r>
        <w:rPr>
          <w:rFonts w:ascii="Arial" w:hAnsi="Arial" w:cs="Arial"/>
        </w:rPr>
        <w:t xml:space="preserve"> el</w:t>
      </w:r>
      <w:r w:rsidRPr="00D81C94">
        <w:rPr>
          <w:rFonts w:ascii="Arial" w:hAnsi="Arial" w:cs="Arial"/>
        </w:rPr>
        <w:t xml:space="preserve">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w:t>
      </w:r>
      <w:r>
        <w:rPr>
          <w:rFonts w:ascii="Arial" w:hAnsi="Arial" w:cs="Arial"/>
        </w:rPr>
        <w:t>que corresponde al</w:t>
      </w:r>
      <w:r w:rsidRPr="00D81C94">
        <w:rPr>
          <w:rFonts w:ascii="Arial" w:hAnsi="Arial" w:cs="Arial"/>
        </w:rPr>
        <w:t xml:space="preserve"> 56%.</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D81C94">
        <w:rPr>
          <w:rFonts w:ascii="Arial" w:hAnsi="Arial" w:cs="Arial"/>
        </w:rPr>
        <w:t xml:space="preserve">Entre </w:t>
      </w:r>
      <w:r>
        <w:rPr>
          <w:rFonts w:ascii="Arial" w:hAnsi="Arial" w:cs="Arial"/>
        </w:rPr>
        <w:t xml:space="preserve">los años </w:t>
      </w:r>
      <w:r w:rsidRPr="00D81C94">
        <w:rPr>
          <w:rFonts w:ascii="Arial" w:hAnsi="Arial" w:cs="Arial"/>
        </w:rPr>
        <w:t xml:space="preserve">2013 y 2016, </w:t>
      </w:r>
      <w:r>
        <w:rPr>
          <w:rFonts w:ascii="Arial" w:hAnsi="Arial" w:cs="Arial"/>
        </w:rPr>
        <w:t xml:space="preserve">los </w:t>
      </w:r>
      <w:r w:rsidRPr="00D81C94">
        <w:rPr>
          <w:rFonts w:ascii="Arial" w:hAnsi="Arial" w:cs="Arial"/>
        </w:rPr>
        <w:t xml:space="preserve">establecimientos </w:t>
      </w:r>
      <w:r>
        <w:rPr>
          <w:rFonts w:ascii="Arial" w:hAnsi="Arial" w:cs="Arial"/>
        </w:rPr>
        <w:t xml:space="preserve">que </w:t>
      </w:r>
      <w:r w:rsidRPr="00D81C94">
        <w:rPr>
          <w:rFonts w:ascii="Arial" w:hAnsi="Arial" w:cs="Arial"/>
        </w:rPr>
        <w:t>obtuvieron la certificación de Punto Limpio²</w:t>
      </w:r>
      <w:r>
        <w:rPr>
          <w:rFonts w:ascii="Arial" w:hAnsi="Arial" w:cs="Arial"/>
        </w:rPr>
        <w:t xml:space="preserve"> ascienden a </w:t>
      </w:r>
      <w:r w:rsidRPr="00D81C94">
        <w:rPr>
          <w:rFonts w:ascii="Arial" w:hAnsi="Arial" w:cs="Arial"/>
        </w:rPr>
        <w:t>141. Por número de certificaciones obtenidas, Tlaxcala obtuvo el lugar 15 del país. Además, 92 establecimientos recibieron la certificación M</w:t>
      </w:r>
      <w:r w:rsidRPr="00876A62">
        <w:rPr>
          <w:rFonts w:ascii="Arial" w:hAnsi="Arial" w:cs="Arial"/>
          <w:vertAlign w:val="superscript"/>
        </w:rPr>
        <w:t>3</w:t>
      </w:r>
      <w:r w:rsidRPr="00D81C94">
        <w:rPr>
          <w:rFonts w:ascii="Arial" w:hAnsi="Arial" w:cs="Arial"/>
        </w:rPr>
        <w:t xml:space="preserve"> y 59 el distintivo H</w:t>
      </w:r>
      <w:r w:rsidRPr="00876A62">
        <w:rPr>
          <w:rFonts w:ascii="Arial" w:hAnsi="Arial" w:cs="Arial"/>
          <w:vertAlign w:val="superscript"/>
        </w:rPr>
        <w:t>4</w:t>
      </w:r>
      <w:r>
        <w:rPr>
          <w:rFonts w:ascii="Arial" w:hAnsi="Arial" w:cs="Arial"/>
        </w:rPr>
        <w:t>.</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El Estado de Tlaxcala se encuentra entre las Entidades mejor calificadas en el Índice de Información Presupuestal Estatal, elaborado por el Instituto Mexicano para la Competitividad, A.C., reafirmándose el compromiso de esta administración con la transparencia presupuestal y la rendición de cuentas.</w:t>
      </w:r>
    </w:p>
    <w:p w:rsidR="0037578E" w:rsidRDefault="0037578E" w:rsidP="0037578E">
      <w:pPr>
        <w:spacing w:line="360" w:lineRule="auto"/>
        <w:jc w:val="center"/>
        <w:rPr>
          <w:noProof/>
          <w:lang w:val="es-MX" w:eastAsia="es-MX"/>
        </w:rPr>
      </w:pPr>
      <w:r>
        <w:rPr>
          <w:noProof/>
          <w:lang w:val="es-MX" w:eastAsia="es-MX"/>
        </w:rPr>
        <w:lastRenderedPageBreak/>
        <w:drawing>
          <wp:inline distT="0" distB="0" distL="0" distR="0" wp14:anchorId="64467E7A" wp14:editId="7F6EF0B3">
            <wp:extent cx="5349834" cy="3044190"/>
            <wp:effectExtent l="0" t="0" r="0" b="0"/>
            <wp:docPr id="36" name="Imagen 3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Lst>
                    </a:blip>
                    <a:srcRect l="16143" t="38252" r="23902" b="8969"/>
                    <a:stretch/>
                  </pic:blipFill>
                  <pic:spPr bwMode="auto">
                    <a:xfrm>
                      <a:off x="0" y="0"/>
                      <a:ext cx="5352971" cy="3045975"/>
                    </a:xfrm>
                    <a:prstGeom prst="rect">
                      <a:avLst/>
                    </a:prstGeom>
                    <a:ln>
                      <a:noFill/>
                    </a:ln>
                    <a:extLst>
                      <a:ext uri="{53640926-AAD7-44D8-BBD7-CCE9431645EC}">
                        <a14:shadowObscured xmlns:a14="http://schemas.microsoft.com/office/drawing/2010/main"/>
                      </a:ext>
                    </a:extLst>
                  </pic:spPr>
                </pic:pic>
              </a:graphicData>
            </a:graphic>
          </wp:inline>
        </w:drawing>
      </w:r>
    </w:p>
    <w:p w:rsidR="0037578E" w:rsidRDefault="0037578E" w:rsidP="0037578E">
      <w:pPr>
        <w:spacing w:line="360" w:lineRule="auto"/>
        <w:jc w:val="center"/>
        <w:rPr>
          <w:noProof/>
          <w:lang w:val="es-MX" w:eastAsia="es-MX"/>
        </w:rPr>
      </w:pPr>
    </w:p>
    <w:p w:rsidR="0037578E" w:rsidRDefault="0037578E" w:rsidP="0037578E">
      <w:pPr>
        <w:spacing w:line="360" w:lineRule="auto"/>
        <w:jc w:val="center"/>
        <w:rPr>
          <w:noProof/>
          <w:lang w:val="es-MX" w:eastAsia="es-MX"/>
        </w:rPr>
      </w:pPr>
      <w:r>
        <w:rPr>
          <w:noProof/>
          <w:lang w:val="es-MX" w:eastAsia="es-MX"/>
        </w:rPr>
        <w:drawing>
          <wp:inline distT="0" distB="0" distL="0" distR="0" wp14:anchorId="5E14EFD2" wp14:editId="64414199">
            <wp:extent cx="4742815" cy="2933700"/>
            <wp:effectExtent l="0" t="0" r="0" b="0"/>
            <wp:docPr id="37" name="Imagen 37"/>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6"/>
                    <a:srcRect l="26646" t="42850" r="33808" b="7664"/>
                    <a:stretch/>
                  </pic:blipFill>
                  <pic:spPr bwMode="auto">
                    <a:xfrm>
                      <a:off x="0" y="0"/>
                      <a:ext cx="4742815" cy="2933700"/>
                    </a:xfrm>
                    <a:prstGeom prst="rect">
                      <a:avLst/>
                    </a:prstGeom>
                    <a:ln>
                      <a:noFill/>
                    </a:ln>
                    <a:extLst>
                      <a:ext uri="{53640926-AAD7-44D8-BBD7-CCE9431645EC}">
                        <a14:shadowObscured xmlns:a14="http://schemas.microsoft.com/office/drawing/2010/main"/>
                      </a:ext>
                    </a:extLst>
                  </pic:spPr>
                </pic:pic>
              </a:graphicData>
            </a:graphic>
          </wp:inline>
        </w:drawing>
      </w:r>
    </w:p>
    <w:p w:rsidR="0037578E" w:rsidRDefault="0037578E" w:rsidP="0037578E">
      <w:pPr>
        <w:spacing w:line="360" w:lineRule="auto"/>
        <w:jc w:val="both"/>
        <w:rPr>
          <w:rFonts w:ascii="Arial" w:hAnsi="Arial" w:cs="Arial"/>
        </w:rPr>
      </w:pPr>
      <w:r>
        <w:rPr>
          <w:rFonts w:ascii="Arial" w:hAnsi="Arial" w:cs="Arial"/>
        </w:rPr>
        <w:lastRenderedPageBreak/>
        <w:t>Cabe señalar, que este índice a partir del ejercicio 2018, será evaluado de manera bianual.</w:t>
      </w:r>
    </w:p>
    <w:p w:rsidR="0037578E" w:rsidRDefault="0037578E" w:rsidP="0037578E">
      <w:pPr>
        <w:spacing w:line="360" w:lineRule="auto"/>
        <w:jc w:val="both"/>
        <w:rPr>
          <w:rFonts w:ascii="Arial" w:hAnsi="Arial" w:cs="Arial"/>
        </w:rPr>
      </w:pPr>
    </w:p>
    <w:p w:rsidR="0037578E" w:rsidRPr="00C37543" w:rsidRDefault="0037578E" w:rsidP="0037578E">
      <w:pPr>
        <w:spacing w:line="360" w:lineRule="auto"/>
        <w:jc w:val="both"/>
        <w:rPr>
          <w:rFonts w:ascii="Arial" w:hAnsi="Arial" w:cs="Arial"/>
        </w:rPr>
      </w:pPr>
      <w:r w:rsidRPr="00C37543">
        <w:rPr>
          <w:rFonts w:ascii="Arial" w:hAnsi="Arial" w:cs="Arial"/>
        </w:rPr>
        <w:t>En materia de ingresos provenientes de fuentes locales</w:t>
      </w:r>
      <w:r>
        <w:rPr>
          <w:rFonts w:ascii="Arial" w:hAnsi="Arial" w:cs="Arial"/>
        </w:rPr>
        <w:t xml:space="preserve"> y</w:t>
      </w:r>
      <w:r w:rsidRPr="0081506F">
        <w:rPr>
          <w:rFonts w:ascii="Arial" w:hAnsi="Arial" w:cs="Arial"/>
        </w:rPr>
        <w:t xml:space="preserve"> derivado de la tendencia observada en la recaudación de los últimos cinco ejercicios fiscales</w:t>
      </w:r>
      <w:r w:rsidRPr="00C37543">
        <w:rPr>
          <w:rFonts w:ascii="Arial" w:hAnsi="Arial" w:cs="Arial"/>
        </w:rPr>
        <w:t xml:space="preserve">, se estima </w:t>
      </w:r>
      <w:r>
        <w:rPr>
          <w:rFonts w:ascii="Arial" w:hAnsi="Arial" w:cs="Arial"/>
        </w:rPr>
        <w:t xml:space="preserve">que </w:t>
      </w:r>
      <w:r w:rsidRPr="00C37543">
        <w:rPr>
          <w:rFonts w:ascii="Arial" w:hAnsi="Arial" w:cs="Arial"/>
        </w:rPr>
        <w:t>para el ejercicio fiscal de 201</w:t>
      </w:r>
      <w:r>
        <w:rPr>
          <w:rFonts w:ascii="Arial" w:hAnsi="Arial" w:cs="Arial"/>
        </w:rPr>
        <w:t>9</w:t>
      </w:r>
      <w:r w:rsidRPr="00C37543">
        <w:rPr>
          <w:rFonts w:ascii="Arial" w:hAnsi="Arial" w:cs="Arial"/>
        </w:rPr>
        <w:t xml:space="preserve">, </w:t>
      </w:r>
      <w:r>
        <w:rPr>
          <w:rFonts w:ascii="Arial" w:hAnsi="Arial" w:cs="Arial"/>
        </w:rPr>
        <w:t xml:space="preserve">exista </w:t>
      </w:r>
      <w:r w:rsidRPr="00C37543">
        <w:rPr>
          <w:rFonts w:ascii="Arial" w:hAnsi="Arial" w:cs="Arial"/>
        </w:rPr>
        <w:t xml:space="preserve">una variación del </w:t>
      </w:r>
      <w:r>
        <w:rPr>
          <w:rFonts w:ascii="Arial" w:hAnsi="Arial" w:cs="Arial"/>
        </w:rPr>
        <w:t>10</w:t>
      </w:r>
      <w:r w:rsidRPr="00C37543">
        <w:rPr>
          <w:rFonts w:ascii="Arial" w:hAnsi="Arial" w:cs="Arial"/>
        </w:rPr>
        <w:t>.</w:t>
      </w:r>
      <w:r>
        <w:rPr>
          <w:rFonts w:ascii="Arial" w:hAnsi="Arial" w:cs="Arial"/>
        </w:rPr>
        <w:t>19</w:t>
      </w:r>
      <w:r w:rsidRPr="00C37543">
        <w:rPr>
          <w:rFonts w:ascii="Arial" w:hAnsi="Arial" w:cs="Arial"/>
        </w:rPr>
        <w:t>% con relación a la Ley de Ingresos aprobada para el ejercicio fiscal de 201</w:t>
      </w:r>
      <w:r>
        <w:rPr>
          <w:rFonts w:ascii="Arial" w:hAnsi="Arial" w:cs="Arial"/>
        </w:rPr>
        <w:t>8</w:t>
      </w:r>
      <w:r w:rsidRPr="00C37543">
        <w:rPr>
          <w:rFonts w:ascii="Arial" w:hAnsi="Arial" w:cs="Arial"/>
        </w:rPr>
        <w:t>, tal como se muestra en el gráfico siguiente:</w:t>
      </w:r>
    </w:p>
    <w:p w:rsidR="0037578E" w:rsidRDefault="0037578E" w:rsidP="0037578E">
      <w:pPr>
        <w:spacing w:line="360" w:lineRule="auto"/>
        <w:jc w:val="both"/>
        <w:rPr>
          <w:rFonts w:ascii="Arial" w:hAnsi="Arial" w:cs="Arial"/>
        </w:rPr>
      </w:pPr>
    </w:p>
    <w:p w:rsidR="0037578E" w:rsidRDefault="00AB32BA" w:rsidP="0037578E">
      <w:pPr>
        <w:spacing w:line="360" w:lineRule="auto"/>
        <w:jc w:val="center"/>
        <w:rPr>
          <w:rFonts w:ascii="Arial" w:hAnsi="Arial" w:cs="Arial"/>
        </w:rPr>
      </w:pPr>
      <w:r>
        <w:rPr>
          <w:rFonts w:ascii="Arial" w:hAnsi="Arial" w:cs="Arial"/>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2338705</wp:posOffset>
                </wp:positionH>
                <wp:positionV relativeFrom="paragraph">
                  <wp:posOffset>1461135</wp:posOffset>
                </wp:positionV>
                <wp:extent cx="723900" cy="2857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723900" cy="285750"/>
                        </a:xfrm>
                        <a:prstGeom prst="rect">
                          <a:avLst/>
                        </a:prstGeom>
                        <a:solidFill>
                          <a:schemeClr val="lt1"/>
                        </a:solidFill>
                        <a:ln w="6350">
                          <a:noFill/>
                        </a:ln>
                      </wps:spPr>
                      <wps:txbx>
                        <w:txbxContent>
                          <w:p w:rsidR="00B8501C" w:rsidRPr="00AB32BA" w:rsidRDefault="00B8501C">
                            <w:pPr>
                              <w:rPr>
                                <w:b/>
                                <w:sz w:val="20"/>
                              </w:rPr>
                            </w:pPr>
                            <w:r w:rsidRPr="00AB32BA">
                              <w:rPr>
                                <w:b/>
                                <w:sz w:val="20"/>
                              </w:rPr>
                              <w:t>10.19%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Cuadro de texto 8" o:spid="_x0000_s1026" type="#_x0000_t202" style="position:absolute;left:0;text-align:left;margin-left:184.15pt;margin-top:115.05pt;width:57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" fillcolor="white [3201]" stroked="f" strokeweight=".5pt">
                <v:textbox>
                  <w:txbxContent>
                    <w:p w:rsidR="00B8501C" w:rsidRPr="00AB32BA" w:rsidRDefault="00B8501C">
                      <w:pPr>
                        <w:rPr>
                          <w:b/>
                          <w:sz w:val="20"/>
                        </w:rPr>
                      </w:pPr>
                      <w:r w:rsidRPr="00AB32BA">
                        <w:rPr>
                          <w:b/>
                          <w:sz w:val="20"/>
                        </w:rPr>
                        <w:t>10.19%</w:t>
                      </w:r>
                    </w:p>
                  </w:txbxContent>
                </v:textbox>
              </v:shape>
            </w:pict>
          </mc:Fallback>
        </mc:AlternateContent>
      </w:r>
      <w:r w:rsidR="0037578E" w:rsidRPr="000A27C1">
        <w:rPr>
          <w:rFonts w:ascii="Arial" w:hAnsi="Arial" w:cs="Arial"/>
          <w:noProof/>
          <w:highlight w:val="yellow"/>
          <w:lang w:val="es-MX" w:eastAsia="es-MX"/>
        </w:rPr>
        <w:drawing>
          <wp:inline distT="0" distB="0" distL="0" distR="0" wp14:anchorId="367E8384" wp14:editId="2E883F3D">
            <wp:extent cx="4706620" cy="3562184"/>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3496" cy="3597662"/>
                    </a:xfrm>
                    <a:prstGeom prst="rect">
                      <a:avLst/>
                    </a:prstGeom>
                    <a:noFill/>
                  </pic:spPr>
                </pic:pic>
              </a:graphicData>
            </a:graphic>
          </wp:inline>
        </w:drawing>
      </w:r>
    </w:p>
    <w:p w:rsidR="0037578E" w:rsidRPr="003456A6" w:rsidRDefault="0037578E" w:rsidP="0037578E">
      <w:pPr>
        <w:spacing w:line="360" w:lineRule="auto"/>
        <w:ind w:left="567"/>
        <w:rPr>
          <w:rFonts w:ascii="Arial" w:hAnsi="Arial" w:cs="Arial"/>
          <w:sz w:val="14"/>
        </w:rPr>
      </w:pPr>
      <w:r w:rsidRPr="00F7394D">
        <w:rPr>
          <w:rFonts w:ascii="Arial" w:hAnsi="Arial" w:cs="Arial"/>
          <w:b/>
          <w:sz w:val="14"/>
        </w:rPr>
        <w:t xml:space="preserve">Fuente: </w:t>
      </w:r>
      <w:r w:rsidRPr="003456A6">
        <w:rPr>
          <w:rFonts w:ascii="Arial" w:hAnsi="Arial" w:cs="Arial"/>
          <w:sz w:val="14"/>
        </w:rPr>
        <w:t>Dirección de Ingresos y Fiscalización</w:t>
      </w:r>
      <w:r>
        <w:rPr>
          <w:rFonts w:ascii="Arial" w:hAnsi="Arial" w:cs="Arial"/>
          <w:sz w:val="14"/>
        </w:rPr>
        <w:t>.</w:t>
      </w:r>
    </w:p>
    <w:p w:rsidR="0037578E" w:rsidRDefault="0037578E" w:rsidP="0037578E">
      <w:pPr>
        <w:spacing w:line="360" w:lineRule="auto"/>
        <w:jc w:val="both"/>
        <w:rPr>
          <w:rFonts w:ascii="Arial" w:hAnsi="Arial" w:cs="Arial"/>
        </w:rPr>
      </w:pPr>
    </w:p>
    <w:p w:rsidR="00F3036F" w:rsidRDefault="00F3036F" w:rsidP="00F3036F">
      <w:pPr>
        <w:spacing w:line="360" w:lineRule="auto"/>
        <w:jc w:val="both"/>
        <w:rPr>
          <w:rFonts w:ascii="Arial" w:hAnsi="Arial" w:cs="Arial"/>
        </w:rPr>
      </w:pPr>
      <w:r w:rsidRPr="00370206">
        <w:rPr>
          <w:rFonts w:ascii="Arial" w:hAnsi="Arial" w:cs="Arial"/>
        </w:rPr>
        <w:lastRenderedPageBreak/>
        <w:t>La Secretaría de Comunicaciones y Transportes del Estado tiene dentro de sus funciones el formular y conducir las políticas y programas para el desarrollo del transporte público y privado en territorio del Estado, observando las características y especificaciones de las placas metálicas y calcomanías de identificación de todos los vehículos automotores y remolques matriculados en el padrón estatal vehicular, por lo que con el propósito de que los vehículos automotores que circulan en el territorio estatal, se encuentren debidamente identificados y se compruebe la posesión legal de los mismos, deben contar con placas metálicas y calcomanías que faciliten su reconocimiento, con el propósito, de otorgar seguridad pública y jurídica a los actos que se realicen con estos vehículos, mediante su identificación y control.</w:t>
      </w:r>
    </w:p>
    <w:p w:rsidR="00F3036F" w:rsidRPr="00370206" w:rsidRDefault="00F3036F" w:rsidP="00F3036F">
      <w:pPr>
        <w:spacing w:line="360" w:lineRule="auto"/>
        <w:jc w:val="both"/>
        <w:rPr>
          <w:rFonts w:ascii="Arial" w:hAnsi="Arial" w:cs="Arial"/>
        </w:rPr>
      </w:pPr>
    </w:p>
    <w:p w:rsidR="00F3036F" w:rsidRPr="00370206" w:rsidRDefault="00F3036F" w:rsidP="00F3036F">
      <w:pPr>
        <w:spacing w:line="360" w:lineRule="auto"/>
        <w:jc w:val="both"/>
        <w:rPr>
          <w:rFonts w:ascii="Arial" w:hAnsi="Arial" w:cs="Arial"/>
        </w:rPr>
      </w:pPr>
      <w:r w:rsidRPr="00370206">
        <w:rPr>
          <w:rFonts w:ascii="Arial" w:hAnsi="Arial" w:cs="Arial"/>
        </w:rPr>
        <w:t xml:space="preserve">Con el objeto de garantizar la actualización y control del padrón vehicular estatal, en apego a lo establecido en la NORMA Oficial Mexicana NOM-001-SCT-2-2016, Placas metálicas, calcomanías de identificación y tarjetas de circulación empleadas en automóviles, tractocamiones, autobuses, camiones, motocicletas, remolques, semirremolques, convertidores y grúas, matriculados en la República Mexicana, licencia federal de conductor, calcomanía de verificación físico-mecánica, listado de series asignadas por tipo de vehículo, servicio y entidad federativa o dependencia de gobierno, especificaciones y método de prueba, publicada en el Diario Oficial de la Federación de fecha 24 de junio de 2016 y en el artículo séptimo del Acuerdo Secretarial mediante el cual se fijan las características y especificaciones de </w:t>
      </w:r>
      <w:r w:rsidRPr="00370206">
        <w:rPr>
          <w:rFonts w:ascii="Arial" w:hAnsi="Arial" w:cs="Arial"/>
        </w:rPr>
        <w:lastRenderedPageBreak/>
        <w:t>las placas metálicas, calcomanías de identificación y revalidación y tarjetas de circulación para los diferentes tipos de servicio publicado en el Diario Oficial de la Federación el 25 de Septiembre de 2000; en el ejercicio 2019, se propone llevar a cabo el reemplacamiento total del parque vehicular estatal, con el objeto de contar con información confiable que coadyuve a mejorar la vigilancia e identificación de las placas metálicas y calcomanías que se utilicen en vehículos involucrados en delitos, tales como robos, secuestros, narcotráfico, y accidentes viales.</w:t>
      </w:r>
    </w:p>
    <w:p w:rsidR="00F3036F" w:rsidRDefault="00F3036F" w:rsidP="0037578E">
      <w:pPr>
        <w:spacing w:line="360" w:lineRule="auto"/>
        <w:jc w:val="both"/>
        <w:rPr>
          <w:rFonts w:ascii="Arial" w:hAnsi="Arial" w:cs="Arial"/>
        </w:rPr>
      </w:pPr>
    </w:p>
    <w:p w:rsidR="0037578E" w:rsidRPr="00032997" w:rsidRDefault="0037578E" w:rsidP="0037578E">
      <w:pPr>
        <w:spacing w:line="360" w:lineRule="auto"/>
        <w:jc w:val="both"/>
        <w:rPr>
          <w:rFonts w:ascii="Arial" w:hAnsi="Arial" w:cs="Arial"/>
        </w:rPr>
      </w:pPr>
      <w:r w:rsidRPr="00032997">
        <w:rPr>
          <w:rFonts w:ascii="Arial" w:hAnsi="Arial" w:cs="Arial"/>
        </w:rPr>
        <w:t xml:space="preserve">En lo que corresponde a participaciones federales referenciadas a la Recaudación Federal Participable en el presente ejercicio, la distribución por Entidad Federativa, muestra un crecimiento promedio de </w:t>
      </w:r>
      <w:r>
        <w:rPr>
          <w:rFonts w:ascii="Arial" w:hAnsi="Arial" w:cs="Arial"/>
        </w:rPr>
        <w:t>3</w:t>
      </w:r>
      <w:r w:rsidRPr="00032997">
        <w:rPr>
          <w:rFonts w:ascii="Arial" w:hAnsi="Arial" w:cs="Arial"/>
        </w:rPr>
        <w:t>.</w:t>
      </w:r>
      <w:r>
        <w:rPr>
          <w:rFonts w:ascii="Arial" w:hAnsi="Arial" w:cs="Arial"/>
        </w:rPr>
        <w:t>80</w:t>
      </w:r>
      <w:r w:rsidRPr="00032997">
        <w:rPr>
          <w:rFonts w:ascii="Arial" w:hAnsi="Arial" w:cs="Arial"/>
        </w:rPr>
        <w:t xml:space="preserve">%. Tlaxcala se sitúa con un </w:t>
      </w:r>
      <w:r>
        <w:rPr>
          <w:rFonts w:ascii="Arial" w:hAnsi="Arial" w:cs="Arial"/>
        </w:rPr>
        <w:t>2</w:t>
      </w:r>
      <w:r w:rsidRPr="00032997">
        <w:rPr>
          <w:rFonts w:ascii="Arial" w:hAnsi="Arial" w:cs="Arial"/>
        </w:rPr>
        <w:t>.</w:t>
      </w:r>
      <w:r>
        <w:rPr>
          <w:rFonts w:ascii="Arial" w:hAnsi="Arial" w:cs="Arial"/>
        </w:rPr>
        <w:t>54</w:t>
      </w:r>
      <w:r w:rsidRPr="00032997">
        <w:rPr>
          <w:rFonts w:ascii="Arial" w:hAnsi="Arial" w:cs="Arial"/>
        </w:rPr>
        <w:t>%, esto derivado del comportamiento de la recaudación de los impuestos y derechos locales (incluye predial y agua municipal) en los periodos 2015-2016</w:t>
      </w:r>
      <w:r>
        <w:rPr>
          <w:rFonts w:ascii="Arial" w:hAnsi="Arial" w:cs="Arial"/>
        </w:rPr>
        <w:t xml:space="preserve"> y 2016-2017</w:t>
      </w:r>
      <w:r w:rsidRPr="00032997">
        <w:rPr>
          <w:rFonts w:ascii="Arial" w:hAnsi="Arial" w:cs="Arial"/>
        </w:rPr>
        <w:t xml:space="preserve"> tal como se aprecia en el gráfico</w:t>
      </w:r>
      <w:r w:rsidRPr="001E17CD">
        <w:rPr>
          <w:rFonts w:ascii="Arial" w:hAnsi="Arial" w:cs="Arial"/>
        </w:rPr>
        <w:t xml:space="preserve"> </w:t>
      </w:r>
      <w:r w:rsidRPr="00032997">
        <w:rPr>
          <w:rFonts w:ascii="Arial" w:hAnsi="Arial" w:cs="Arial"/>
        </w:rPr>
        <w:t>siguiente</w:t>
      </w:r>
      <w:r>
        <w:rPr>
          <w:rFonts w:ascii="Arial" w:hAnsi="Arial" w:cs="Arial"/>
        </w:rPr>
        <w:t>:</w:t>
      </w:r>
      <w:r w:rsidRPr="00032997">
        <w:rPr>
          <w:rFonts w:ascii="Arial" w:hAnsi="Arial" w:cs="Arial"/>
        </w:rPr>
        <w:t xml:space="preserve"> </w:t>
      </w:r>
    </w:p>
    <w:p w:rsidR="0037578E" w:rsidRPr="00B003FD" w:rsidRDefault="0037578E" w:rsidP="0037578E">
      <w:pPr>
        <w:spacing w:line="360" w:lineRule="auto"/>
        <w:jc w:val="both"/>
        <w:rPr>
          <w:rFonts w:ascii="Arial" w:hAnsi="Arial" w:cs="Arial"/>
          <w:highlight w:val="yellow"/>
        </w:rPr>
      </w:pPr>
    </w:p>
    <w:p w:rsidR="0037578E" w:rsidRPr="00B003FD" w:rsidRDefault="0037578E" w:rsidP="0037578E">
      <w:pPr>
        <w:spacing w:line="360" w:lineRule="auto"/>
        <w:jc w:val="both"/>
        <w:rPr>
          <w:rFonts w:ascii="Arial" w:hAnsi="Arial" w:cs="Arial"/>
          <w:highlight w:val="yellow"/>
        </w:rPr>
      </w:pPr>
      <w:r w:rsidRPr="00B003FD">
        <w:rPr>
          <w:rFonts w:ascii="Arial" w:hAnsi="Arial" w:cs="Arial"/>
          <w:noProof/>
          <w:highlight w:val="yellow"/>
          <w:lang w:val="es-MX" w:eastAsia="es-MX"/>
        </w:rPr>
        <w:lastRenderedPageBreak/>
        <mc:AlternateContent>
          <mc:Choice Requires="wps">
            <w:drawing>
              <wp:anchor distT="0" distB="0" distL="114300" distR="114300" simplePos="0" relativeHeight="251660288" behindDoc="0" locked="0" layoutInCell="1" allowOverlap="1" wp14:anchorId="3BEECA4C" wp14:editId="52D395DB">
                <wp:simplePos x="0" y="0"/>
                <wp:positionH relativeFrom="column">
                  <wp:posOffset>3823693</wp:posOffset>
                </wp:positionH>
                <wp:positionV relativeFrom="paragraph">
                  <wp:posOffset>1302772</wp:posOffset>
                </wp:positionV>
                <wp:extent cx="151075" cy="393009"/>
                <wp:effectExtent l="19050" t="0" r="20955" b="45720"/>
                <wp:wrapNone/>
                <wp:docPr id="2"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75" cy="393009"/>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4C4294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301.1pt;margin-top:102.6pt;width:11.9pt;height: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" adj="17448" fillcolor="#c00000" strokecolor="#c00000" strokeweight="1pt">
                <v:path arrowok="t"/>
              </v:shape>
            </w:pict>
          </mc:Fallback>
        </mc:AlternateContent>
      </w:r>
      <w:r>
        <w:rPr>
          <w:rFonts w:ascii="Arial" w:hAnsi="Arial" w:cs="Arial"/>
          <w:noProof/>
          <w:highlight w:val="yellow"/>
          <w:lang w:val="es-MX" w:eastAsia="es-MX"/>
        </w:rPr>
        <w:drawing>
          <wp:inline distT="0" distB="0" distL="0" distR="0" wp14:anchorId="1A28E101" wp14:editId="2D4CB32A">
            <wp:extent cx="5226024" cy="345086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1663" cy="3474399"/>
                    </a:xfrm>
                    <a:prstGeom prst="rect">
                      <a:avLst/>
                    </a:prstGeom>
                    <a:noFill/>
                  </pic:spPr>
                </pic:pic>
              </a:graphicData>
            </a:graphic>
          </wp:inline>
        </w:drawing>
      </w:r>
    </w:p>
    <w:p w:rsidR="0037578E" w:rsidRPr="00032997" w:rsidRDefault="0037578E" w:rsidP="0037578E">
      <w:pPr>
        <w:spacing w:line="360" w:lineRule="auto"/>
        <w:jc w:val="both"/>
        <w:rPr>
          <w:rFonts w:ascii="Arial" w:hAnsi="Arial" w:cs="Arial"/>
          <w:b/>
          <w:sz w:val="14"/>
        </w:rPr>
      </w:pPr>
      <w:r w:rsidRPr="00032997">
        <w:rPr>
          <w:rFonts w:ascii="Arial" w:hAnsi="Arial" w:cs="Arial"/>
          <w:b/>
          <w:sz w:val="14"/>
        </w:rPr>
        <w:t>Fuente: Elaboración propia DCGCH.</w:t>
      </w:r>
    </w:p>
    <w:p w:rsidR="0037578E" w:rsidRDefault="0037578E" w:rsidP="0037578E">
      <w:pPr>
        <w:spacing w:line="360" w:lineRule="auto"/>
        <w:jc w:val="both"/>
        <w:rPr>
          <w:rFonts w:ascii="Arial" w:hAnsi="Arial" w:cs="Arial"/>
          <w:highlight w:val="yellow"/>
        </w:rPr>
      </w:pPr>
    </w:p>
    <w:p w:rsidR="0037578E" w:rsidRPr="00BF54CF" w:rsidRDefault="0037578E" w:rsidP="0037578E">
      <w:pPr>
        <w:spacing w:line="360" w:lineRule="auto"/>
        <w:jc w:val="both"/>
        <w:rPr>
          <w:rFonts w:ascii="Arial" w:hAnsi="Arial" w:cs="Arial"/>
        </w:rPr>
      </w:pPr>
      <w:r w:rsidRPr="00BF54CF">
        <w:rPr>
          <w:rFonts w:ascii="Arial" w:hAnsi="Arial" w:cs="Arial"/>
        </w:rPr>
        <w:t xml:space="preserve">Para el ejercicio </w:t>
      </w:r>
      <w:r>
        <w:rPr>
          <w:rFonts w:ascii="Arial" w:hAnsi="Arial" w:cs="Arial"/>
        </w:rPr>
        <w:t xml:space="preserve">fiscal </w:t>
      </w:r>
      <w:r w:rsidRPr="00BF54CF">
        <w:rPr>
          <w:rFonts w:ascii="Arial" w:hAnsi="Arial" w:cs="Arial"/>
        </w:rPr>
        <w:t>2019, se prevé una variación del 4.16% en las participaciones federales, respecto de las cifras autorizadas en la Ley de Ingresos del Estado del ejercicio fiscal 2018</w:t>
      </w:r>
      <w:r>
        <w:rPr>
          <w:rFonts w:ascii="Arial" w:hAnsi="Arial" w:cs="Arial"/>
        </w:rPr>
        <w:t>, tal y como se muestra en la gráfica siguiente:</w:t>
      </w:r>
    </w:p>
    <w:p w:rsidR="0037578E" w:rsidRPr="00B003FD" w:rsidRDefault="007A5775" w:rsidP="0037578E">
      <w:pPr>
        <w:spacing w:line="360" w:lineRule="auto"/>
        <w:jc w:val="center"/>
        <w:rPr>
          <w:rFonts w:ascii="Arial" w:hAnsi="Arial" w:cs="Arial"/>
          <w:highlight w:val="yellow"/>
        </w:rPr>
      </w:pPr>
      <w:r>
        <w:rPr>
          <w:rFonts w:ascii="Arial" w:hAnsi="Arial" w:cs="Arial"/>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3051943</wp:posOffset>
                </wp:positionH>
                <wp:positionV relativeFrom="paragraph">
                  <wp:posOffset>745082</wp:posOffset>
                </wp:positionV>
                <wp:extent cx="532262" cy="238836"/>
                <wp:effectExtent l="0" t="0" r="1270" b="8890"/>
                <wp:wrapNone/>
                <wp:docPr id="42" name="Cuadro de texto 42"/>
                <wp:cNvGraphicFramePr/>
                <a:graphic xmlns:a="http://schemas.openxmlformats.org/drawingml/2006/main">
                  <a:graphicData uri="http://schemas.microsoft.com/office/word/2010/wordprocessingShape">
                    <wps:wsp>
                      <wps:cNvSpPr txBox="1"/>
                      <wps:spPr>
                        <a:xfrm>
                          <a:off x="0" y="0"/>
                          <a:ext cx="532262" cy="238836"/>
                        </a:xfrm>
                        <a:prstGeom prst="rect">
                          <a:avLst/>
                        </a:prstGeom>
                        <a:solidFill>
                          <a:schemeClr val="lt1"/>
                        </a:solidFill>
                        <a:ln w="6350">
                          <a:noFill/>
                        </a:ln>
                      </wps:spPr>
                      <wps:txbx>
                        <w:txbxContent>
                          <w:p w:rsidR="007A5775" w:rsidRPr="007A5775" w:rsidRDefault="007A5775">
                            <w:pPr>
                              <w:rPr>
                                <w:rFonts w:ascii="Arial" w:hAnsi="Arial" w:cs="Arial"/>
                                <w:b/>
                                <w:sz w:val="18"/>
                              </w:rPr>
                            </w:pPr>
                            <w:r w:rsidRPr="007A5775">
                              <w:rPr>
                                <w:rFonts w:ascii="Arial" w:hAnsi="Arial" w:cs="Arial"/>
                                <w:b/>
                                <w:sz w:val="18"/>
                              </w:rPr>
                              <w:t>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id="Cuadro de texto 42" o:spid="_x0000_s1027" type="#_x0000_t202" style="position:absolute;left:0;text-align:left;margin-left:240.3pt;margin-top:58.65pt;width:41.9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" fillcolor="white [3201]" stroked="f" strokeweight=".5pt">
                <v:textbox>
                  <w:txbxContent>
                    <w:p w:rsidR="007A5775" w:rsidRPr="007A5775" w:rsidRDefault="007A5775">
                      <w:pPr>
                        <w:rPr>
                          <w:rFonts w:ascii="Arial" w:hAnsi="Arial" w:cs="Arial"/>
                          <w:b/>
                          <w:sz w:val="18"/>
                        </w:rPr>
                      </w:pPr>
                      <w:r w:rsidRPr="007A5775">
                        <w:rPr>
                          <w:rFonts w:ascii="Arial" w:hAnsi="Arial" w:cs="Arial"/>
                          <w:b/>
                          <w:sz w:val="18"/>
                        </w:rPr>
                        <w:t>2.48%</w:t>
                      </w:r>
                    </w:p>
                  </w:txbxContent>
                </v:textbox>
              </v:shape>
            </w:pict>
          </mc:Fallback>
        </mc:AlternateContent>
      </w:r>
      <w:r w:rsidR="0037578E">
        <w:rPr>
          <w:rFonts w:ascii="Arial" w:hAnsi="Arial" w:cs="Arial"/>
          <w:noProof/>
          <w:highlight w:val="yellow"/>
          <w:lang w:val="es-MX" w:eastAsia="es-MX"/>
        </w:rPr>
        <w:drawing>
          <wp:inline distT="0" distB="0" distL="0" distR="0" wp14:anchorId="728216E4" wp14:editId="03B5115B">
            <wp:extent cx="4762500" cy="28860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5508" cy="2900018"/>
                    </a:xfrm>
                    <a:prstGeom prst="rect">
                      <a:avLst/>
                    </a:prstGeom>
                    <a:noFill/>
                  </pic:spPr>
                </pic:pic>
              </a:graphicData>
            </a:graphic>
          </wp:inline>
        </w:drawing>
      </w:r>
    </w:p>
    <w:p w:rsidR="0037578E" w:rsidRPr="00BF54CF" w:rsidRDefault="0037578E" w:rsidP="0037578E">
      <w:pPr>
        <w:spacing w:line="360" w:lineRule="auto"/>
        <w:jc w:val="both"/>
        <w:rPr>
          <w:rFonts w:ascii="Arial" w:hAnsi="Arial" w:cs="Arial"/>
          <w:b/>
          <w:sz w:val="14"/>
        </w:rPr>
      </w:pPr>
      <w:r w:rsidRPr="00BF54CF">
        <w:rPr>
          <w:rFonts w:ascii="Arial" w:hAnsi="Arial" w:cs="Arial"/>
          <w:b/>
          <w:sz w:val="14"/>
        </w:rPr>
        <w:t>Fuente: Elaboración propia DCGCH.</w:t>
      </w:r>
    </w:p>
    <w:p w:rsidR="00F3036F" w:rsidRDefault="00F3036F" w:rsidP="0037578E">
      <w:pPr>
        <w:spacing w:line="360" w:lineRule="auto"/>
        <w:jc w:val="both"/>
        <w:rPr>
          <w:rFonts w:ascii="Arial" w:hAnsi="Arial" w:cs="Arial"/>
        </w:rPr>
      </w:pPr>
    </w:p>
    <w:p w:rsidR="0037578E" w:rsidRPr="00BF54CF" w:rsidRDefault="0037578E" w:rsidP="0037578E">
      <w:pPr>
        <w:spacing w:line="360" w:lineRule="auto"/>
        <w:jc w:val="both"/>
        <w:rPr>
          <w:rFonts w:ascii="Arial" w:hAnsi="Arial" w:cs="Arial"/>
        </w:rPr>
      </w:pPr>
      <w:r w:rsidRPr="00BF54CF">
        <w:rPr>
          <w:rFonts w:ascii="Arial" w:hAnsi="Arial" w:cs="Arial"/>
        </w:rPr>
        <w:t xml:space="preserve">En el caso de las aportaciones federales, </w:t>
      </w:r>
      <w:r>
        <w:rPr>
          <w:rFonts w:ascii="Arial" w:hAnsi="Arial" w:cs="Arial"/>
        </w:rPr>
        <w:t xml:space="preserve">se espera un comportamiento </w:t>
      </w:r>
      <w:r w:rsidRPr="00BF54CF">
        <w:rPr>
          <w:rFonts w:ascii="Arial" w:hAnsi="Arial" w:cs="Arial"/>
        </w:rPr>
        <w:t xml:space="preserve">al alza, dado que son recursos etiquetados, </w:t>
      </w:r>
      <w:r>
        <w:rPr>
          <w:rFonts w:ascii="Arial" w:hAnsi="Arial" w:cs="Arial"/>
        </w:rPr>
        <w:t xml:space="preserve">se estima </w:t>
      </w:r>
      <w:r w:rsidRPr="00BF54CF">
        <w:rPr>
          <w:rFonts w:ascii="Arial" w:hAnsi="Arial" w:cs="Arial"/>
        </w:rPr>
        <w:t xml:space="preserve">una variación positiva del </w:t>
      </w:r>
      <w:r>
        <w:rPr>
          <w:rFonts w:ascii="Arial" w:hAnsi="Arial" w:cs="Arial"/>
        </w:rPr>
        <w:t>2</w:t>
      </w:r>
      <w:r w:rsidRPr="00BF54CF">
        <w:rPr>
          <w:rFonts w:ascii="Arial" w:hAnsi="Arial" w:cs="Arial"/>
        </w:rPr>
        <w:t>.</w:t>
      </w:r>
      <w:r>
        <w:rPr>
          <w:rFonts w:ascii="Arial" w:hAnsi="Arial" w:cs="Arial"/>
        </w:rPr>
        <w:t>98</w:t>
      </w:r>
      <w:r w:rsidRPr="00BF54CF">
        <w:rPr>
          <w:rFonts w:ascii="Arial" w:hAnsi="Arial" w:cs="Arial"/>
        </w:rPr>
        <w:t xml:space="preserve">% </w:t>
      </w:r>
      <w:r>
        <w:rPr>
          <w:rFonts w:ascii="Arial" w:hAnsi="Arial" w:cs="Arial"/>
        </w:rPr>
        <w:t xml:space="preserve">con relación a las cifras aprobadas en el ejercicio fiscal 2018, como se ejemplifica a continuación: </w:t>
      </w:r>
    </w:p>
    <w:p w:rsidR="0037578E" w:rsidRPr="00B003FD" w:rsidRDefault="0037578E" w:rsidP="0037578E">
      <w:pPr>
        <w:spacing w:line="360" w:lineRule="auto"/>
        <w:jc w:val="center"/>
        <w:rPr>
          <w:highlight w:val="yellow"/>
        </w:rPr>
      </w:pPr>
      <w:r>
        <w:rPr>
          <w:noProof/>
          <w:highlight w:val="yellow"/>
          <w:lang w:val="es-MX" w:eastAsia="es-MX"/>
        </w:rPr>
        <w:lastRenderedPageBreak/>
        <w:drawing>
          <wp:inline distT="0" distB="0" distL="0" distR="0" wp14:anchorId="54679285" wp14:editId="246CD694">
            <wp:extent cx="5031105" cy="27908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4418" cy="2814851"/>
                    </a:xfrm>
                    <a:prstGeom prst="rect">
                      <a:avLst/>
                    </a:prstGeom>
                    <a:noFill/>
                  </pic:spPr>
                </pic:pic>
              </a:graphicData>
            </a:graphic>
          </wp:inline>
        </w:drawing>
      </w:r>
    </w:p>
    <w:p w:rsidR="0037578E" w:rsidRPr="004A6EF1" w:rsidRDefault="0037578E" w:rsidP="0037578E">
      <w:pPr>
        <w:spacing w:line="360" w:lineRule="auto"/>
        <w:jc w:val="both"/>
        <w:rPr>
          <w:rFonts w:ascii="Arial" w:hAnsi="Arial" w:cs="Arial"/>
          <w:b/>
          <w:sz w:val="14"/>
        </w:rPr>
      </w:pPr>
      <w:r w:rsidRPr="004A6EF1">
        <w:rPr>
          <w:rFonts w:ascii="Arial" w:hAnsi="Arial" w:cs="Arial"/>
          <w:b/>
          <w:sz w:val="14"/>
        </w:rPr>
        <w:t>Fuente: Elaboración propia DCGCH.</w:t>
      </w:r>
    </w:p>
    <w:p w:rsidR="0037578E" w:rsidRDefault="0037578E" w:rsidP="0037578E">
      <w:pPr>
        <w:spacing w:line="360" w:lineRule="auto"/>
        <w:jc w:val="both"/>
        <w:rPr>
          <w:rFonts w:ascii="Arial" w:hAnsi="Arial" w:cs="Arial"/>
          <w:highlight w:val="yellow"/>
        </w:rPr>
      </w:pPr>
    </w:p>
    <w:p w:rsidR="0037578E" w:rsidRDefault="0037578E" w:rsidP="0037578E">
      <w:pPr>
        <w:spacing w:line="360" w:lineRule="auto"/>
        <w:jc w:val="both"/>
        <w:rPr>
          <w:rFonts w:ascii="Arial" w:hAnsi="Arial" w:cs="Arial"/>
        </w:rPr>
      </w:pPr>
      <w:r w:rsidRPr="004A6EF1">
        <w:rPr>
          <w:rFonts w:ascii="Arial" w:hAnsi="Arial" w:cs="Arial"/>
        </w:rPr>
        <w:t xml:space="preserve">Para el ejercicio fiscal 2019, se prevé obtener un total de ingresos para el Estado de Tlaxcala </w:t>
      </w:r>
      <w:r w:rsidRPr="00EB2EF3">
        <w:rPr>
          <w:rFonts w:ascii="Arial" w:hAnsi="Arial" w:cs="Arial"/>
        </w:rPr>
        <w:t>por $18,705,109,588.91 provenientes</w:t>
      </w:r>
      <w:r w:rsidRPr="004A6EF1">
        <w:rPr>
          <w:rFonts w:ascii="Arial" w:hAnsi="Arial" w:cs="Arial"/>
        </w:rPr>
        <w:t xml:space="preserve"> de fuentes locales, participaciones e incentivos económicos, aportaciones federales, convenios suscritos con el Gobierno Federal y extraordinarios, lo que representa una variación positiva del </w:t>
      </w:r>
      <w:r>
        <w:rPr>
          <w:rFonts w:ascii="Arial" w:hAnsi="Arial" w:cs="Arial"/>
        </w:rPr>
        <w:t>3</w:t>
      </w:r>
      <w:r w:rsidRPr="004A6EF1">
        <w:rPr>
          <w:rFonts w:ascii="Arial" w:hAnsi="Arial" w:cs="Arial"/>
        </w:rPr>
        <w:t>.</w:t>
      </w:r>
      <w:r>
        <w:rPr>
          <w:rFonts w:ascii="Arial" w:hAnsi="Arial" w:cs="Arial"/>
        </w:rPr>
        <w:t>1</w:t>
      </w:r>
      <w:r w:rsidRPr="004A6EF1">
        <w:rPr>
          <w:rFonts w:ascii="Arial" w:hAnsi="Arial" w:cs="Arial"/>
        </w:rPr>
        <w:t xml:space="preserve">4% respecto de las cifras autorizadas en la Ley de Ingresos para </w:t>
      </w:r>
      <w:r>
        <w:rPr>
          <w:rFonts w:ascii="Arial" w:hAnsi="Arial" w:cs="Arial"/>
        </w:rPr>
        <w:t xml:space="preserve">el ejercicio fiscal </w:t>
      </w:r>
      <w:r w:rsidRPr="004A6EF1">
        <w:rPr>
          <w:rFonts w:ascii="Arial" w:hAnsi="Arial" w:cs="Arial"/>
        </w:rPr>
        <w:t>2018</w:t>
      </w:r>
      <w:r>
        <w:rPr>
          <w:rFonts w:ascii="Arial" w:hAnsi="Arial" w:cs="Arial"/>
        </w:rPr>
        <w:t>, tal y como se observa en la gráfica siguiente:</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noProof/>
          <w:lang w:val="es-MX" w:eastAsia="es-MX"/>
        </w:rPr>
        <w:lastRenderedPageBreak/>
        <w:drawing>
          <wp:inline distT="0" distB="0" distL="0" distR="0" wp14:anchorId="7E70B292" wp14:editId="447F7DD4">
            <wp:extent cx="5099768" cy="2767451"/>
            <wp:effectExtent l="0" t="0" r="571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6332" cy="2787293"/>
                    </a:xfrm>
                    <a:prstGeom prst="rect">
                      <a:avLst/>
                    </a:prstGeom>
                    <a:noFill/>
                  </pic:spPr>
                </pic:pic>
              </a:graphicData>
            </a:graphic>
          </wp:inline>
        </w:drawing>
      </w:r>
    </w:p>
    <w:p w:rsidR="0037578E" w:rsidRPr="00F7394D" w:rsidRDefault="0037578E" w:rsidP="0037578E">
      <w:pPr>
        <w:spacing w:line="360" w:lineRule="auto"/>
        <w:jc w:val="both"/>
        <w:rPr>
          <w:rFonts w:ascii="Arial" w:hAnsi="Arial" w:cs="Arial"/>
          <w:b/>
          <w:sz w:val="14"/>
        </w:rPr>
      </w:pPr>
      <w:r w:rsidRPr="00F7394D">
        <w:rPr>
          <w:rFonts w:ascii="Arial" w:hAnsi="Arial" w:cs="Arial"/>
          <w:b/>
          <w:sz w:val="14"/>
        </w:rPr>
        <w:t>Fuente: Elaboración propia DCGCH</w:t>
      </w:r>
      <w:r>
        <w:rPr>
          <w:rFonts w:ascii="Arial" w:hAnsi="Arial" w:cs="Arial"/>
          <w:b/>
          <w:sz w:val="14"/>
        </w:rPr>
        <w:t>.</w:t>
      </w:r>
    </w:p>
    <w:p w:rsidR="0037578E" w:rsidRDefault="0037578E" w:rsidP="0037578E">
      <w:pPr>
        <w:spacing w:line="360" w:lineRule="auto"/>
        <w:jc w:val="both"/>
        <w:rPr>
          <w:rFonts w:ascii="Arial" w:hAnsi="Arial" w:cs="Arial"/>
        </w:rPr>
      </w:pPr>
    </w:p>
    <w:p w:rsidR="0037578E" w:rsidRDefault="0037578E" w:rsidP="00EB2EF3">
      <w:pPr>
        <w:spacing w:line="360" w:lineRule="auto"/>
        <w:jc w:val="both"/>
        <w:rPr>
          <w:rFonts w:ascii="Arial" w:hAnsi="Arial" w:cs="Arial"/>
          <w:b/>
          <w:bCs/>
        </w:rPr>
      </w:pPr>
      <w:r>
        <w:rPr>
          <w:rFonts w:ascii="Arial" w:hAnsi="Arial" w:cs="Arial"/>
          <w:b/>
          <w:bCs/>
        </w:rPr>
        <w:t>PERSPECTIVAS ECONÓMICAS Y FISCALES DEL ESTADO DE TLAXCALA 2019-2024.</w:t>
      </w:r>
    </w:p>
    <w:p w:rsidR="0037578E" w:rsidRDefault="0037578E" w:rsidP="0037578E">
      <w:pPr>
        <w:spacing w:line="360" w:lineRule="auto"/>
        <w:jc w:val="both"/>
        <w:rPr>
          <w:rFonts w:ascii="Arial" w:hAnsi="Arial" w:cs="Arial"/>
        </w:rPr>
      </w:pPr>
    </w:p>
    <w:p w:rsidR="0037578E" w:rsidRPr="00EF3880" w:rsidRDefault="0037578E" w:rsidP="0037578E">
      <w:pPr>
        <w:spacing w:line="360" w:lineRule="auto"/>
        <w:jc w:val="both"/>
        <w:rPr>
          <w:rFonts w:ascii="Arial" w:hAnsi="Arial" w:cs="Arial"/>
        </w:rPr>
      </w:pPr>
      <w:r>
        <w:rPr>
          <w:rFonts w:ascii="Arial" w:hAnsi="Arial" w:cs="Arial"/>
        </w:rPr>
        <w:t xml:space="preserve">El Paquete Económico Estatal para el ejercicio fiscal 2019 puesto a consideración del Congreso del Estado, </w:t>
      </w:r>
      <w:r w:rsidRPr="00EF3880">
        <w:rPr>
          <w:rFonts w:ascii="Arial" w:hAnsi="Arial" w:cs="Arial"/>
        </w:rPr>
        <w:t>refleja el compromiso del Ejecutivo de manej</w:t>
      </w:r>
      <w:r>
        <w:rPr>
          <w:rFonts w:ascii="Arial" w:hAnsi="Arial" w:cs="Arial"/>
        </w:rPr>
        <w:t>ar con</w:t>
      </w:r>
      <w:r w:rsidRPr="00EF3880">
        <w:rPr>
          <w:rFonts w:ascii="Arial" w:hAnsi="Arial" w:cs="Arial"/>
        </w:rPr>
        <w:t xml:space="preserve"> responsab</w:t>
      </w:r>
      <w:r>
        <w:rPr>
          <w:rFonts w:ascii="Arial" w:hAnsi="Arial" w:cs="Arial"/>
        </w:rPr>
        <w:t>ilidad</w:t>
      </w:r>
      <w:r w:rsidRPr="00EF3880">
        <w:rPr>
          <w:rFonts w:ascii="Arial" w:hAnsi="Arial" w:cs="Arial"/>
        </w:rPr>
        <w:t xml:space="preserve"> las finanzas públicas</w:t>
      </w:r>
      <w:r>
        <w:rPr>
          <w:rFonts w:ascii="Arial" w:hAnsi="Arial" w:cs="Arial"/>
        </w:rPr>
        <w:t>,</w:t>
      </w:r>
      <w:r w:rsidRPr="00EF3880">
        <w:rPr>
          <w:rFonts w:ascii="Arial" w:hAnsi="Arial" w:cs="Arial"/>
        </w:rPr>
        <w:t xml:space="preserve"> promov</w:t>
      </w:r>
      <w:r>
        <w:rPr>
          <w:rFonts w:ascii="Arial" w:hAnsi="Arial" w:cs="Arial"/>
        </w:rPr>
        <w:t>iendo</w:t>
      </w:r>
      <w:r w:rsidRPr="00EF3880">
        <w:rPr>
          <w:rFonts w:ascii="Arial" w:hAnsi="Arial" w:cs="Arial"/>
        </w:rPr>
        <w:t xml:space="preserve"> la estabilidad económica.</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161E0F">
        <w:rPr>
          <w:rFonts w:ascii="Arial" w:hAnsi="Arial" w:cs="Arial"/>
        </w:rPr>
        <w:t>El compromiso por la transparencia y rendici</w:t>
      </w:r>
      <w:r w:rsidRPr="00161E0F">
        <w:rPr>
          <w:rFonts w:ascii="Arial" w:hAnsi="Arial" w:cs="Arial" w:hint="eastAsia"/>
        </w:rPr>
        <w:t>ó</w:t>
      </w:r>
      <w:r w:rsidRPr="00161E0F">
        <w:rPr>
          <w:rFonts w:ascii="Arial" w:hAnsi="Arial" w:cs="Arial"/>
        </w:rPr>
        <w:t xml:space="preserve">n de cuentas </w:t>
      </w:r>
      <w:r>
        <w:rPr>
          <w:rFonts w:ascii="Arial" w:hAnsi="Arial" w:cs="Arial"/>
        </w:rPr>
        <w:t xml:space="preserve">con la ciudadanía, </w:t>
      </w:r>
      <w:r w:rsidRPr="00161E0F">
        <w:rPr>
          <w:rFonts w:ascii="Arial" w:hAnsi="Arial" w:cs="Arial"/>
        </w:rPr>
        <w:t>se refuerza con la reciente</w:t>
      </w:r>
      <w:r>
        <w:rPr>
          <w:rFonts w:ascii="Arial" w:hAnsi="Arial" w:cs="Arial"/>
        </w:rPr>
        <w:t xml:space="preserve"> </w:t>
      </w:r>
      <w:r w:rsidRPr="00161E0F">
        <w:rPr>
          <w:rFonts w:ascii="Arial" w:hAnsi="Arial" w:cs="Arial"/>
        </w:rPr>
        <w:t>aprobaci</w:t>
      </w:r>
      <w:r w:rsidRPr="00161E0F">
        <w:rPr>
          <w:rFonts w:ascii="Arial" w:hAnsi="Arial" w:cs="Arial" w:hint="eastAsia"/>
        </w:rPr>
        <w:t>ó</w:t>
      </w:r>
      <w:r w:rsidRPr="00161E0F">
        <w:rPr>
          <w:rFonts w:ascii="Arial" w:hAnsi="Arial" w:cs="Arial"/>
        </w:rPr>
        <w:t xml:space="preserve">n por este Congreso Local, de la </w:t>
      </w:r>
      <w:r>
        <w:rPr>
          <w:rFonts w:ascii="Arial" w:hAnsi="Arial" w:cs="Arial"/>
        </w:rPr>
        <w:t>iniciativa</w:t>
      </w:r>
      <w:r w:rsidRPr="00161E0F">
        <w:rPr>
          <w:rFonts w:ascii="Arial" w:hAnsi="Arial" w:cs="Arial"/>
        </w:rPr>
        <w:t xml:space="preserve"> para la instauraci</w:t>
      </w:r>
      <w:r w:rsidRPr="00161E0F">
        <w:rPr>
          <w:rFonts w:ascii="Arial" w:hAnsi="Arial" w:cs="Arial" w:hint="eastAsia"/>
        </w:rPr>
        <w:t>ó</w:t>
      </w:r>
      <w:r w:rsidRPr="00161E0F">
        <w:rPr>
          <w:rFonts w:ascii="Arial" w:hAnsi="Arial" w:cs="Arial"/>
        </w:rPr>
        <w:t>n del Sistema Estatal Anticorrupci</w:t>
      </w:r>
      <w:r w:rsidRPr="00161E0F">
        <w:rPr>
          <w:rFonts w:ascii="Arial" w:hAnsi="Arial" w:cs="Arial" w:hint="eastAsia"/>
        </w:rPr>
        <w:t>ó</w:t>
      </w:r>
      <w:r w:rsidRPr="00161E0F">
        <w:rPr>
          <w:rFonts w:ascii="Arial" w:hAnsi="Arial" w:cs="Arial"/>
        </w:rPr>
        <w:t>n, aplicable al Estado y</w:t>
      </w:r>
      <w:r>
        <w:rPr>
          <w:rFonts w:ascii="Arial" w:hAnsi="Arial" w:cs="Arial"/>
        </w:rPr>
        <w:t xml:space="preserve"> </w:t>
      </w:r>
      <w:r w:rsidRPr="00161E0F">
        <w:rPr>
          <w:rFonts w:ascii="Arial" w:hAnsi="Arial" w:cs="Arial"/>
        </w:rPr>
        <w:t xml:space="preserve">los municipios, </w:t>
      </w:r>
      <w:r>
        <w:rPr>
          <w:rFonts w:ascii="Arial" w:hAnsi="Arial" w:cs="Arial"/>
        </w:rPr>
        <w:t>el cual</w:t>
      </w:r>
      <w:r w:rsidRPr="00161E0F">
        <w:rPr>
          <w:rFonts w:ascii="Arial" w:hAnsi="Arial" w:cs="Arial"/>
        </w:rPr>
        <w:t xml:space="preserve"> fija las bases para la fiscalizaci</w:t>
      </w:r>
      <w:r w:rsidRPr="00161E0F">
        <w:rPr>
          <w:rFonts w:ascii="Arial" w:hAnsi="Arial" w:cs="Arial" w:hint="eastAsia"/>
        </w:rPr>
        <w:t>ó</w:t>
      </w:r>
      <w:r w:rsidRPr="00161E0F">
        <w:rPr>
          <w:rFonts w:ascii="Arial" w:hAnsi="Arial" w:cs="Arial"/>
        </w:rPr>
        <w:t xml:space="preserve">n y control de </w:t>
      </w:r>
      <w:r w:rsidRPr="00161E0F">
        <w:rPr>
          <w:rFonts w:ascii="Arial" w:hAnsi="Arial" w:cs="Arial"/>
        </w:rPr>
        <w:lastRenderedPageBreak/>
        <w:t>los recursos</w:t>
      </w:r>
      <w:r>
        <w:rPr>
          <w:rFonts w:ascii="Arial" w:hAnsi="Arial" w:cs="Arial"/>
        </w:rPr>
        <w:t xml:space="preserve"> </w:t>
      </w:r>
      <w:r w:rsidRPr="00161E0F">
        <w:rPr>
          <w:rFonts w:ascii="Arial" w:hAnsi="Arial" w:cs="Arial"/>
        </w:rPr>
        <w:t>p</w:t>
      </w:r>
      <w:r w:rsidRPr="00161E0F">
        <w:rPr>
          <w:rFonts w:ascii="Arial" w:hAnsi="Arial" w:cs="Arial" w:hint="eastAsia"/>
        </w:rPr>
        <w:t>ú</w:t>
      </w:r>
      <w:r w:rsidRPr="00161E0F">
        <w:rPr>
          <w:rFonts w:ascii="Arial" w:hAnsi="Arial" w:cs="Arial"/>
        </w:rPr>
        <w:t>blicos, y que</w:t>
      </w:r>
      <w:r>
        <w:rPr>
          <w:rFonts w:ascii="Arial" w:hAnsi="Arial" w:cs="Arial"/>
        </w:rPr>
        <w:t xml:space="preserve"> involucra activamente</w:t>
      </w:r>
      <w:r w:rsidRPr="00161E0F">
        <w:rPr>
          <w:rFonts w:ascii="Arial" w:hAnsi="Arial" w:cs="Arial"/>
        </w:rPr>
        <w:t xml:space="preserve"> a la sociedad civil al integrar </w:t>
      </w:r>
      <w:r>
        <w:rPr>
          <w:rFonts w:ascii="Arial" w:hAnsi="Arial" w:cs="Arial"/>
        </w:rPr>
        <w:t>e</w:t>
      </w:r>
      <w:r w:rsidRPr="00161E0F">
        <w:rPr>
          <w:rFonts w:ascii="Arial" w:hAnsi="Arial" w:cs="Arial"/>
        </w:rPr>
        <w:t>l Comit</w:t>
      </w:r>
      <w:r w:rsidRPr="00161E0F">
        <w:rPr>
          <w:rFonts w:ascii="Arial" w:hAnsi="Arial" w:cs="Arial" w:hint="eastAsia"/>
        </w:rPr>
        <w:t>é</w:t>
      </w:r>
      <w:r w:rsidRPr="00161E0F">
        <w:rPr>
          <w:rFonts w:ascii="Arial" w:hAnsi="Arial" w:cs="Arial"/>
        </w:rPr>
        <w:t xml:space="preserve"> de</w:t>
      </w:r>
      <w:r>
        <w:rPr>
          <w:rFonts w:ascii="Arial" w:hAnsi="Arial" w:cs="Arial"/>
        </w:rPr>
        <w:t xml:space="preserve"> </w:t>
      </w:r>
      <w:r w:rsidRPr="00161E0F">
        <w:rPr>
          <w:rFonts w:ascii="Arial" w:hAnsi="Arial" w:cs="Arial"/>
        </w:rPr>
        <w:t>Participaci</w:t>
      </w:r>
      <w:r w:rsidRPr="00161E0F">
        <w:rPr>
          <w:rFonts w:ascii="Arial" w:hAnsi="Arial" w:cs="Arial" w:hint="eastAsia"/>
        </w:rPr>
        <w:t>ó</w:t>
      </w:r>
      <w:r w:rsidRPr="00161E0F">
        <w:rPr>
          <w:rFonts w:ascii="Arial" w:hAnsi="Arial" w:cs="Arial"/>
        </w:rPr>
        <w:t>n Ciudadana.</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Por lo anterior, y con la finalidad de seguir</w:t>
      </w:r>
      <w:r w:rsidRPr="00EF3880">
        <w:rPr>
          <w:rFonts w:ascii="Arial" w:hAnsi="Arial" w:cs="Arial"/>
        </w:rPr>
        <w:t xml:space="preserve"> </w:t>
      </w:r>
      <w:r>
        <w:rPr>
          <w:rFonts w:ascii="Arial" w:hAnsi="Arial" w:cs="Arial"/>
        </w:rPr>
        <w:t>en</w:t>
      </w:r>
      <w:r w:rsidRPr="00EF3880">
        <w:rPr>
          <w:rFonts w:ascii="Arial" w:hAnsi="Arial" w:cs="Arial"/>
        </w:rPr>
        <w:t xml:space="preserve"> la trayectoria de consolidación fiscal, el </w:t>
      </w:r>
      <w:r>
        <w:rPr>
          <w:rFonts w:ascii="Arial" w:hAnsi="Arial" w:cs="Arial"/>
        </w:rPr>
        <w:t xml:space="preserve">Gobierno del Estado propone la aplicación de acciones que permitan generar ahorros </w:t>
      </w:r>
      <w:r w:rsidRPr="00EF3880">
        <w:rPr>
          <w:rFonts w:ascii="Arial" w:hAnsi="Arial" w:cs="Arial"/>
        </w:rPr>
        <w:t>en el gasto público</w:t>
      </w:r>
      <w:r>
        <w:rPr>
          <w:rFonts w:ascii="Arial" w:hAnsi="Arial" w:cs="Arial"/>
        </w:rPr>
        <w:t>, tales como: la contención del gasto en servicios personales, la reducción en gastos comerciales y el uso adecuado de materiales y suministros, entre otros</w:t>
      </w:r>
      <w:r w:rsidRPr="00EF3880">
        <w:rPr>
          <w:rFonts w:ascii="Arial" w:hAnsi="Arial" w:cs="Arial"/>
        </w:rPr>
        <w:t>.</w:t>
      </w:r>
    </w:p>
    <w:p w:rsidR="0037578E" w:rsidRPr="00EF3880"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0B6BAE">
        <w:rPr>
          <w:rFonts w:ascii="Arial" w:hAnsi="Arial" w:cs="Arial"/>
        </w:rPr>
        <w:t>Para 2018 y 2019, se estima que el crecimiento económico mejore respecto a 2017, impulsado por la demanda externa y el dinamismo del mercado interno. Por el lado del</w:t>
      </w:r>
      <w:r>
        <w:rPr>
          <w:rFonts w:ascii="Arial" w:hAnsi="Arial" w:cs="Arial"/>
        </w:rPr>
        <w:t xml:space="preserve"> </w:t>
      </w:r>
      <w:r w:rsidRPr="000B6BAE">
        <w:rPr>
          <w:rFonts w:ascii="Arial" w:hAnsi="Arial" w:cs="Arial"/>
        </w:rPr>
        <w:t>sector externo, se estima que las exportaciones continúen con un desempeño positivo,</w:t>
      </w:r>
      <w:r>
        <w:rPr>
          <w:rFonts w:ascii="Arial" w:hAnsi="Arial" w:cs="Arial"/>
        </w:rPr>
        <w:t xml:space="preserve"> </w:t>
      </w:r>
      <w:r w:rsidRPr="000B6BAE">
        <w:rPr>
          <w:rFonts w:ascii="Arial" w:hAnsi="Arial" w:cs="Arial"/>
        </w:rPr>
        <w:t>consistente con una mejora en la producción industrial de E</w:t>
      </w:r>
      <w:r>
        <w:rPr>
          <w:rFonts w:ascii="Arial" w:hAnsi="Arial" w:cs="Arial"/>
        </w:rPr>
        <w:t xml:space="preserve">stados </w:t>
      </w:r>
      <w:r w:rsidRPr="000B6BAE">
        <w:rPr>
          <w:rFonts w:ascii="Arial" w:hAnsi="Arial" w:cs="Arial"/>
        </w:rPr>
        <w:t>U</w:t>
      </w:r>
      <w:r>
        <w:rPr>
          <w:rFonts w:ascii="Arial" w:hAnsi="Arial" w:cs="Arial"/>
        </w:rPr>
        <w:t>nidos</w:t>
      </w:r>
      <w:r w:rsidRPr="000B6BAE">
        <w:rPr>
          <w:rFonts w:ascii="Arial" w:hAnsi="Arial" w:cs="Arial"/>
        </w:rPr>
        <w:t>. Por otro lado, se prevé</w:t>
      </w:r>
      <w:r>
        <w:rPr>
          <w:rFonts w:ascii="Arial" w:hAnsi="Arial" w:cs="Arial"/>
        </w:rPr>
        <w:t xml:space="preserve"> </w:t>
      </w:r>
      <w:r w:rsidRPr="000B6BAE">
        <w:rPr>
          <w:rFonts w:ascii="Arial" w:hAnsi="Arial" w:cs="Arial"/>
        </w:rPr>
        <w:t>un mercado interno impulsado por el consumo privado. Asimismo, se pronostica que la</w:t>
      </w:r>
      <w:r>
        <w:rPr>
          <w:rFonts w:ascii="Arial" w:hAnsi="Arial" w:cs="Arial"/>
        </w:rPr>
        <w:t xml:space="preserve"> </w:t>
      </w:r>
      <w:r w:rsidRPr="000B6BAE">
        <w:rPr>
          <w:rFonts w:ascii="Arial" w:hAnsi="Arial" w:cs="Arial"/>
        </w:rPr>
        <w:t>plataforma de producción petrolera deje de tener un impacto negativo sobre el</w:t>
      </w:r>
      <w:r>
        <w:rPr>
          <w:rFonts w:ascii="Arial" w:hAnsi="Arial" w:cs="Arial"/>
        </w:rPr>
        <w:t xml:space="preserve"> </w:t>
      </w:r>
      <w:r w:rsidRPr="000B6BAE">
        <w:rPr>
          <w:rFonts w:ascii="Arial" w:hAnsi="Arial" w:cs="Arial"/>
        </w:rPr>
        <w:t>crecimiento económico. Por último, se espera que la inflación disminuya en 2018 y</w:t>
      </w:r>
      <w:r>
        <w:rPr>
          <w:rFonts w:ascii="Arial" w:hAnsi="Arial" w:cs="Arial"/>
        </w:rPr>
        <w:t xml:space="preserve"> </w:t>
      </w:r>
      <w:r w:rsidRPr="000B6BAE">
        <w:rPr>
          <w:rFonts w:ascii="Arial" w:hAnsi="Arial" w:cs="Arial"/>
        </w:rPr>
        <w:t>2019, después del aumento temporal observado en 2017.</w:t>
      </w:r>
    </w:p>
    <w:p w:rsidR="0037578E" w:rsidRPr="000B6BA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0B6BAE">
        <w:rPr>
          <w:rFonts w:ascii="Arial" w:hAnsi="Arial" w:cs="Arial"/>
        </w:rPr>
        <w:t>Considerando el entorno externo descrito y la evolución reciente de la actividad</w:t>
      </w:r>
      <w:r>
        <w:rPr>
          <w:rFonts w:ascii="Arial" w:hAnsi="Arial" w:cs="Arial"/>
        </w:rPr>
        <w:t xml:space="preserve"> </w:t>
      </w:r>
      <w:r w:rsidRPr="000B6BAE">
        <w:rPr>
          <w:rFonts w:ascii="Arial" w:hAnsi="Arial" w:cs="Arial"/>
        </w:rPr>
        <w:t>económica, se anticipa que</w:t>
      </w:r>
      <w:r>
        <w:rPr>
          <w:rFonts w:ascii="Arial" w:hAnsi="Arial" w:cs="Arial"/>
        </w:rPr>
        <w:t xml:space="preserve"> al cierre del ejercicio fiscal</w:t>
      </w:r>
      <w:r w:rsidRPr="000B6BAE">
        <w:rPr>
          <w:rFonts w:ascii="Arial" w:hAnsi="Arial" w:cs="Arial"/>
        </w:rPr>
        <w:t xml:space="preserve"> 2018 el PIB de México </w:t>
      </w:r>
      <w:r>
        <w:rPr>
          <w:rFonts w:ascii="Arial" w:hAnsi="Arial" w:cs="Arial"/>
        </w:rPr>
        <w:t>se incremente conforme a las tendencias</w:t>
      </w:r>
      <w:r w:rsidRPr="000B6BAE">
        <w:rPr>
          <w:rFonts w:ascii="Arial" w:hAnsi="Arial" w:cs="Arial"/>
        </w:rPr>
        <w:t xml:space="preserve"> entre</w:t>
      </w:r>
      <w:r>
        <w:rPr>
          <w:rFonts w:ascii="Arial" w:hAnsi="Arial" w:cs="Arial"/>
        </w:rPr>
        <w:t xml:space="preserve"> </w:t>
      </w:r>
      <w:r w:rsidRPr="000B6BAE">
        <w:rPr>
          <w:rFonts w:ascii="Arial" w:hAnsi="Arial" w:cs="Arial"/>
        </w:rPr>
        <w:t>2.0</w:t>
      </w:r>
      <w:r>
        <w:rPr>
          <w:rFonts w:ascii="Arial" w:hAnsi="Arial" w:cs="Arial"/>
        </w:rPr>
        <w:t>%</w:t>
      </w:r>
      <w:r w:rsidRPr="000B6BAE">
        <w:rPr>
          <w:rFonts w:ascii="Arial" w:hAnsi="Arial" w:cs="Arial"/>
        </w:rPr>
        <w:t xml:space="preserve"> y 3.0%. Para</w:t>
      </w:r>
      <w:r>
        <w:rPr>
          <w:rFonts w:ascii="Arial" w:hAnsi="Arial" w:cs="Arial"/>
        </w:rPr>
        <w:t xml:space="preserve"> </w:t>
      </w:r>
      <w:r w:rsidRPr="000B6BAE">
        <w:rPr>
          <w:rFonts w:ascii="Arial" w:hAnsi="Arial" w:cs="Arial"/>
        </w:rPr>
        <w:t>2019, se anticipa una expansión de entre 2.5</w:t>
      </w:r>
      <w:r>
        <w:rPr>
          <w:rFonts w:ascii="Arial" w:hAnsi="Arial" w:cs="Arial"/>
        </w:rPr>
        <w:t>%</w:t>
      </w:r>
      <w:r w:rsidRPr="000B6BAE">
        <w:rPr>
          <w:rFonts w:ascii="Arial" w:hAnsi="Arial" w:cs="Arial"/>
        </w:rPr>
        <w:t xml:space="preserve"> y 3.5%. Para las estimaciones </w:t>
      </w:r>
      <w:r w:rsidRPr="000B6BAE">
        <w:rPr>
          <w:rFonts w:ascii="Arial" w:hAnsi="Arial" w:cs="Arial"/>
        </w:rPr>
        <w:lastRenderedPageBreak/>
        <w:t>de finanzas</w:t>
      </w:r>
      <w:r>
        <w:rPr>
          <w:rFonts w:ascii="Arial" w:hAnsi="Arial" w:cs="Arial"/>
        </w:rPr>
        <w:t xml:space="preserve"> </w:t>
      </w:r>
      <w:r w:rsidRPr="000B6BAE">
        <w:rPr>
          <w:rFonts w:ascii="Arial" w:hAnsi="Arial" w:cs="Arial"/>
        </w:rPr>
        <w:t>públicas se utiliza la estimación puntual de un crecimiento del PIB de 2.5% para 2018</w:t>
      </w:r>
      <w:r>
        <w:rPr>
          <w:rFonts w:ascii="Arial" w:hAnsi="Arial" w:cs="Arial"/>
        </w:rPr>
        <w:t xml:space="preserve"> </w:t>
      </w:r>
      <w:r w:rsidRPr="000B6BAE">
        <w:rPr>
          <w:rFonts w:ascii="Arial" w:hAnsi="Arial" w:cs="Arial"/>
        </w:rPr>
        <w:t>y de 3.0% para 2019.</w:t>
      </w:r>
    </w:p>
    <w:p w:rsidR="0037578E" w:rsidRPr="000B6BA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0B6BAE">
        <w:rPr>
          <w:rFonts w:ascii="Arial" w:hAnsi="Arial" w:cs="Arial"/>
        </w:rPr>
        <w:t>Los pronósticos de inflación empleados son consistentes con las previsiones realizadas</w:t>
      </w:r>
      <w:r>
        <w:rPr>
          <w:rFonts w:ascii="Arial" w:hAnsi="Arial" w:cs="Arial"/>
        </w:rPr>
        <w:t xml:space="preserve"> </w:t>
      </w:r>
      <w:r w:rsidRPr="000B6BAE">
        <w:rPr>
          <w:rFonts w:ascii="Arial" w:hAnsi="Arial" w:cs="Arial"/>
        </w:rPr>
        <w:t>por el Banco de México, así como con su objetivo de inflación. El precio promedio del</w:t>
      </w:r>
      <w:r>
        <w:rPr>
          <w:rFonts w:ascii="Arial" w:hAnsi="Arial" w:cs="Arial"/>
        </w:rPr>
        <w:t xml:space="preserve"> </w:t>
      </w:r>
      <w:r w:rsidRPr="000B6BAE">
        <w:rPr>
          <w:rFonts w:ascii="Arial" w:hAnsi="Arial" w:cs="Arial"/>
        </w:rPr>
        <w:t>cru</w:t>
      </w:r>
      <w:r>
        <w:rPr>
          <w:rFonts w:ascii="Arial" w:hAnsi="Arial" w:cs="Arial"/>
        </w:rPr>
        <w:t xml:space="preserve">do se estima en 53 y 51 </w:t>
      </w:r>
      <w:r w:rsidRPr="000B6BAE">
        <w:rPr>
          <w:rFonts w:ascii="Arial" w:hAnsi="Arial" w:cs="Arial"/>
        </w:rPr>
        <w:t>dpb para 2018 y 2019,</w:t>
      </w:r>
      <w:r>
        <w:rPr>
          <w:rFonts w:ascii="Arial" w:hAnsi="Arial" w:cs="Arial"/>
        </w:rPr>
        <w:t xml:space="preserve"> </w:t>
      </w:r>
      <w:r w:rsidRPr="000B6BAE">
        <w:rPr>
          <w:rFonts w:ascii="Arial" w:hAnsi="Arial" w:cs="Arial"/>
        </w:rPr>
        <w:t>respectivamente. Por otro lado, se utiliza un tipo de cambio promedio para ambos años</w:t>
      </w:r>
      <w:r>
        <w:rPr>
          <w:rFonts w:ascii="Arial" w:hAnsi="Arial" w:cs="Arial"/>
        </w:rPr>
        <w:t xml:space="preserve"> </w:t>
      </w:r>
      <w:r w:rsidRPr="000B6BAE">
        <w:rPr>
          <w:rFonts w:ascii="Arial" w:hAnsi="Arial" w:cs="Arial"/>
        </w:rPr>
        <w:t>de 18.4 pesos por dólar.</w:t>
      </w:r>
    </w:p>
    <w:p w:rsidR="007A5775" w:rsidRDefault="007A5775"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E</w:t>
      </w:r>
      <w:r w:rsidRPr="005741AE">
        <w:rPr>
          <w:rFonts w:ascii="Arial" w:hAnsi="Arial" w:cs="Arial"/>
        </w:rPr>
        <w:t>l marco macroeconómico de mediano plazo contempla los efectos positivos de la agenda</w:t>
      </w:r>
      <w:r>
        <w:rPr>
          <w:rFonts w:ascii="Arial" w:hAnsi="Arial" w:cs="Arial"/>
        </w:rPr>
        <w:t xml:space="preserve"> </w:t>
      </w:r>
      <w:r w:rsidRPr="005741AE">
        <w:rPr>
          <w:rFonts w:ascii="Arial" w:hAnsi="Arial" w:cs="Arial"/>
        </w:rPr>
        <w:t>de reformas estructurales que se han implementado durante la presente administración.</w:t>
      </w:r>
      <w:r>
        <w:rPr>
          <w:rFonts w:ascii="Arial" w:hAnsi="Arial" w:cs="Arial"/>
        </w:rPr>
        <w:t xml:space="preserve"> </w:t>
      </w:r>
      <w:r w:rsidRPr="005741AE">
        <w:rPr>
          <w:rFonts w:ascii="Arial" w:hAnsi="Arial" w:cs="Arial"/>
        </w:rPr>
        <w:t>Asimismo, el escenario de mediano plazo se elaboró considerando una serie de</w:t>
      </w:r>
      <w:r>
        <w:rPr>
          <w:rFonts w:ascii="Arial" w:hAnsi="Arial" w:cs="Arial"/>
        </w:rPr>
        <w:t xml:space="preserve"> </w:t>
      </w:r>
      <w:r w:rsidRPr="005741AE">
        <w:rPr>
          <w:rFonts w:ascii="Arial" w:hAnsi="Arial" w:cs="Arial"/>
        </w:rPr>
        <w:t>trayectorias futuras para indicadores internacionales que podrían afectarlo, tales como: 1) la</w:t>
      </w:r>
      <w:r>
        <w:rPr>
          <w:rFonts w:ascii="Arial" w:hAnsi="Arial" w:cs="Arial"/>
        </w:rPr>
        <w:t xml:space="preserve"> </w:t>
      </w:r>
      <w:r w:rsidRPr="005741AE">
        <w:rPr>
          <w:rFonts w:ascii="Arial" w:hAnsi="Arial" w:cs="Arial"/>
        </w:rPr>
        <w:t>evolución de la economía de Estados Unidos; 2) las tasas de interés internacionales; 3) el</w:t>
      </w:r>
      <w:r>
        <w:rPr>
          <w:rFonts w:ascii="Arial" w:hAnsi="Arial" w:cs="Arial"/>
        </w:rPr>
        <w:t xml:space="preserve"> </w:t>
      </w:r>
      <w:r w:rsidRPr="005741AE">
        <w:rPr>
          <w:rFonts w:ascii="Arial" w:hAnsi="Arial" w:cs="Arial"/>
        </w:rPr>
        <w:t>entorno en los mercados internacionales de capital; y 4) los precios del petróleo y del gas natural</w:t>
      </w:r>
      <w:r>
        <w:rPr>
          <w:rFonts w:ascii="Arial" w:hAnsi="Arial" w:cs="Arial"/>
        </w:rPr>
        <w:t xml:space="preserve"> </w:t>
      </w:r>
      <w:r w:rsidRPr="005741AE">
        <w:rPr>
          <w:rFonts w:ascii="Arial" w:hAnsi="Arial" w:cs="Arial"/>
        </w:rPr>
        <w:t>a nivel mundial.</w:t>
      </w:r>
      <w:r w:rsidRPr="00797AB5">
        <w:rPr>
          <w:rFonts w:ascii="Arial" w:hAnsi="Arial" w:cs="Arial"/>
        </w:rPr>
        <w:t xml:space="preserve"> </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9E354B">
        <w:rPr>
          <w:rFonts w:ascii="Arial" w:hAnsi="Arial" w:cs="Arial"/>
        </w:rPr>
        <w:t>Se estima que durante 2019 el PIB de México tenga un crecimiento anual de entre 2.5</w:t>
      </w:r>
      <w:r>
        <w:rPr>
          <w:rFonts w:ascii="Arial" w:hAnsi="Arial" w:cs="Arial"/>
        </w:rPr>
        <w:t>%</w:t>
      </w:r>
      <w:r w:rsidRPr="009E354B">
        <w:rPr>
          <w:rFonts w:ascii="Arial" w:hAnsi="Arial" w:cs="Arial"/>
        </w:rPr>
        <w:t xml:space="preserve"> y 3.5</w:t>
      </w:r>
      <w:r>
        <w:rPr>
          <w:rFonts w:ascii="Arial" w:hAnsi="Arial" w:cs="Arial"/>
        </w:rPr>
        <w:t>%</w:t>
      </w:r>
      <w:r w:rsidRPr="009E354B">
        <w:rPr>
          <w:rFonts w:ascii="Arial" w:hAnsi="Arial" w:cs="Arial"/>
        </w:rPr>
        <w:t>, para 2020 su crecimiento sea entre 3.0</w:t>
      </w:r>
      <w:r>
        <w:rPr>
          <w:rFonts w:ascii="Arial" w:hAnsi="Arial" w:cs="Arial"/>
        </w:rPr>
        <w:t>%</w:t>
      </w:r>
      <w:r w:rsidRPr="009E354B">
        <w:rPr>
          <w:rFonts w:ascii="Arial" w:hAnsi="Arial" w:cs="Arial"/>
        </w:rPr>
        <w:t xml:space="preserve"> y 4.0</w:t>
      </w:r>
      <w:r>
        <w:rPr>
          <w:rFonts w:ascii="Arial" w:hAnsi="Arial" w:cs="Arial"/>
        </w:rPr>
        <w:t>%</w:t>
      </w:r>
      <w:r w:rsidRPr="009E354B">
        <w:rPr>
          <w:rFonts w:ascii="Arial" w:hAnsi="Arial" w:cs="Arial"/>
        </w:rPr>
        <w:t>, mientras que en el periodo</w:t>
      </w:r>
      <w:r>
        <w:rPr>
          <w:rFonts w:ascii="Arial" w:hAnsi="Arial" w:cs="Arial"/>
        </w:rPr>
        <w:t xml:space="preserve"> </w:t>
      </w:r>
      <w:r w:rsidRPr="009E354B">
        <w:rPr>
          <w:rFonts w:ascii="Arial" w:hAnsi="Arial" w:cs="Arial"/>
        </w:rPr>
        <w:t>2021-202</w:t>
      </w:r>
      <w:r>
        <w:rPr>
          <w:rFonts w:ascii="Arial" w:hAnsi="Arial" w:cs="Arial"/>
        </w:rPr>
        <w:t>4</w:t>
      </w:r>
      <w:r w:rsidRPr="009E354B">
        <w:rPr>
          <w:rFonts w:ascii="Arial" w:hAnsi="Arial" w:cs="Arial"/>
        </w:rPr>
        <w:t xml:space="preserve"> éste se ubicaría en un rango de 3.5</w:t>
      </w:r>
      <w:r>
        <w:rPr>
          <w:rFonts w:ascii="Arial" w:hAnsi="Arial" w:cs="Arial"/>
        </w:rPr>
        <w:t>%</w:t>
      </w:r>
      <w:r w:rsidRPr="009E354B">
        <w:rPr>
          <w:rFonts w:ascii="Arial" w:hAnsi="Arial" w:cs="Arial"/>
        </w:rPr>
        <w:t xml:space="preserve"> a 4.5</w:t>
      </w:r>
      <w:r>
        <w:rPr>
          <w:rFonts w:ascii="Arial" w:hAnsi="Arial" w:cs="Arial"/>
        </w:rPr>
        <w:t>%</w:t>
      </w:r>
      <w:r w:rsidRPr="009E354B">
        <w:rPr>
          <w:rFonts w:ascii="Arial" w:hAnsi="Arial" w:cs="Arial"/>
        </w:rPr>
        <w:t>. Para efectos de las</w:t>
      </w:r>
      <w:r>
        <w:rPr>
          <w:rFonts w:ascii="Arial" w:hAnsi="Arial" w:cs="Arial"/>
        </w:rPr>
        <w:t xml:space="preserve"> </w:t>
      </w:r>
      <w:r w:rsidRPr="009E354B">
        <w:rPr>
          <w:rFonts w:ascii="Arial" w:hAnsi="Arial" w:cs="Arial"/>
        </w:rPr>
        <w:t>estimaciones de finanzas públicas se plantea utilizar un crecimiento puntual del PIB para el</w:t>
      </w:r>
      <w:r>
        <w:rPr>
          <w:rFonts w:ascii="Arial" w:hAnsi="Arial" w:cs="Arial"/>
        </w:rPr>
        <w:t xml:space="preserve"> </w:t>
      </w:r>
      <w:r w:rsidRPr="009E354B">
        <w:rPr>
          <w:rFonts w:ascii="Arial" w:hAnsi="Arial" w:cs="Arial"/>
        </w:rPr>
        <w:t>periodo 2019 y 2020 de 3.0</w:t>
      </w:r>
      <w:r>
        <w:rPr>
          <w:rFonts w:ascii="Arial" w:hAnsi="Arial" w:cs="Arial"/>
        </w:rPr>
        <w:t>%</w:t>
      </w:r>
      <w:r w:rsidRPr="009E354B">
        <w:rPr>
          <w:rFonts w:ascii="Arial" w:hAnsi="Arial" w:cs="Arial"/>
        </w:rPr>
        <w:t xml:space="preserve"> y 3.5</w:t>
      </w:r>
      <w:r>
        <w:rPr>
          <w:rFonts w:ascii="Arial" w:hAnsi="Arial" w:cs="Arial"/>
        </w:rPr>
        <w:t>%</w:t>
      </w:r>
      <w:r w:rsidRPr="009E354B">
        <w:rPr>
          <w:rFonts w:ascii="Arial" w:hAnsi="Arial" w:cs="Arial"/>
        </w:rPr>
        <w:t>, respectivamente, y para los años 2021 al 202</w:t>
      </w:r>
      <w:r>
        <w:rPr>
          <w:rFonts w:ascii="Arial" w:hAnsi="Arial" w:cs="Arial"/>
        </w:rPr>
        <w:t xml:space="preserve">4 </w:t>
      </w:r>
      <w:r w:rsidRPr="009E354B">
        <w:rPr>
          <w:rFonts w:ascii="Arial" w:hAnsi="Arial" w:cs="Arial"/>
        </w:rPr>
        <w:t>un crecimiento de 3.5</w:t>
      </w:r>
      <w:r>
        <w:rPr>
          <w:rFonts w:ascii="Arial" w:hAnsi="Arial" w:cs="Arial"/>
        </w:rPr>
        <w:t>%</w:t>
      </w:r>
      <w:r w:rsidRPr="009E354B">
        <w:rPr>
          <w:rFonts w:ascii="Arial" w:hAnsi="Arial" w:cs="Arial"/>
        </w:rPr>
        <w:t>.</w:t>
      </w:r>
    </w:p>
    <w:p w:rsidR="0037578E" w:rsidRDefault="0037578E" w:rsidP="0037578E">
      <w:pPr>
        <w:spacing w:line="360" w:lineRule="auto"/>
        <w:jc w:val="both"/>
        <w:rPr>
          <w:rFonts w:ascii="Arial" w:hAnsi="Arial" w:cs="Arial"/>
        </w:rPr>
      </w:pPr>
      <w:r w:rsidRPr="0026749A">
        <w:rPr>
          <w:rFonts w:ascii="Arial" w:hAnsi="Arial" w:cs="Arial"/>
        </w:rPr>
        <w:lastRenderedPageBreak/>
        <w:t>En el siguiente cuadro se presenta</w:t>
      </w:r>
      <w:r>
        <w:rPr>
          <w:rFonts w:ascii="Arial" w:hAnsi="Arial" w:cs="Arial"/>
        </w:rPr>
        <w:t>n las perspectivas de finanzas públicas de mediano plazo para el Estado de Tlaxcala, tomando como referencia los Pre-Criterios Generales de Política Económica 2019.</w:t>
      </w:r>
    </w:p>
    <w:p w:rsidR="009B2EE6" w:rsidRDefault="009B2EE6" w:rsidP="0037578E">
      <w:pPr>
        <w:spacing w:line="360" w:lineRule="auto"/>
        <w:jc w:val="both"/>
        <w:rPr>
          <w:rFonts w:ascii="Arial" w:hAnsi="Arial" w:cs="Arial"/>
        </w:rPr>
      </w:pPr>
    </w:p>
    <w:tbl>
      <w:tblPr>
        <w:tblW w:w="9640" w:type="dxa"/>
        <w:tblInd w:w="-1286" w:type="dxa"/>
        <w:tblLayout w:type="fixed"/>
        <w:tblCellMar>
          <w:left w:w="70" w:type="dxa"/>
          <w:right w:w="70" w:type="dxa"/>
        </w:tblCellMar>
        <w:tblLook w:val="04A0" w:firstRow="1" w:lastRow="0" w:firstColumn="1" w:lastColumn="0" w:noHBand="0" w:noVBand="1"/>
      </w:tblPr>
      <w:tblGrid>
        <w:gridCol w:w="2694"/>
        <w:gridCol w:w="1140"/>
        <w:gridCol w:w="1128"/>
        <w:gridCol w:w="1211"/>
        <w:gridCol w:w="1199"/>
        <w:gridCol w:w="1134"/>
        <w:gridCol w:w="1134"/>
      </w:tblGrid>
      <w:tr w:rsidR="0037578E" w:rsidRPr="007176E3" w:rsidTr="0037578E">
        <w:trPr>
          <w:trHeight w:val="300"/>
        </w:trPr>
        <w:tc>
          <w:tcPr>
            <w:tcW w:w="9640" w:type="dxa"/>
            <w:gridSpan w:val="7"/>
            <w:tcBorders>
              <w:top w:val="single" w:sz="8" w:space="0" w:color="auto"/>
              <w:left w:val="single" w:sz="8" w:space="0" w:color="auto"/>
              <w:bottom w:val="nil"/>
              <w:right w:val="single" w:sz="8" w:space="0" w:color="auto"/>
            </w:tcBorders>
            <w:shd w:val="clear" w:color="000000" w:fill="C4D79B"/>
            <w:noWrap/>
            <w:vAlign w:val="bottom"/>
            <w:hideMark/>
          </w:tcPr>
          <w:p w:rsidR="0037578E" w:rsidRPr="007176E3" w:rsidRDefault="0037578E" w:rsidP="0037578E">
            <w:pPr>
              <w:jc w:val="center"/>
              <w:rPr>
                <w:rFonts w:ascii="Soberana Sans" w:hAnsi="Soberana Sans" w:cs="Calibri"/>
                <w:b/>
                <w:bCs/>
                <w:color w:val="000000"/>
                <w:sz w:val="14"/>
                <w:szCs w:val="14"/>
                <w:lang w:val="es-MX" w:eastAsia="es-MX"/>
              </w:rPr>
            </w:pPr>
            <w:bookmarkStart w:id="1" w:name="RANGE!A1:M38"/>
            <w:r w:rsidRPr="007176E3">
              <w:rPr>
                <w:rFonts w:ascii="Soberana Sans" w:hAnsi="Soberana Sans" w:cs="Calibri"/>
                <w:b/>
                <w:bCs/>
                <w:color w:val="000000"/>
                <w:sz w:val="14"/>
                <w:szCs w:val="14"/>
              </w:rPr>
              <w:t>GOBIERNO DEL ESTADO DE TLAXCALA</w:t>
            </w:r>
            <w:bookmarkEnd w:id="1"/>
          </w:p>
        </w:tc>
      </w:tr>
      <w:tr w:rsidR="0037578E" w:rsidRPr="007176E3" w:rsidTr="0037578E">
        <w:trPr>
          <w:trHeight w:val="300"/>
        </w:trPr>
        <w:tc>
          <w:tcPr>
            <w:tcW w:w="9640" w:type="dxa"/>
            <w:gridSpan w:val="7"/>
            <w:tcBorders>
              <w:top w:val="nil"/>
              <w:left w:val="single" w:sz="8" w:space="0" w:color="auto"/>
              <w:bottom w:val="nil"/>
              <w:right w:val="single" w:sz="8" w:space="0" w:color="auto"/>
            </w:tcBorders>
            <w:shd w:val="clear" w:color="000000" w:fill="C4D79B"/>
            <w:noWrap/>
            <w:vAlign w:val="bottom"/>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Proyecciones de Ingresos - LDF</w:t>
            </w:r>
          </w:p>
        </w:tc>
      </w:tr>
      <w:tr w:rsidR="0037578E" w:rsidRPr="007176E3" w:rsidTr="0037578E">
        <w:trPr>
          <w:trHeight w:val="300"/>
        </w:trPr>
        <w:tc>
          <w:tcPr>
            <w:tcW w:w="9640" w:type="dxa"/>
            <w:gridSpan w:val="7"/>
            <w:tcBorders>
              <w:top w:val="nil"/>
              <w:left w:val="single" w:sz="8" w:space="0" w:color="auto"/>
              <w:bottom w:val="nil"/>
              <w:right w:val="single" w:sz="8" w:space="0" w:color="auto"/>
            </w:tcBorders>
            <w:shd w:val="clear" w:color="000000" w:fill="C4D79B"/>
            <w:noWrap/>
            <w:vAlign w:val="bottom"/>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 xml:space="preserve">(PESOS) </w:t>
            </w:r>
          </w:p>
        </w:tc>
      </w:tr>
      <w:tr w:rsidR="0037578E" w:rsidRPr="007176E3" w:rsidTr="0037578E">
        <w:trPr>
          <w:trHeight w:val="315"/>
        </w:trPr>
        <w:tc>
          <w:tcPr>
            <w:tcW w:w="9640" w:type="dxa"/>
            <w:gridSpan w:val="7"/>
            <w:tcBorders>
              <w:top w:val="nil"/>
              <w:left w:val="single" w:sz="8" w:space="0" w:color="auto"/>
              <w:bottom w:val="single" w:sz="8" w:space="0" w:color="auto"/>
              <w:right w:val="single" w:sz="8" w:space="0" w:color="auto"/>
            </w:tcBorders>
            <w:shd w:val="clear" w:color="000000" w:fill="C4D79B"/>
            <w:noWrap/>
            <w:vAlign w:val="bottom"/>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(CIFRAS NOMINALES)</w:t>
            </w:r>
          </w:p>
        </w:tc>
      </w:tr>
      <w:tr w:rsidR="0037578E" w:rsidRPr="007176E3" w:rsidTr="0037578E">
        <w:trPr>
          <w:trHeight w:val="300"/>
        </w:trPr>
        <w:tc>
          <w:tcPr>
            <w:tcW w:w="2694"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Concepto</w:t>
            </w:r>
          </w:p>
        </w:tc>
        <w:tc>
          <w:tcPr>
            <w:tcW w:w="1140"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2019</w:t>
            </w:r>
          </w:p>
        </w:tc>
        <w:tc>
          <w:tcPr>
            <w:tcW w:w="1128"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2020</w:t>
            </w:r>
          </w:p>
        </w:tc>
        <w:tc>
          <w:tcPr>
            <w:tcW w:w="1211"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2021</w:t>
            </w:r>
          </w:p>
        </w:tc>
        <w:tc>
          <w:tcPr>
            <w:tcW w:w="1199"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2022</w:t>
            </w:r>
          </w:p>
        </w:tc>
        <w:tc>
          <w:tcPr>
            <w:tcW w:w="1134"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2023</w:t>
            </w:r>
          </w:p>
        </w:tc>
        <w:tc>
          <w:tcPr>
            <w:tcW w:w="1134"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7176E3" w:rsidRDefault="0037578E" w:rsidP="0037578E">
            <w:pPr>
              <w:jc w:val="center"/>
              <w:rPr>
                <w:rFonts w:ascii="Soberana Sans" w:hAnsi="Soberana Sans" w:cs="Calibri"/>
                <w:b/>
                <w:bCs/>
                <w:color w:val="000000"/>
                <w:sz w:val="14"/>
                <w:szCs w:val="14"/>
              </w:rPr>
            </w:pPr>
            <w:r w:rsidRPr="007176E3">
              <w:rPr>
                <w:rFonts w:ascii="Soberana Sans" w:hAnsi="Soberana Sans" w:cs="Calibri"/>
                <w:b/>
                <w:bCs/>
                <w:color w:val="000000"/>
                <w:sz w:val="14"/>
                <w:szCs w:val="14"/>
              </w:rPr>
              <w:t>2024</w:t>
            </w:r>
          </w:p>
        </w:tc>
      </w:tr>
      <w:tr w:rsidR="0037578E" w:rsidRPr="007176E3" w:rsidTr="0037578E">
        <w:trPr>
          <w:trHeight w:val="315"/>
        </w:trPr>
        <w:tc>
          <w:tcPr>
            <w:tcW w:w="2694" w:type="dxa"/>
            <w:vMerge/>
            <w:tcBorders>
              <w:top w:val="nil"/>
              <w:left w:val="single" w:sz="8" w:space="0" w:color="auto"/>
              <w:bottom w:val="single" w:sz="8" w:space="0" w:color="000000"/>
              <w:right w:val="single" w:sz="8" w:space="0" w:color="auto"/>
            </w:tcBorders>
            <w:vAlign w:val="center"/>
            <w:hideMark/>
          </w:tcPr>
          <w:p w:rsidR="0037578E" w:rsidRPr="007176E3" w:rsidRDefault="0037578E" w:rsidP="0037578E">
            <w:pPr>
              <w:rPr>
                <w:rFonts w:ascii="Soberana Sans" w:hAnsi="Soberana Sans" w:cs="Calibri"/>
                <w:b/>
                <w:bCs/>
                <w:color w:val="000000"/>
                <w:sz w:val="14"/>
                <w:szCs w:val="14"/>
              </w:rPr>
            </w:pPr>
          </w:p>
        </w:tc>
        <w:tc>
          <w:tcPr>
            <w:tcW w:w="1140" w:type="dxa"/>
            <w:vMerge/>
            <w:tcBorders>
              <w:top w:val="nil"/>
              <w:left w:val="single" w:sz="8" w:space="0" w:color="auto"/>
              <w:bottom w:val="single" w:sz="8" w:space="0" w:color="000000"/>
              <w:right w:val="single" w:sz="8" w:space="0" w:color="auto"/>
            </w:tcBorders>
            <w:vAlign w:val="center"/>
            <w:hideMark/>
          </w:tcPr>
          <w:p w:rsidR="0037578E" w:rsidRPr="007176E3" w:rsidRDefault="0037578E" w:rsidP="0037578E">
            <w:pPr>
              <w:rPr>
                <w:rFonts w:ascii="Soberana Sans" w:hAnsi="Soberana Sans" w:cs="Calibri"/>
                <w:b/>
                <w:bCs/>
                <w:color w:val="000000"/>
                <w:sz w:val="14"/>
                <w:szCs w:val="14"/>
              </w:rPr>
            </w:pPr>
          </w:p>
        </w:tc>
        <w:tc>
          <w:tcPr>
            <w:tcW w:w="1128" w:type="dxa"/>
            <w:vMerge/>
            <w:tcBorders>
              <w:top w:val="nil"/>
              <w:left w:val="single" w:sz="8" w:space="0" w:color="auto"/>
              <w:bottom w:val="single" w:sz="8" w:space="0" w:color="000000"/>
              <w:right w:val="single" w:sz="8" w:space="0" w:color="auto"/>
            </w:tcBorders>
            <w:vAlign w:val="center"/>
            <w:hideMark/>
          </w:tcPr>
          <w:p w:rsidR="0037578E" w:rsidRPr="007176E3" w:rsidRDefault="0037578E" w:rsidP="0037578E">
            <w:pPr>
              <w:rPr>
                <w:rFonts w:ascii="Soberana Sans" w:hAnsi="Soberana Sans" w:cs="Calibri"/>
                <w:b/>
                <w:bCs/>
                <w:color w:val="000000"/>
                <w:sz w:val="14"/>
                <w:szCs w:val="14"/>
              </w:rPr>
            </w:pPr>
          </w:p>
        </w:tc>
        <w:tc>
          <w:tcPr>
            <w:tcW w:w="1211" w:type="dxa"/>
            <w:vMerge/>
            <w:tcBorders>
              <w:top w:val="nil"/>
              <w:left w:val="single" w:sz="8" w:space="0" w:color="auto"/>
              <w:bottom w:val="single" w:sz="8" w:space="0" w:color="000000"/>
              <w:right w:val="single" w:sz="8" w:space="0" w:color="auto"/>
            </w:tcBorders>
            <w:vAlign w:val="center"/>
            <w:hideMark/>
          </w:tcPr>
          <w:p w:rsidR="0037578E" w:rsidRPr="007176E3" w:rsidRDefault="0037578E" w:rsidP="0037578E">
            <w:pPr>
              <w:rPr>
                <w:rFonts w:ascii="Soberana Sans" w:hAnsi="Soberana Sans" w:cs="Calibri"/>
                <w:b/>
                <w:bCs/>
                <w:color w:val="000000"/>
                <w:sz w:val="14"/>
                <w:szCs w:val="14"/>
              </w:rPr>
            </w:pPr>
          </w:p>
        </w:tc>
        <w:tc>
          <w:tcPr>
            <w:tcW w:w="1199" w:type="dxa"/>
            <w:vMerge/>
            <w:tcBorders>
              <w:top w:val="nil"/>
              <w:left w:val="single" w:sz="8" w:space="0" w:color="auto"/>
              <w:bottom w:val="single" w:sz="8" w:space="0" w:color="000000"/>
              <w:right w:val="single" w:sz="8" w:space="0" w:color="auto"/>
            </w:tcBorders>
            <w:vAlign w:val="center"/>
            <w:hideMark/>
          </w:tcPr>
          <w:p w:rsidR="0037578E" w:rsidRPr="007176E3" w:rsidRDefault="0037578E" w:rsidP="0037578E">
            <w:pPr>
              <w:rPr>
                <w:rFonts w:ascii="Soberana Sans" w:hAnsi="Soberana Sans" w:cs="Calibri"/>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hideMark/>
          </w:tcPr>
          <w:p w:rsidR="0037578E" w:rsidRPr="007176E3" w:rsidRDefault="0037578E" w:rsidP="0037578E">
            <w:pPr>
              <w:rPr>
                <w:rFonts w:ascii="Soberana Sans" w:hAnsi="Soberana Sans" w:cs="Calibri"/>
                <w:b/>
                <w:bCs/>
                <w:color w:val="000000"/>
                <w:sz w:val="14"/>
                <w:szCs w:val="14"/>
              </w:rPr>
            </w:pPr>
          </w:p>
        </w:tc>
        <w:tc>
          <w:tcPr>
            <w:tcW w:w="1134" w:type="dxa"/>
            <w:vMerge/>
            <w:tcBorders>
              <w:top w:val="nil"/>
              <w:left w:val="single" w:sz="8" w:space="0" w:color="auto"/>
              <w:bottom w:val="single" w:sz="8" w:space="0" w:color="000000"/>
              <w:right w:val="single" w:sz="8" w:space="0" w:color="auto"/>
            </w:tcBorders>
            <w:vAlign w:val="center"/>
            <w:hideMark/>
          </w:tcPr>
          <w:p w:rsidR="0037578E" w:rsidRPr="007176E3" w:rsidRDefault="0037578E" w:rsidP="0037578E">
            <w:pPr>
              <w:rPr>
                <w:rFonts w:ascii="Soberana Sans" w:hAnsi="Soberana Sans" w:cs="Calibri"/>
                <w:b/>
                <w:bCs/>
                <w:color w:val="000000"/>
                <w:sz w:val="14"/>
                <w:szCs w:val="14"/>
              </w:rPr>
            </w:pP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1.</w:t>
            </w:r>
            <w:r w:rsidRPr="007176E3">
              <w:rPr>
                <w:b/>
                <w:bCs/>
                <w:color w:val="000000"/>
                <w:sz w:val="14"/>
                <w:szCs w:val="14"/>
              </w:rPr>
              <w:t xml:space="preserve">    </w:t>
            </w:r>
            <w:r w:rsidRPr="007176E3">
              <w:rPr>
                <w:rFonts w:ascii="Soberana Sans" w:hAnsi="Soberana Sans" w:cs="Calibri"/>
                <w:b/>
                <w:bCs/>
                <w:color w:val="000000"/>
                <w:sz w:val="14"/>
                <w:szCs w:val="14"/>
              </w:rPr>
              <w:t>Ingresos de Libre Disposición</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8,961,274,449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9,274,919,055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9,645,915,817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10,031,752,450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10,433,022,548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10,850,343,450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A.</w:t>
            </w:r>
            <w:r w:rsidRPr="007176E3">
              <w:rPr>
                <w:color w:val="000000"/>
                <w:sz w:val="14"/>
                <w:szCs w:val="14"/>
              </w:rPr>
              <w:t xml:space="preserve">      </w:t>
            </w:r>
            <w:r w:rsidRPr="007176E3">
              <w:rPr>
                <w:rFonts w:ascii="Soberana Sans" w:hAnsi="Soberana Sans" w:cs="Calibri"/>
                <w:color w:val="000000"/>
                <w:sz w:val="14"/>
                <w:szCs w:val="14"/>
              </w:rPr>
              <w:t>Impuestos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385,718,639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399,218,791.18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415,187,543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431,795,044.54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449,066,846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467,029,520.17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B.</w:t>
            </w:r>
            <w:r w:rsidRPr="007176E3">
              <w:rPr>
                <w:color w:val="000000"/>
                <w:sz w:val="14"/>
                <w:szCs w:val="14"/>
              </w:rPr>
              <w:t xml:space="preserve">      </w:t>
            </w:r>
            <w:r w:rsidRPr="007176E3">
              <w:rPr>
                <w:rFonts w:ascii="Soberana Sans" w:hAnsi="Soberana Sans" w:cs="Calibri"/>
                <w:color w:val="000000"/>
                <w:sz w:val="14"/>
                <w:szCs w:val="14"/>
              </w:rPr>
              <w:t>Cuotas y Aportaciones de Seguridad Social</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C.</w:t>
            </w:r>
            <w:r w:rsidRPr="007176E3">
              <w:rPr>
                <w:color w:val="000000"/>
                <w:sz w:val="14"/>
                <w:szCs w:val="14"/>
              </w:rPr>
              <w:t xml:space="preserve">      </w:t>
            </w:r>
            <w:r w:rsidRPr="007176E3">
              <w:rPr>
                <w:rFonts w:ascii="Soberana Sans" w:hAnsi="Soberana Sans" w:cs="Calibri"/>
                <w:color w:val="000000"/>
                <w:sz w:val="14"/>
                <w:szCs w:val="14"/>
              </w:rPr>
              <w:t>Contribuciones de Mejoras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D.</w:t>
            </w:r>
            <w:r w:rsidRPr="007176E3">
              <w:rPr>
                <w:color w:val="000000"/>
                <w:sz w:val="14"/>
                <w:szCs w:val="14"/>
              </w:rPr>
              <w:t xml:space="preserve">      </w:t>
            </w:r>
            <w:r w:rsidRPr="007176E3">
              <w:rPr>
                <w:rFonts w:ascii="Soberana Sans" w:hAnsi="Soberana Sans" w:cs="Calibri"/>
                <w:color w:val="000000"/>
                <w:sz w:val="14"/>
                <w:szCs w:val="14"/>
              </w:rPr>
              <w:t>Derechos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448,474,102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464,170,695.07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482,737,523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502,047,023.79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522,128,905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543,014,060.93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E.</w:t>
            </w:r>
            <w:r w:rsidRPr="007176E3">
              <w:rPr>
                <w:color w:val="000000"/>
                <w:sz w:val="14"/>
                <w:szCs w:val="14"/>
              </w:rPr>
              <w:t xml:space="preserve">      </w:t>
            </w:r>
            <w:r w:rsidRPr="007176E3">
              <w:rPr>
                <w:rFonts w:ascii="Soberana Sans" w:hAnsi="Soberana Sans" w:cs="Calibri"/>
                <w:color w:val="000000"/>
                <w:sz w:val="14"/>
                <w:szCs w:val="14"/>
              </w:rPr>
              <w:t>Productos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63,435,566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65,655,810.43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68,282,042.84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71,013,325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73,853,857.54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76,808,011.84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F.</w:t>
            </w:r>
            <w:r w:rsidRPr="007176E3">
              <w:rPr>
                <w:color w:val="000000"/>
                <w:sz w:val="14"/>
                <w:szCs w:val="14"/>
              </w:rPr>
              <w:t xml:space="preserve">       </w:t>
            </w:r>
            <w:r w:rsidRPr="007176E3">
              <w:rPr>
                <w:rFonts w:ascii="Soberana Sans" w:hAnsi="Soberana Sans" w:cs="Calibri"/>
                <w:color w:val="000000"/>
                <w:sz w:val="14"/>
                <w:szCs w:val="14"/>
              </w:rPr>
              <w:t>Aprovechamientos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776,250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803,418.75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835,556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868,977.72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903,737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939,886.30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G.</w:t>
            </w:r>
            <w:r w:rsidRPr="007176E3">
              <w:rPr>
                <w:color w:val="000000"/>
                <w:sz w:val="14"/>
                <w:szCs w:val="14"/>
              </w:rPr>
              <w:t xml:space="preserve">      </w:t>
            </w:r>
            <w:r w:rsidRPr="007176E3">
              <w:rPr>
                <w:rFonts w:ascii="Soberana Sans" w:hAnsi="Soberana Sans" w:cs="Calibri"/>
                <w:color w:val="000000"/>
                <w:sz w:val="14"/>
                <w:szCs w:val="14"/>
              </w:rPr>
              <w:t>Ingresos por Ventas de Bienes y Servicios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141,251,255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146,195,048.99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152,042,851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158,124,564.98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164,449,548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171,027,529.49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H.</w:t>
            </w:r>
            <w:r w:rsidRPr="007176E3">
              <w:rPr>
                <w:color w:val="000000"/>
                <w:sz w:val="14"/>
                <w:szCs w:val="14"/>
              </w:rPr>
              <w:t xml:space="preserve">       </w:t>
            </w:r>
            <w:r w:rsidRPr="007176E3">
              <w:rPr>
                <w:rFonts w:ascii="Soberana Sans" w:hAnsi="Soberana Sans" w:cs="Calibri"/>
                <w:color w:val="000000"/>
                <w:sz w:val="14"/>
                <w:szCs w:val="14"/>
              </w:rPr>
              <w:t xml:space="preserve">Participaciones </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7,813,883,941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8,087,369,879.16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8,410,864,674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8,747,299,261.30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9,097,191,232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9,461,078,881.02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I.</w:t>
            </w:r>
            <w:r w:rsidRPr="007176E3">
              <w:rPr>
                <w:color w:val="000000"/>
                <w:sz w:val="14"/>
                <w:szCs w:val="14"/>
              </w:rPr>
              <w:t xml:space="preserve">        Incentivos Derivados de la Colaboración Fiscal </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107,734,697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111,505,411.58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115,965,628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120,604,253.17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125,428,423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130,445,560.22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J.</w:t>
            </w:r>
            <w:r w:rsidRPr="007176E3">
              <w:rPr>
                <w:color w:val="000000"/>
                <w:sz w:val="14"/>
                <w:szCs w:val="14"/>
              </w:rPr>
              <w:t xml:space="preserve">      </w:t>
            </w:r>
            <w:r w:rsidRPr="007176E3">
              <w:rPr>
                <w:rFonts w:ascii="Soberana Sans" w:hAnsi="Soberana Sans" w:cs="Calibri"/>
                <w:color w:val="000000"/>
                <w:sz w:val="14"/>
                <w:szCs w:val="14"/>
              </w:rPr>
              <w:t>Transferencias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K.</w:t>
            </w:r>
            <w:r w:rsidRPr="007176E3">
              <w:rPr>
                <w:color w:val="000000"/>
                <w:sz w:val="14"/>
                <w:szCs w:val="14"/>
              </w:rPr>
              <w:t xml:space="preserve">      </w:t>
            </w:r>
            <w:r w:rsidRPr="007176E3">
              <w:rPr>
                <w:rFonts w:ascii="Soberana Sans" w:hAnsi="Soberana Sans" w:cs="Calibri"/>
                <w:color w:val="000000"/>
                <w:sz w:val="14"/>
                <w:szCs w:val="14"/>
              </w:rPr>
              <w:t>Convenios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L.</w:t>
            </w:r>
            <w:r w:rsidRPr="007176E3">
              <w:rPr>
                <w:color w:val="000000"/>
                <w:sz w:val="14"/>
                <w:szCs w:val="14"/>
              </w:rPr>
              <w:t xml:space="preserve">      </w:t>
            </w:r>
            <w:r w:rsidRPr="007176E3">
              <w:rPr>
                <w:rFonts w:ascii="Soberana Sans" w:hAnsi="Soberana Sans" w:cs="Calibri"/>
                <w:color w:val="000000"/>
                <w:sz w:val="14"/>
                <w:szCs w:val="14"/>
              </w:rPr>
              <w:t>Otros Ingresos de Libre Disposición</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2.</w:t>
            </w:r>
            <w:r w:rsidRPr="007176E3">
              <w:rPr>
                <w:b/>
                <w:bCs/>
                <w:color w:val="000000"/>
                <w:sz w:val="14"/>
                <w:szCs w:val="14"/>
              </w:rPr>
              <w:t xml:space="preserve">    </w:t>
            </w:r>
            <w:r w:rsidRPr="007176E3">
              <w:rPr>
                <w:rFonts w:ascii="Soberana Sans" w:hAnsi="Soberana Sans" w:cs="Calibri"/>
                <w:b/>
                <w:bCs/>
                <w:color w:val="000000"/>
                <w:sz w:val="14"/>
                <w:szCs w:val="14"/>
              </w:rPr>
              <w:t xml:space="preserve">Transferencias Federales Etiquetadas </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9,743,835,139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10,084,869,369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10,488,264,144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10,907,794,710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11,344,106,498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11,797,870,758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A.</w:t>
            </w:r>
            <w:r w:rsidRPr="007176E3">
              <w:rPr>
                <w:color w:val="000000"/>
                <w:sz w:val="14"/>
                <w:szCs w:val="14"/>
              </w:rPr>
              <w:t xml:space="preserve">      </w:t>
            </w:r>
            <w:r w:rsidRPr="007176E3">
              <w:rPr>
                <w:rFonts w:ascii="Soberana Sans" w:hAnsi="Soberana Sans" w:cs="Calibri"/>
                <w:color w:val="000000"/>
                <w:sz w:val="14"/>
                <w:szCs w:val="14"/>
              </w:rPr>
              <w:t>Aportaciones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9,743,835,139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10,084,869,369.36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10,488,264,144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10,907,794,709.90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11,344,106,498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xml:space="preserve">11,797,870,758.23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B.</w:t>
            </w:r>
            <w:r w:rsidRPr="007176E3">
              <w:rPr>
                <w:color w:val="000000"/>
                <w:sz w:val="14"/>
                <w:szCs w:val="14"/>
              </w:rPr>
              <w:t xml:space="preserve">      </w:t>
            </w:r>
            <w:r w:rsidRPr="007176E3">
              <w:rPr>
                <w:rFonts w:ascii="Soberana Sans" w:hAnsi="Soberana Sans" w:cs="Calibri"/>
                <w:color w:val="000000"/>
                <w:sz w:val="14"/>
                <w:szCs w:val="14"/>
              </w:rPr>
              <w:t>Convenios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C.</w:t>
            </w:r>
            <w:r w:rsidRPr="007176E3">
              <w:rPr>
                <w:color w:val="000000"/>
                <w:sz w:val="14"/>
                <w:szCs w:val="14"/>
              </w:rPr>
              <w:t xml:space="preserve">      </w:t>
            </w:r>
            <w:r w:rsidRPr="007176E3">
              <w:rPr>
                <w:rFonts w:ascii="Soberana Sans" w:hAnsi="Soberana Sans" w:cs="Calibri"/>
                <w:color w:val="000000"/>
                <w:sz w:val="14"/>
                <w:szCs w:val="14"/>
              </w:rPr>
              <w:t>Fondos distintos de Aportaciones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630"/>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lastRenderedPageBreak/>
              <w:t>D.</w:t>
            </w:r>
            <w:r w:rsidRPr="007176E3">
              <w:rPr>
                <w:color w:val="000000"/>
                <w:sz w:val="14"/>
                <w:szCs w:val="14"/>
              </w:rPr>
              <w:t xml:space="preserve">      </w:t>
            </w:r>
            <w:r w:rsidRPr="007176E3">
              <w:rPr>
                <w:rFonts w:ascii="Soberana Sans" w:hAnsi="Soberana Sans" w:cs="Calibri"/>
                <w:color w:val="000000"/>
                <w:sz w:val="14"/>
                <w:szCs w:val="14"/>
              </w:rPr>
              <w:t>Transferencias, Subsidios y Subvenciones, y Pensiones y Jubilaciones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E.</w:t>
            </w:r>
            <w:r w:rsidRPr="007176E3">
              <w:rPr>
                <w:color w:val="000000"/>
                <w:sz w:val="14"/>
                <w:szCs w:val="14"/>
              </w:rPr>
              <w:t xml:space="preserve">      </w:t>
            </w:r>
            <w:r w:rsidRPr="007176E3">
              <w:rPr>
                <w:rFonts w:ascii="Soberana Sans" w:hAnsi="Soberana Sans" w:cs="Calibri"/>
                <w:color w:val="000000"/>
                <w:sz w:val="14"/>
                <w:szCs w:val="14"/>
              </w:rPr>
              <w:t>Otras Transferencias Federales Etiquetadas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3.</w:t>
            </w:r>
            <w:r w:rsidRPr="007176E3">
              <w:rPr>
                <w:b/>
                <w:bCs/>
                <w:color w:val="000000"/>
                <w:sz w:val="14"/>
                <w:szCs w:val="14"/>
              </w:rPr>
              <w:t xml:space="preserve">    </w:t>
            </w:r>
            <w:r w:rsidRPr="007176E3">
              <w:rPr>
                <w:rFonts w:ascii="Soberana Sans" w:hAnsi="Soberana Sans" w:cs="Calibri"/>
                <w:b/>
                <w:bCs/>
                <w:color w:val="000000"/>
                <w:sz w:val="14"/>
                <w:szCs w:val="14"/>
              </w:rPr>
              <w:t>Ingresos Derivados de Financiamientos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A.</w:t>
            </w:r>
            <w:r w:rsidRPr="007176E3">
              <w:rPr>
                <w:color w:val="000000"/>
                <w:sz w:val="14"/>
                <w:szCs w:val="14"/>
              </w:rPr>
              <w:t xml:space="preserve">      </w:t>
            </w:r>
            <w:r w:rsidRPr="007176E3">
              <w:rPr>
                <w:rFonts w:ascii="Soberana Sans" w:hAnsi="Soberana Sans" w:cs="Calibri"/>
                <w:color w:val="000000"/>
                <w:sz w:val="14"/>
                <w:szCs w:val="14"/>
              </w:rPr>
              <w:t xml:space="preserve">Ingresos Derivados de Financiamientos </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4.</w:t>
            </w:r>
            <w:r w:rsidRPr="007176E3">
              <w:rPr>
                <w:b/>
                <w:bCs/>
                <w:color w:val="000000"/>
                <w:sz w:val="14"/>
                <w:szCs w:val="14"/>
              </w:rPr>
              <w:t xml:space="preserve">    </w:t>
            </w:r>
            <w:r w:rsidRPr="007176E3">
              <w:rPr>
                <w:rFonts w:ascii="Soberana Sans" w:hAnsi="Soberana Sans" w:cs="Calibri"/>
                <w:b/>
                <w:bCs/>
                <w:color w:val="000000"/>
                <w:sz w:val="14"/>
                <w:szCs w:val="14"/>
              </w:rPr>
              <w:t>Total de Ingresos Proyectados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18,705,109,589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19,359,788,425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20,134,179,962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20,939,547,160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21,777,129,046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 xml:space="preserve">22,648,214,208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Datos Informativos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 </w:t>
            </w:r>
          </w:p>
        </w:tc>
      </w:tr>
      <w:tr w:rsidR="0037578E" w:rsidRPr="007176E3" w:rsidTr="0037578E">
        <w:trPr>
          <w:trHeight w:val="570"/>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1. Ingresos Derivados de Financiamientos con Fuente de Pago de Recursos de Libre Disposición</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630"/>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2. Ingresos derivados de Financiamientos con Fuente de Pago de Transferencias Federales Etiquetadas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color w:val="000000"/>
                <w:sz w:val="12"/>
                <w:szCs w:val="12"/>
              </w:rPr>
            </w:pPr>
            <w:r w:rsidRPr="00B8488F">
              <w:rPr>
                <w:rFonts w:ascii="Soberana Sans" w:hAnsi="Soberana Sans" w:cs="Calibri"/>
                <w:color w:val="000000"/>
                <w:sz w:val="12"/>
                <w:szCs w:val="12"/>
              </w:rPr>
              <w:t>0</w:t>
            </w:r>
          </w:p>
        </w:tc>
      </w:tr>
      <w:tr w:rsidR="0037578E" w:rsidRPr="007176E3" w:rsidTr="0037578E">
        <w:trPr>
          <w:trHeight w:val="319"/>
        </w:trPr>
        <w:tc>
          <w:tcPr>
            <w:tcW w:w="2694" w:type="dxa"/>
            <w:tcBorders>
              <w:top w:val="nil"/>
              <w:left w:val="single" w:sz="8" w:space="0" w:color="auto"/>
              <w:bottom w:val="nil"/>
              <w:right w:val="single" w:sz="8" w:space="0" w:color="auto"/>
            </w:tcBorders>
            <w:shd w:val="clear" w:color="auto" w:fill="auto"/>
            <w:hideMark/>
          </w:tcPr>
          <w:p w:rsidR="0037578E" w:rsidRPr="007176E3" w:rsidRDefault="0037578E" w:rsidP="0037578E">
            <w:pPr>
              <w:jc w:val="both"/>
              <w:rPr>
                <w:rFonts w:ascii="Soberana Sans" w:hAnsi="Soberana Sans" w:cs="Calibri"/>
                <w:b/>
                <w:bCs/>
                <w:color w:val="000000"/>
                <w:sz w:val="14"/>
                <w:szCs w:val="14"/>
              </w:rPr>
            </w:pPr>
            <w:r w:rsidRPr="007176E3">
              <w:rPr>
                <w:rFonts w:ascii="Soberana Sans" w:hAnsi="Soberana Sans" w:cs="Calibri"/>
                <w:b/>
                <w:bCs/>
                <w:color w:val="000000"/>
                <w:sz w:val="14"/>
                <w:szCs w:val="14"/>
              </w:rPr>
              <w:t>3. Ingresos Derivados de Financiamientos</w:t>
            </w:r>
          </w:p>
        </w:tc>
        <w:tc>
          <w:tcPr>
            <w:tcW w:w="1140"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28"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211"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99"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c>
          <w:tcPr>
            <w:tcW w:w="1134" w:type="dxa"/>
            <w:tcBorders>
              <w:top w:val="nil"/>
              <w:left w:val="nil"/>
              <w:bottom w:val="nil"/>
              <w:right w:val="single" w:sz="8" w:space="0" w:color="auto"/>
            </w:tcBorders>
            <w:shd w:val="clear" w:color="auto" w:fill="auto"/>
            <w:hideMark/>
          </w:tcPr>
          <w:p w:rsidR="0037578E" w:rsidRPr="00B8488F" w:rsidRDefault="0037578E" w:rsidP="0037578E">
            <w:pPr>
              <w:jc w:val="right"/>
              <w:rPr>
                <w:rFonts w:ascii="Soberana Sans" w:hAnsi="Soberana Sans" w:cs="Calibri"/>
                <w:b/>
                <w:bCs/>
                <w:color w:val="000000"/>
                <w:sz w:val="12"/>
                <w:szCs w:val="12"/>
              </w:rPr>
            </w:pPr>
            <w:r w:rsidRPr="00B8488F">
              <w:rPr>
                <w:rFonts w:ascii="Soberana Sans" w:hAnsi="Soberana Sans" w:cs="Calibri"/>
                <w:b/>
                <w:bCs/>
                <w:color w:val="000000"/>
                <w:sz w:val="12"/>
                <w:szCs w:val="12"/>
              </w:rPr>
              <w:t>0</w:t>
            </w:r>
          </w:p>
        </w:tc>
      </w:tr>
      <w:tr w:rsidR="0037578E" w:rsidRPr="007176E3" w:rsidTr="0037578E">
        <w:trPr>
          <w:trHeight w:val="319"/>
        </w:trPr>
        <w:tc>
          <w:tcPr>
            <w:tcW w:w="2694" w:type="dxa"/>
            <w:tcBorders>
              <w:top w:val="nil"/>
              <w:left w:val="single" w:sz="8" w:space="0" w:color="auto"/>
              <w:bottom w:val="single" w:sz="8" w:space="0" w:color="auto"/>
              <w:right w:val="single" w:sz="8" w:space="0" w:color="auto"/>
            </w:tcBorders>
            <w:shd w:val="clear" w:color="auto" w:fill="auto"/>
            <w:hideMark/>
          </w:tcPr>
          <w:p w:rsidR="0037578E" w:rsidRPr="007176E3" w:rsidRDefault="0037578E" w:rsidP="0037578E">
            <w:pPr>
              <w:jc w:val="both"/>
              <w:rPr>
                <w:rFonts w:ascii="Soberana Sans" w:hAnsi="Soberana Sans" w:cs="Calibri"/>
                <w:color w:val="000000"/>
                <w:sz w:val="14"/>
                <w:szCs w:val="14"/>
              </w:rPr>
            </w:pPr>
            <w:r w:rsidRPr="007176E3">
              <w:rPr>
                <w:rFonts w:ascii="Soberana Sans" w:hAnsi="Soberana Sans" w:cs="Calibri"/>
                <w:color w:val="000000"/>
                <w:sz w:val="14"/>
                <w:szCs w:val="14"/>
              </w:rPr>
              <w:t> </w:t>
            </w:r>
          </w:p>
        </w:tc>
        <w:tc>
          <w:tcPr>
            <w:tcW w:w="1140" w:type="dxa"/>
            <w:tcBorders>
              <w:top w:val="nil"/>
              <w:left w:val="nil"/>
              <w:bottom w:val="single" w:sz="8" w:space="0" w:color="auto"/>
              <w:right w:val="single" w:sz="8" w:space="0" w:color="auto"/>
            </w:tcBorders>
            <w:shd w:val="clear" w:color="auto" w:fill="auto"/>
            <w:hideMark/>
          </w:tcPr>
          <w:p w:rsidR="0037578E" w:rsidRPr="00B8488F" w:rsidRDefault="0037578E" w:rsidP="0037578E">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28" w:type="dxa"/>
            <w:tcBorders>
              <w:top w:val="nil"/>
              <w:left w:val="nil"/>
              <w:bottom w:val="single" w:sz="8" w:space="0" w:color="auto"/>
              <w:right w:val="single" w:sz="8" w:space="0" w:color="auto"/>
            </w:tcBorders>
            <w:shd w:val="clear" w:color="auto" w:fill="auto"/>
            <w:hideMark/>
          </w:tcPr>
          <w:p w:rsidR="0037578E" w:rsidRPr="00B8488F" w:rsidRDefault="0037578E" w:rsidP="0037578E">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211" w:type="dxa"/>
            <w:tcBorders>
              <w:top w:val="nil"/>
              <w:left w:val="nil"/>
              <w:bottom w:val="single" w:sz="8" w:space="0" w:color="auto"/>
              <w:right w:val="single" w:sz="8" w:space="0" w:color="auto"/>
            </w:tcBorders>
            <w:shd w:val="clear" w:color="auto" w:fill="auto"/>
            <w:hideMark/>
          </w:tcPr>
          <w:p w:rsidR="0037578E" w:rsidRPr="00B8488F" w:rsidRDefault="0037578E" w:rsidP="0037578E">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99" w:type="dxa"/>
            <w:tcBorders>
              <w:top w:val="nil"/>
              <w:left w:val="nil"/>
              <w:bottom w:val="single" w:sz="8" w:space="0" w:color="auto"/>
              <w:right w:val="single" w:sz="8" w:space="0" w:color="auto"/>
            </w:tcBorders>
            <w:shd w:val="clear" w:color="auto" w:fill="auto"/>
            <w:hideMark/>
          </w:tcPr>
          <w:p w:rsidR="0037578E" w:rsidRPr="00B8488F" w:rsidRDefault="0037578E" w:rsidP="0037578E">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single" w:sz="8" w:space="0" w:color="auto"/>
              <w:right w:val="single" w:sz="8" w:space="0" w:color="auto"/>
            </w:tcBorders>
            <w:shd w:val="clear" w:color="auto" w:fill="auto"/>
            <w:hideMark/>
          </w:tcPr>
          <w:p w:rsidR="0037578E" w:rsidRPr="00B8488F" w:rsidRDefault="0037578E" w:rsidP="0037578E">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c>
          <w:tcPr>
            <w:tcW w:w="1134" w:type="dxa"/>
            <w:tcBorders>
              <w:top w:val="nil"/>
              <w:left w:val="nil"/>
              <w:bottom w:val="single" w:sz="8" w:space="0" w:color="auto"/>
              <w:right w:val="single" w:sz="8" w:space="0" w:color="auto"/>
            </w:tcBorders>
            <w:shd w:val="clear" w:color="auto" w:fill="auto"/>
            <w:hideMark/>
          </w:tcPr>
          <w:p w:rsidR="0037578E" w:rsidRPr="00B8488F" w:rsidRDefault="0037578E" w:rsidP="0037578E">
            <w:pPr>
              <w:jc w:val="both"/>
              <w:rPr>
                <w:rFonts w:ascii="Soberana Sans" w:hAnsi="Soberana Sans" w:cs="Calibri"/>
                <w:color w:val="000000"/>
                <w:sz w:val="12"/>
                <w:szCs w:val="12"/>
              </w:rPr>
            </w:pPr>
            <w:r w:rsidRPr="00B8488F">
              <w:rPr>
                <w:rFonts w:ascii="Soberana Sans" w:hAnsi="Soberana Sans" w:cs="Calibri"/>
                <w:color w:val="000000"/>
                <w:sz w:val="12"/>
                <w:szCs w:val="12"/>
              </w:rPr>
              <w:t> </w:t>
            </w:r>
          </w:p>
        </w:tc>
      </w:tr>
    </w:tbl>
    <w:p w:rsidR="009B2EE6" w:rsidRDefault="009B2EE6" w:rsidP="0037578E">
      <w:pPr>
        <w:spacing w:line="360" w:lineRule="auto"/>
        <w:jc w:val="both"/>
        <w:rPr>
          <w:rFonts w:ascii="Arial" w:hAnsi="Arial" w:cs="Arial"/>
        </w:rPr>
      </w:pPr>
    </w:p>
    <w:tbl>
      <w:tblPr>
        <w:tblW w:w="8613"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237"/>
      </w:tblGrid>
      <w:tr w:rsidR="0037578E" w:rsidRPr="00654AF5" w:rsidTr="0037578E">
        <w:tc>
          <w:tcPr>
            <w:tcW w:w="8613" w:type="dxa"/>
            <w:gridSpan w:val="2"/>
            <w:shd w:val="clear" w:color="auto" w:fill="A8D08D" w:themeFill="accent6" w:themeFillTint="99"/>
          </w:tcPr>
          <w:p w:rsidR="0037578E" w:rsidRPr="00654AF5" w:rsidRDefault="0037578E" w:rsidP="0037578E">
            <w:pPr>
              <w:spacing w:line="360" w:lineRule="auto"/>
              <w:jc w:val="center"/>
              <w:rPr>
                <w:rFonts w:ascii="Arial" w:hAnsi="Arial" w:cs="Arial"/>
                <w:b/>
                <w:sz w:val="22"/>
              </w:rPr>
            </w:pPr>
            <w:r w:rsidRPr="00654AF5">
              <w:rPr>
                <w:rFonts w:ascii="Arial" w:hAnsi="Arial" w:cs="Arial"/>
                <w:b/>
                <w:sz w:val="22"/>
              </w:rPr>
              <w:t>GOBIERNO DEL ESTADO DE TLAXCALA</w:t>
            </w:r>
          </w:p>
          <w:p w:rsidR="0037578E" w:rsidRPr="00654AF5" w:rsidRDefault="0037578E" w:rsidP="0037578E">
            <w:pPr>
              <w:spacing w:line="360" w:lineRule="auto"/>
              <w:jc w:val="center"/>
              <w:rPr>
                <w:rFonts w:ascii="Arial" w:hAnsi="Arial" w:cs="Arial"/>
                <w:b/>
                <w:sz w:val="22"/>
              </w:rPr>
            </w:pPr>
            <w:r w:rsidRPr="00654AF5">
              <w:rPr>
                <w:rFonts w:ascii="Arial" w:hAnsi="Arial" w:cs="Arial"/>
                <w:b/>
                <w:sz w:val="22"/>
              </w:rPr>
              <w:t>SUPUESTOS DE FINANZAS PÚBLICAS DE MEDIANO PLAZO 201</w:t>
            </w:r>
            <w:r>
              <w:rPr>
                <w:rFonts w:ascii="Arial" w:hAnsi="Arial" w:cs="Arial"/>
                <w:b/>
                <w:sz w:val="22"/>
              </w:rPr>
              <w:t>9</w:t>
            </w:r>
            <w:r w:rsidRPr="00654AF5">
              <w:rPr>
                <w:rFonts w:ascii="Arial" w:hAnsi="Arial" w:cs="Arial"/>
                <w:b/>
                <w:sz w:val="22"/>
              </w:rPr>
              <w:t>-202</w:t>
            </w:r>
            <w:r>
              <w:rPr>
                <w:rFonts w:ascii="Arial" w:hAnsi="Arial" w:cs="Arial"/>
                <w:b/>
                <w:sz w:val="22"/>
              </w:rPr>
              <w:t>4</w:t>
            </w:r>
          </w:p>
        </w:tc>
      </w:tr>
      <w:tr w:rsidR="0037578E" w:rsidRPr="00654AF5" w:rsidTr="0037578E">
        <w:tc>
          <w:tcPr>
            <w:tcW w:w="2376" w:type="dxa"/>
          </w:tcPr>
          <w:p w:rsidR="0037578E" w:rsidRPr="00A966F7" w:rsidRDefault="0037578E" w:rsidP="0037578E">
            <w:pPr>
              <w:spacing w:line="360" w:lineRule="auto"/>
              <w:jc w:val="center"/>
              <w:rPr>
                <w:rFonts w:ascii="Arial" w:hAnsi="Arial" w:cs="Arial"/>
                <w:b/>
                <w:sz w:val="20"/>
              </w:rPr>
            </w:pPr>
            <w:r w:rsidRPr="00A966F7">
              <w:rPr>
                <w:rFonts w:ascii="Arial" w:hAnsi="Arial" w:cs="Arial"/>
                <w:b/>
                <w:sz w:val="20"/>
              </w:rPr>
              <w:t>Concepto</w:t>
            </w:r>
          </w:p>
        </w:tc>
        <w:tc>
          <w:tcPr>
            <w:tcW w:w="6237" w:type="dxa"/>
          </w:tcPr>
          <w:p w:rsidR="0037578E" w:rsidRPr="00A966F7" w:rsidRDefault="0037578E" w:rsidP="0037578E">
            <w:pPr>
              <w:spacing w:line="360" w:lineRule="auto"/>
              <w:jc w:val="center"/>
              <w:rPr>
                <w:rFonts w:ascii="Arial" w:hAnsi="Arial" w:cs="Arial"/>
                <w:b/>
                <w:sz w:val="20"/>
              </w:rPr>
            </w:pPr>
            <w:r w:rsidRPr="00A966F7">
              <w:rPr>
                <w:rFonts w:ascii="Arial" w:hAnsi="Arial" w:cs="Arial"/>
                <w:b/>
                <w:sz w:val="20"/>
              </w:rPr>
              <w:t>Supuestos</w:t>
            </w:r>
          </w:p>
        </w:tc>
      </w:tr>
      <w:tr w:rsidR="0037578E" w:rsidRPr="00654AF5" w:rsidTr="0037578E">
        <w:tc>
          <w:tcPr>
            <w:tcW w:w="2376" w:type="dxa"/>
          </w:tcPr>
          <w:p w:rsidR="0037578E" w:rsidRPr="00A966F7" w:rsidRDefault="0037578E" w:rsidP="0037578E">
            <w:pPr>
              <w:spacing w:line="360" w:lineRule="auto"/>
              <w:jc w:val="both"/>
              <w:rPr>
                <w:rFonts w:ascii="Arial" w:hAnsi="Arial" w:cs="Arial"/>
                <w:b/>
                <w:sz w:val="20"/>
              </w:rPr>
            </w:pPr>
          </w:p>
        </w:tc>
        <w:tc>
          <w:tcPr>
            <w:tcW w:w="6237" w:type="dxa"/>
          </w:tcPr>
          <w:p w:rsidR="0037578E" w:rsidRPr="00A966F7" w:rsidRDefault="0037578E" w:rsidP="0037578E">
            <w:pPr>
              <w:spacing w:line="360" w:lineRule="auto"/>
              <w:jc w:val="center"/>
              <w:rPr>
                <w:rFonts w:ascii="Arial" w:hAnsi="Arial" w:cs="Arial"/>
                <w:b/>
                <w:sz w:val="20"/>
              </w:rPr>
            </w:pPr>
            <w:r w:rsidRPr="00A966F7">
              <w:rPr>
                <w:rFonts w:ascii="Arial" w:hAnsi="Arial" w:cs="Arial"/>
                <w:b/>
                <w:sz w:val="20"/>
              </w:rPr>
              <w:t>Fuente de recursos</w:t>
            </w:r>
          </w:p>
        </w:tc>
      </w:tr>
      <w:tr w:rsidR="0037578E" w:rsidRPr="00654AF5" w:rsidTr="0037578E">
        <w:tc>
          <w:tcPr>
            <w:tcW w:w="2376" w:type="dxa"/>
          </w:tcPr>
          <w:p w:rsidR="0037578E" w:rsidRPr="00654AF5" w:rsidRDefault="0037578E" w:rsidP="0037578E">
            <w:pPr>
              <w:spacing w:line="360" w:lineRule="auto"/>
              <w:jc w:val="both"/>
              <w:rPr>
                <w:rFonts w:ascii="Arial" w:hAnsi="Arial" w:cs="Arial"/>
                <w:sz w:val="20"/>
              </w:rPr>
            </w:pPr>
            <w:r w:rsidRPr="00654AF5">
              <w:rPr>
                <w:rFonts w:ascii="Arial" w:hAnsi="Arial" w:cs="Arial"/>
                <w:sz w:val="20"/>
              </w:rPr>
              <w:t>Impuestos</w:t>
            </w:r>
          </w:p>
        </w:tc>
        <w:tc>
          <w:tcPr>
            <w:tcW w:w="6237" w:type="dxa"/>
          </w:tcPr>
          <w:p w:rsidR="0037578E" w:rsidRDefault="0037578E" w:rsidP="0037578E">
            <w:pPr>
              <w:spacing w:line="360" w:lineRule="auto"/>
              <w:jc w:val="both"/>
              <w:rPr>
                <w:rFonts w:ascii="Arial" w:hAnsi="Arial" w:cs="Arial"/>
                <w:sz w:val="20"/>
              </w:rPr>
            </w:pPr>
            <w:r>
              <w:rPr>
                <w:rFonts w:ascii="Arial" w:hAnsi="Arial" w:cs="Arial"/>
                <w:sz w:val="20"/>
              </w:rPr>
              <w:t>La recaudación aumenta a una tasa anual promedio de 3.0 %, ligeramente mayor a lo estimado.</w:t>
            </w:r>
          </w:p>
          <w:p w:rsidR="0037578E" w:rsidRPr="00654AF5" w:rsidRDefault="0037578E" w:rsidP="0037578E">
            <w:pPr>
              <w:spacing w:line="360" w:lineRule="auto"/>
              <w:jc w:val="both"/>
              <w:rPr>
                <w:rFonts w:ascii="Arial" w:hAnsi="Arial" w:cs="Arial"/>
                <w:sz w:val="20"/>
              </w:rPr>
            </w:pPr>
          </w:p>
        </w:tc>
      </w:tr>
      <w:tr w:rsidR="0037578E" w:rsidRPr="00654AF5" w:rsidTr="0037578E">
        <w:tc>
          <w:tcPr>
            <w:tcW w:w="2376" w:type="dxa"/>
          </w:tcPr>
          <w:p w:rsidR="0037578E" w:rsidRPr="00654AF5" w:rsidRDefault="0037578E" w:rsidP="0037578E">
            <w:pPr>
              <w:spacing w:line="360" w:lineRule="auto"/>
              <w:jc w:val="both"/>
              <w:rPr>
                <w:rFonts w:ascii="Arial" w:hAnsi="Arial" w:cs="Arial"/>
                <w:sz w:val="20"/>
              </w:rPr>
            </w:pPr>
            <w:r w:rsidRPr="00654AF5">
              <w:rPr>
                <w:rFonts w:ascii="Arial" w:hAnsi="Arial" w:cs="Arial"/>
                <w:sz w:val="20"/>
              </w:rPr>
              <w:t>Derechos</w:t>
            </w:r>
          </w:p>
        </w:tc>
        <w:tc>
          <w:tcPr>
            <w:tcW w:w="6237" w:type="dxa"/>
          </w:tcPr>
          <w:p w:rsidR="0037578E" w:rsidRDefault="0037578E" w:rsidP="0037578E">
            <w:pPr>
              <w:spacing w:line="360" w:lineRule="auto"/>
              <w:jc w:val="both"/>
              <w:rPr>
                <w:rFonts w:ascii="Arial" w:hAnsi="Arial" w:cs="Arial"/>
                <w:sz w:val="20"/>
              </w:rPr>
            </w:pPr>
            <w:r>
              <w:rPr>
                <w:rFonts w:ascii="Arial" w:hAnsi="Arial" w:cs="Arial"/>
                <w:sz w:val="20"/>
              </w:rPr>
              <w:t>La recaudación aumenta a una tasa anual promedio de 3.0 %, ligeramente mayor a lo estimado, derivado de los servicios prestados por Dependencias del Poder Ejecutivo.</w:t>
            </w:r>
          </w:p>
          <w:p w:rsidR="0037578E" w:rsidRPr="00654AF5" w:rsidRDefault="0037578E" w:rsidP="0037578E">
            <w:pPr>
              <w:spacing w:line="360" w:lineRule="auto"/>
              <w:jc w:val="both"/>
              <w:rPr>
                <w:rFonts w:ascii="Arial" w:hAnsi="Arial" w:cs="Arial"/>
                <w:sz w:val="20"/>
              </w:rPr>
            </w:pPr>
          </w:p>
        </w:tc>
      </w:tr>
      <w:tr w:rsidR="0037578E" w:rsidRPr="00654AF5" w:rsidTr="0037578E">
        <w:tc>
          <w:tcPr>
            <w:tcW w:w="2376" w:type="dxa"/>
          </w:tcPr>
          <w:p w:rsidR="0037578E" w:rsidRPr="00654AF5" w:rsidRDefault="0037578E" w:rsidP="0037578E">
            <w:pPr>
              <w:spacing w:line="360" w:lineRule="auto"/>
              <w:jc w:val="both"/>
              <w:rPr>
                <w:rFonts w:ascii="Arial" w:hAnsi="Arial" w:cs="Arial"/>
                <w:sz w:val="20"/>
              </w:rPr>
            </w:pPr>
            <w:r w:rsidRPr="00654AF5">
              <w:rPr>
                <w:rFonts w:ascii="Arial" w:hAnsi="Arial" w:cs="Arial"/>
                <w:sz w:val="20"/>
              </w:rPr>
              <w:t>Productos</w:t>
            </w:r>
          </w:p>
        </w:tc>
        <w:tc>
          <w:tcPr>
            <w:tcW w:w="6237" w:type="dxa"/>
          </w:tcPr>
          <w:p w:rsidR="0037578E" w:rsidRDefault="0037578E" w:rsidP="0037578E">
            <w:pPr>
              <w:spacing w:line="360" w:lineRule="auto"/>
              <w:jc w:val="both"/>
              <w:rPr>
                <w:rFonts w:ascii="Arial" w:hAnsi="Arial" w:cs="Arial"/>
                <w:sz w:val="20"/>
              </w:rPr>
            </w:pPr>
            <w:r>
              <w:rPr>
                <w:rFonts w:ascii="Arial" w:hAnsi="Arial" w:cs="Arial"/>
                <w:sz w:val="20"/>
              </w:rPr>
              <w:t>Aumentan a una tasa similar al crecimiento real de la recaudación de contribuciones.</w:t>
            </w:r>
          </w:p>
          <w:p w:rsidR="0037578E" w:rsidRPr="00654AF5" w:rsidRDefault="0037578E" w:rsidP="0037578E">
            <w:pPr>
              <w:spacing w:line="360" w:lineRule="auto"/>
              <w:jc w:val="both"/>
              <w:rPr>
                <w:rFonts w:ascii="Arial" w:hAnsi="Arial" w:cs="Arial"/>
                <w:sz w:val="20"/>
              </w:rPr>
            </w:pPr>
          </w:p>
        </w:tc>
      </w:tr>
      <w:tr w:rsidR="0037578E" w:rsidRPr="00654AF5" w:rsidTr="0037578E">
        <w:tc>
          <w:tcPr>
            <w:tcW w:w="2376" w:type="dxa"/>
          </w:tcPr>
          <w:p w:rsidR="0037578E" w:rsidRPr="00654AF5" w:rsidRDefault="0037578E" w:rsidP="0037578E">
            <w:pPr>
              <w:spacing w:line="360" w:lineRule="auto"/>
              <w:jc w:val="both"/>
              <w:rPr>
                <w:rFonts w:ascii="Arial" w:hAnsi="Arial" w:cs="Arial"/>
                <w:sz w:val="20"/>
              </w:rPr>
            </w:pPr>
            <w:r w:rsidRPr="00654AF5">
              <w:rPr>
                <w:rFonts w:ascii="Arial" w:hAnsi="Arial" w:cs="Arial"/>
                <w:sz w:val="20"/>
              </w:rPr>
              <w:lastRenderedPageBreak/>
              <w:t>Aprovechamientos</w:t>
            </w:r>
          </w:p>
        </w:tc>
        <w:tc>
          <w:tcPr>
            <w:tcW w:w="6237" w:type="dxa"/>
          </w:tcPr>
          <w:p w:rsidR="0037578E" w:rsidRPr="00654AF5" w:rsidRDefault="0037578E" w:rsidP="0037578E">
            <w:pPr>
              <w:spacing w:line="360" w:lineRule="auto"/>
              <w:jc w:val="both"/>
              <w:rPr>
                <w:rFonts w:ascii="Arial" w:hAnsi="Arial" w:cs="Arial"/>
                <w:sz w:val="20"/>
              </w:rPr>
            </w:pPr>
            <w:r>
              <w:rPr>
                <w:rFonts w:ascii="Arial" w:hAnsi="Arial" w:cs="Arial"/>
                <w:sz w:val="20"/>
              </w:rPr>
              <w:t>Aumentan en función de la recaudación esperada en contribuciones.</w:t>
            </w:r>
          </w:p>
        </w:tc>
      </w:tr>
      <w:tr w:rsidR="0037578E" w:rsidRPr="00654AF5" w:rsidTr="0037578E">
        <w:tc>
          <w:tcPr>
            <w:tcW w:w="2376" w:type="dxa"/>
          </w:tcPr>
          <w:p w:rsidR="0037578E" w:rsidRPr="00654AF5" w:rsidRDefault="0037578E" w:rsidP="0037578E">
            <w:pPr>
              <w:spacing w:line="360" w:lineRule="auto"/>
              <w:jc w:val="both"/>
              <w:rPr>
                <w:rFonts w:ascii="Arial" w:hAnsi="Arial" w:cs="Arial"/>
                <w:sz w:val="20"/>
              </w:rPr>
            </w:pPr>
            <w:r w:rsidRPr="00654AF5">
              <w:rPr>
                <w:rFonts w:ascii="Arial" w:hAnsi="Arial" w:cs="Arial"/>
                <w:sz w:val="20"/>
              </w:rPr>
              <w:t>Participaciones</w:t>
            </w:r>
          </w:p>
        </w:tc>
        <w:tc>
          <w:tcPr>
            <w:tcW w:w="6237" w:type="dxa"/>
          </w:tcPr>
          <w:p w:rsidR="0037578E" w:rsidRDefault="0037578E" w:rsidP="0037578E">
            <w:pPr>
              <w:spacing w:line="360" w:lineRule="auto"/>
              <w:jc w:val="both"/>
              <w:rPr>
                <w:rFonts w:ascii="Arial" w:hAnsi="Arial" w:cs="Arial"/>
                <w:sz w:val="20"/>
              </w:rPr>
            </w:pPr>
            <w:r>
              <w:rPr>
                <w:rFonts w:ascii="Arial" w:hAnsi="Arial" w:cs="Arial"/>
                <w:sz w:val="20"/>
              </w:rPr>
              <w:t>Consideran un incremento en función de la recaudación federal participable, tomando como base la recaudación de ingresos tributarios, no tributarios e ingresos petroleros.</w:t>
            </w:r>
          </w:p>
          <w:p w:rsidR="0037578E" w:rsidRPr="00654AF5" w:rsidRDefault="0037578E" w:rsidP="0037578E">
            <w:pPr>
              <w:spacing w:line="360" w:lineRule="auto"/>
              <w:jc w:val="both"/>
              <w:rPr>
                <w:rFonts w:ascii="Arial" w:hAnsi="Arial" w:cs="Arial"/>
                <w:sz w:val="20"/>
              </w:rPr>
            </w:pPr>
          </w:p>
        </w:tc>
      </w:tr>
      <w:tr w:rsidR="0037578E" w:rsidRPr="00654AF5" w:rsidTr="0037578E">
        <w:tc>
          <w:tcPr>
            <w:tcW w:w="2376" w:type="dxa"/>
          </w:tcPr>
          <w:p w:rsidR="0037578E" w:rsidRPr="00654AF5" w:rsidRDefault="0037578E" w:rsidP="0037578E">
            <w:pPr>
              <w:spacing w:line="360" w:lineRule="auto"/>
              <w:jc w:val="both"/>
              <w:rPr>
                <w:rFonts w:ascii="Arial" w:hAnsi="Arial" w:cs="Arial"/>
                <w:sz w:val="20"/>
              </w:rPr>
            </w:pPr>
            <w:r w:rsidRPr="00654AF5">
              <w:rPr>
                <w:rFonts w:ascii="Arial" w:hAnsi="Arial" w:cs="Arial"/>
                <w:sz w:val="20"/>
              </w:rPr>
              <w:t>Incentivos Económicos</w:t>
            </w:r>
          </w:p>
        </w:tc>
        <w:tc>
          <w:tcPr>
            <w:tcW w:w="6237" w:type="dxa"/>
          </w:tcPr>
          <w:p w:rsidR="0037578E" w:rsidRDefault="0037578E" w:rsidP="0037578E">
            <w:pPr>
              <w:spacing w:line="360" w:lineRule="auto"/>
              <w:jc w:val="both"/>
              <w:rPr>
                <w:rFonts w:ascii="Arial" w:hAnsi="Arial" w:cs="Arial"/>
                <w:sz w:val="20"/>
              </w:rPr>
            </w:pPr>
            <w:r>
              <w:rPr>
                <w:rFonts w:ascii="Arial" w:hAnsi="Arial" w:cs="Arial"/>
                <w:sz w:val="20"/>
              </w:rPr>
              <w:t>Aumentan en función de las acciones de fiscalización concurrentes y de los incentivos otorgados a través del Convenio de Colaboración Administrativa en Materia Fiscal Federal.</w:t>
            </w:r>
          </w:p>
          <w:p w:rsidR="0037578E" w:rsidRPr="00654AF5" w:rsidRDefault="0037578E" w:rsidP="0037578E">
            <w:pPr>
              <w:spacing w:line="360" w:lineRule="auto"/>
              <w:jc w:val="both"/>
              <w:rPr>
                <w:rFonts w:ascii="Arial" w:hAnsi="Arial" w:cs="Arial"/>
                <w:sz w:val="20"/>
              </w:rPr>
            </w:pPr>
          </w:p>
        </w:tc>
      </w:tr>
      <w:tr w:rsidR="0037578E" w:rsidRPr="00654AF5" w:rsidTr="0037578E">
        <w:tc>
          <w:tcPr>
            <w:tcW w:w="2376" w:type="dxa"/>
          </w:tcPr>
          <w:p w:rsidR="0037578E" w:rsidRPr="00654AF5" w:rsidRDefault="0037578E" w:rsidP="0037578E">
            <w:pPr>
              <w:spacing w:line="360" w:lineRule="auto"/>
              <w:jc w:val="both"/>
              <w:rPr>
                <w:rFonts w:ascii="Arial" w:hAnsi="Arial" w:cs="Arial"/>
                <w:sz w:val="20"/>
              </w:rPr>
            </w:pPr>
            <w:r w:rsidRPr="00654AF5">
              <w:rPr>
                <w:rFonts w:ascii="Arial" w:hAnsi="Arial" w:cs="Arial"/>
                <w:sz w:val="20"/>
              </w:rPr>
              <w:t>Aportaciones</w:t>
            </w:r>
          </w:p>
        </w:tc>
        <w:tc>
          <w:tcPr>
            <w:tcW w:w="6237" w:type="dxa"/>
          </w:tcPr>
          <w:p w:rsidR="0037578E" w:rsidRDefault="0037578E" w:rsidP="0037578E">
            <w:pPr>
              <w:spacing w:line="360" w:lineRule="auto"/>
              <w:jc w:val="both"/>
              <w:rPr>
                <w:rFonts w:ascii="Arial" w:hAnsi="Arial" w:cs="Arial"/>
                <w:sz w:val="20"/>
              </w:rPr>
            </w:pPr>
            <w:r>
              <w:rPr>
                <w:rFonts w:ascii="Arial" w:hAnsi="Arial" w:cs="Arial"/>
                <w:sz w:val="20"/>
              </w:rPr>
              <w:t>Se incrementan a una tasa de crecimiento promedio del 3.0%.</w:t>
            </w:r>
          </w:p>
          <w:p w:rsidR="0037578E" w:rsidRPr="00654AF5" w:rsidRDefault="0037578E" w:rsidP="0037578E">
            <w:pPr>
              <w:spacing w:line="360" w:lineRule="auto"/>
              <w:jc w:val="both"/>
              <w:rPr>
                <w:rFonts w:ascii="Arial" w:hAnsi="Arial" w:cs="Arial"/>
                <w:sz w:val="20"/>
              </w:rPr>
            </w:pPr>
          </w:p>
        </w:tc>
      </w:tr>
      <w:tr w:rsidR="0037578E" w:rsidRPr="00654AF5" w:rsidTr="0037578E">
        <w:tc>
          <w:tcPr>
            <w:tcW w:w="2376" w:type="dxa"/>
          </w:tcPr>
          <w:p w:rsidR="0037578E" w:rsidRPr="00654AF5" w:rsidRDefault="0037578E" w:rsidP="0037578E">
            <w:pPr>
              <w:spacing w:line="360" w:lineRule="auto"/>
              <w:jc w:val="both"/>
              <w:rPr>
                <w:rFonts w:ascii="Arial" w:hAnsi="Arial" w:cs="Arial"/>
                <w:sz w:val="20"/>
              </w:rPr>
            </w:pPr>
            <w:r w:rsidRPr="00654AF5">
              <w:rPr>
                <w:rFonts w:ascii="Arial" w:hAnsi="Arial" w:cs="Arial"/>
                <w:sz w:val="20"/>
              </w:rPr>
              <w:t>Convenios</w:t>
            </w:r>
          </w:p>
        </w:tc>
        <w:tc>
          <w:tcPr>
            <w:tcW w:w="6237" w:type="dxa"/>
          </w:tcPr>
          <w:p w:rsidR="0037578E" w:rsidRPr="00654AF5" w:rsidRDefault="0037578E" w:rsidP="0037578E">
            <w:pPr>
              <w:spacing w:line="360" w:lineRule="auto"/>
              <w:jc w:val="both"/>
              <w:rPr>
                <w:rFonts w:ascii="Arial" w:hAnsi="Arial" w:cs="Arial"/>
                <w:sz w:val="20"/>
              </w:rPr>
            </w:pPr>
            <w:r>
              <w:rPr>
                <w:rFonts w:ascii="Arial" w:hAnsi="Arial" w:cs="Arial"/>
                <w:sz w:val="20"/>
              </w:rPr>
              <w:t>Considera una alta variabilidad ya que la obtención de recursos por este concepto está en función de las negociaciones del presupuesto que se efectúen.</w:t>
            </w:r>
          </w:p>
        </w:tc>
      </w:tr>
    </w:tbl>
    <w:p w:rsidR="001559A2" w:rsidRDefault="001559A2" w:rsidP="009B2EE6">
      <w:pPr>
        <w:spacing w:line="360" w:lineRule="auto"/>
        <w:jc w:val="both"/>
        <w:rPr>
          <w:rFonts w:ascii="Arial" w:hAnsi="Arial" w:cs="Arial"/>
          <w:b/>
          <w:bCs/>
        </w:rPr>
      </w:pPr>
    </w:p>
    <w:p w:rsidR="0037578E" w:rsidRDefault="0037578E" w:rsidP="009B2EE6">
      <w:pPr>
        <w:spacing w:line="360" w:lineRule="auto"/>
        <w:jc w:val="both"/>
        <w:rPr>
          <w:rFonts w:ascii="Arial" w:hAnsi="Arial" w:cs="Arial"/>
          <w:b/>
          <w:bCs/>
        </w:rPr>
      </w:pPr>
      <w:r>
        <w:rPr>
          <w:rFonts w:ascii="Arial" w:hAnsi="Arial" w:cs="Arial"/>
          <w:b/>
          <w:bCs/>
        </w:rPr>
        <w:t>RIESGOS FISCALES.</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B7607A">
        <w:rPr>
          <w:rFonts w:ascii="Arial" w:hAnsi="Arial" w:cs="Arial"/>
        </w:rPr>
        <w:t xml:space="preserve">Los riesgos fiscales de largo plazo para las finanzas públicas </w:t>
      </w:r>
      <w:r>
        <w:rPr>
          <w:rFonts w:ascii="Arial" w:hAnsi="Arial" w:cs="Arial"/>
        </w:rPr>
        <w:t xml:space="preserve">del Estado de Tlaxcala, </w:t>
      </w:r>
      <w:r w:rsidRPr="00B7607A">
        <w:rPr>
          <w:rFonts w:ascii="Arial" w:hAnsi="Arial" w:cs="Arial"/>
        </w:rPr>
        <w:t>se</w:t>
      </w:r>
      <w:r>
        <w:rPr>
          <w:rFonts w:ascii="Arial" w:hAnsi="Arial" w:cs="Arial"/>
        </w:rPr>
        <w:t xml:space="preserve"> pueden</w:t>
      </w:r>
      <w:r w:rsidRPr="00B7607A">
        <w:rPr>
          <w:rFonts w:ascii="Arial" w:hAnsi="Arial" w:cs="Arial"/>
        </w:rPr>
        <w:t xml:space="preserve"> defin</w:t>
      </w:r>
      <w:r>
        <w:rPr>
          <w:rFonts w:ascii="Arial" w:hAnsi="Arial" w:cs="Arial"/>
        </w:rPr>
        <w:t>ir</w:t>
      </w:r>
      <w:r w:rsidRPr="00B7607A">
        <w:rPr>
          <w:rFonts w:ascii="Arial" w:hAnsi="Arial" w:cs="Arial"/>
        </w:rPr>
        <w:t xml:space="preserve"> como obligaciones no</w:t>
      </w:r>
      <w:r>
        <w:rPr>
          <w:rFonts w:ascii="Arial" w:hAnsi="Arial" w:cs="Arial"/>
        </w:rPr>
        <w:t xml:space="preserve"> </w:t>
      </w:r>
      <w:r w:rsidRPr="00B7607A">
        <w:rPr>
          <w:rFonts w:ascii="Arial" w:hAnsi="Arial" w:cs="Arial"/>
        </w:rPr>
        <w:t xml:space="preserve">transitorias, cuya dinámica depende </w:t>
      </w:r>
      <w:r>
        <w:rPr>
          <w:rFonts w:ascii="Arial" w:hAnsi="Arial" w:cs="Arial"/>
        </w:rPr>
        <w:t>entre otros,</w:t>
      </w:r>
      <w:r w:rsidRPr="00B7607A">
        <w:rPr>
          <w:rFonts w:ascii="Arial" w:hAnsi="Arial" w:cs="Arial"/>
        </w:rPr>
        <w:t xml:space="preserve"> del desempeño de las variables macroeconómicas</w:t>
      </w:r>
      <w:r>
        <w:rPr>
          <w:rFonts w:ascii="Arial" w:hAnsi="Arial" w:cs="Arial"/>
        </w:rPr>
        <w:t xml:space="preserve"> </w:t>
      </w:r>
      <w:r w:rsidRPr="00B7607A">
        <w:rPr>
          <w:rFonts w:ascii="Arial" w:hAnsi="Arial" w:cs="Arial"/>
        </w:rPr>
        <w:t xml:space="preserve">en el corto plazo. </w:t>
      </w:r>
    </w:p>
    <w:p w:rsidR="0037578E" w:rsidRPr="00B7607A"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DB6B17">
        <w:rPr>
          <w:rFonts w:ascii="Arial" w:hAnsi="Arial" w:cs="Arial"/>
        </w:rPr>
        <w:t xml:space="preserve">El escenario macroeconómico de mediano plazo </w:t>
      </w:r>
      <w:r>
        <w:rPr>
          <w:rFonts w:ascii="Arial" w:hAnsi="Arial" w:cs="Arial"/>
        </w:rPr>
        <w:t>descrito se encuentra</w:t>
      </w:r>
      <w:r w:rsidRPr="00DB6B17">
        <w:rPr>
          <w:rFonts w:ascii="Arial" w:hAnsi="Arial" w:cs="Arial"/>
        </w:rPr>
        <w:t xml:space="preserve"> sujeto a </w:t>
      </w:r>
      <w:r>
        <w:rPr>
          <w:rFonts w:ascii="Arial" w:hAnsi="Arial" w:cs="Arial"/>
        </w:rPr>
        <w:t xml:space="preserve">diversos </w:t>
      </w:r>
      <w:r w:rsidRPr="00DB6B17">
        <w:rPr>
          <w:rFonts w:ascii="Arial" w:hAnsi="Arial" w:cs="Arial"/>
        </w:rPr>
        <w:t>riesgos que podrían modificar las</w:t>
      </w:r>
      <w:r>
        <w:rPr>
          <w:rFonts w:ascii="Arial" w:hAnsi="Arial" w:cs="Arial"/>
        </w:rPr>
        <w:t xml:space="preserve"> </w:t>
      </w:r>
      <w:r w:rsidRPr="00DB6B17">
        <w:rPr>
          <w:rFonts w:ascii="Arial" w:hAnsi="Arial" w:cs="Arial"/>
        </w:rPr>
        <w:t>trayectorias anticipadas. Dentro de los riesgos a la baja destacan:</w:t>
      </w:r>
    </w:p>
    <w:p w:rsidR="0037578E" w:rsidRPr="00DB6B17" w:rsidRDefault="0037578E" w:rsidP="0037578E">
      <w:pPr>
        <w:spacing w:line="360" w:lineRule="auto"/>
        <w:jc w:val="both"/>
        <w:rPr>
          <w:rFonts w:ascii="Arial" w:hAnsi="Arial" w:cs="Arial"/>
        </w:rPr>
      </w:pPr>
    </w:p>
    <w:p w:rsidR="0037578E" w:rsidRDefault="0037578E" w:rsidP="00F36D7A">
      <w:pPr>
        <w:pStyle w:val="Prrafodelista"/>
        <w:numPr>
          <w:ilvl w:val="0"/>
          <w:numId w:val="10"/>
        </w:numPr>
        <w:spacing w:line="360" w:lineRule="auto"/>
        <w:jc w:val="both"/>
        <w:rPr>
          <w:rFonts w:ascii="Arial" w:hAnsi="Arial" w:cs="Arial"/>
        </w:rPr>
      </w:pPr>
      <w:r w:rsidRPr="003808E8">
        <w:rPr>
          <w:rFonts w:ascii="Arial" w:hAnsi="Arial" w:cs="Arial"/>
        </w:rPr>
        <w:lastRenderedPageBreak/>
        <w:t>El resultado de las negociaciones relativas a la modernización del Tratado de</w:t>
      </w:r>
      <w:r>
        <w:rPr>
          <w:rFonts w:ascii="Arial" w:hAnsi="Arial" w:cs="Arial"/>
        </w:rPr>
        <w:t xml:space="preserve"> </w:t>
      </w:r>
      <w:r w:rsidRPr="003808E8">
        <w:rPr>
          <w:rFonts w:ascii="Arial" w:hAnsi="Arial" w:cs="Arial"/>
        </w:rPr>
        <w:t>Libre Comercio de América del Norte.</w:t>
      </w:r>
    </w:p>
    <w:p w:rsidR="0037578E" w:rsidRPr="003808E8" w:rsidRDefault="0037578E" w:rsidP="0037578E">
      <w:pPr>
        <w:spacing w:line="360" w:lineRule="auto"/>
        <w:jc w:val="both"/>
        <w:rPr>
          <w:rFonts w:ascii="Arial" w:hAnsi="Arial" w:cs="Arial"/>
        </w:rPr>
      </w:pPr>
    </w:p>
    <w:p w:rsidR="0037578E" w:rsidRDefault="0037578E" w:rsidP="00F36D7A">
      <w:pPr>
        <w:pStyle w:val="Prrafodelista"/>
        <w:numPr>
          <w:ilvl w:val="0"/>
          <w:numId w:val="10"/>
        </w:numPr>
        <w:spacing w:line="360" w:lineRule="auto"/>
        <w:jc w:val="both"/>
        <w:rPr>
          <w:rFonts w:ascii="Arial" w:hAnsi="Arial" w:cs="Arial"/>
        </w:rPr>
      </w:pPr>
      <w:r w:rsidRPr="003808E8">
        <w:rPr>
          <w:rFonts w:ascii="Arial" w:hAnsi="Arial" w:cs="Arial"/>
        </w:rPr>
        <w:t>De manera relacionada, un dinamismo menor al anticipado en la economía mundial, y de México en particular, el cual podría derivarse, por ejemplo, de la implementación de políticas proteccionistas que obstaculicen el comercio internacional.</w:t>
      </w:r>
    </w:p>
    <w:p w:rsidR="0037578E" w:rsidRPr="003808E8" w:rsidRDefault="0037578E" w:rsidP="0037578E">
      <w:pPr>
        <w:spacing w:line="360" w:lineRule="auto"/>
        <w:jc w:val="both"/>
        <w:rPr>
          <w:rFonts w:ascii="Arial" w:hAnsi="Arial" w:cs="Arial"/>
        </w:rPr>
      </w:pPr>
    </w:p>
    <w:p w:rsidR="0037578E" w:rsidRDefault="0037578E" w:rsidP="00F36D7A">
      <w:pPr>
        <w:pStyle w:val="Prrafodelista"/>
        <w:numPr>
          <w:ilvl w:val="0"/>
          <w:numId w:val="10"/>
        </w:numPr>
        <w:spacing w:line="360" w:lineRule="auto"/>
        <w:jc w:val="both"/>
        <w:rPr>
          <w:rFonts w:ascii="Arial" w:hAnsi="Arial" w:cs="Arial"/>
        </w:rPr>
      </w:pPr>
      <w:r w:rsidRPr="003808E8">
        <w:rPr>
          <w:rFonts w:ascii="Arial" w:hAnsi="Arial" w:cs="Arial"/>
        </w:rPr>
        <w:t>Un crecimiento de la inversión en México más lento que lo anticipado.</w:t>
      </w:r>
    </w:p>
    <w:p w:rsidR="0037578E" w:rsidRPr="003808E8" w:rsidRDefault="0037578E" w:rsidP="0037578E">
      <w:pPr>
        <w:spacing w:line="360" w:lineRule="auto"/>
        <w:jc w:val="both"/>
        <w:rPr>
          <w:rFonts w:ascii="Arial" w:hAnsi="Arial" w:cs="Arial"/>
        </w:rPr>
      </w:pPr>
    </w:p>
    <w:p w:rsidR="0037578E" w:rsidRPr="003808E8" w:rsidRDefault="0037578E" w:rsidP="00F36D7A">
      <w:pPr>
        <w:pStyle w:val="Prrafodelista"/>
        <w:numPr>
          <w:ilvl w:val="0"/>
          <w:numId w:val="10"/>
        </w:numPr>
        <w:spacing w:line="360" w:lineRule="auto"/>
        <w:jc w:val="both"/>
        <w:rPr>
          <w:rFonts w:ascii="Arial" w:hAnsi="Arial" w:cs="Arial"/>
        </w:rPr>
      </w:pPr>
      <w:r w:rsidRPr="003808E8">
        <w:rPr>
          <w:rFonts w:ascii="Arial" w:hAnsi="Arial" w:cs="Arial"/>
        </w:rPr>
        <w:t>Mayor volatilidad en los mercados financieros internacionales que implique una disminución de los flujos de capitales a los países emergentes. Esto podría suceder, por ejemplo, en caso de que el proceso de normalización de la política</w:t>
      </w:r>
      <w:r>
        <w:rPr>
          <w:rFonts w:ascii="Arial" w:hAnsi="Arial" w:cs="Arial"/>
        </w:rPr>
        <w:t xml:space="preserve"> </w:t>
      </w:r>
      <w:r w:rsidRPr="003808E8">
        <w:rPr>
          <w:rFonts w:ascii="Arial" w:hAnsi="Arial" w:cs="Arial"/>
        </w:rPr>
        <w:t>monetaria en E</w:t>
      </w:r>
      <w:r>
        <w:rPr>
          <w:rFonts w:ascii="Arial" w:hAnsi="Arial" w:cs="Arial"/>
        </w:rPr>
        <w:t xml:space="preserve">stados </w:t>
      </w:r>
      <w:r w:rsidRPr="003808E8">
        <w:rPr>
          <w:rFonts w:ascii="Arial" w:hAnsi="Arial" w:cs="Arial"/>
        </w:rPr>
        <w:t>U</w:t>
      </w:r>
      <w:r>
        <w:rPr>
          <w:rFonts w:ascii="Arial" w:hAnsi="Arial" w:cs="Arial"/>
        </w:rPr>
        <w:t>nidos</w:t>
      </w:r>
      <w:r w:rsidRPr="003808E8">
        <w:rPr>
          <w:rFonts w:ascii="Arial" w:hAnsi="Arial" w:cs="Arial"/>
        </w:rPr>
        <w:t xml:space="preserve"> sea más rápido que lo anticipado.</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B7607A">
        <w:rPr>
          <w:rFonts w:ascii="Arial" w:hAnsi="Arial" w:cs="Arial"/>
        </w:rPr>
        <w:t xml:space="preserve">En consecuencia, el diseño e implementación de la política </w:t>
      </w:r>
      <w:r>
        <w:rPr>
          <w:rFonts w:ascii="Arial" w:hAnsi="Arial" w:cs="Arial"/>
        </w:rPr>
        <w:t>fiscal del Estado debe</w:t>
      </w:r>
      <w:r w:rsidRPr="00B7607A">
        <w:rPr>
          <w:rFonts w:ascii="Arial" w:hAnsi="Arial" w:cs="Arial"/>
        </w:rPr>
        <w:t xml:space="preserve"> considera</w:t>
      </w:r>
      <w:r>
        <w:rPr>
          <w:rFonts w:ascii="Arial" w:hAnsi="Arial" w:cs="Arial"/>
        </w:rPr>
        <w:t>r</w:t>
      </w:r>
      <w:r w:rsidRPr="00B7607A">
        <w:rPr>
          <w:rFonts w:ascii="Arial" w:hAnsi="Arial" w:cs="Arial"/>
        </w:rPr>
        <w:t xml:space="preserve"> los riesgos de mediano y largo plazos. A continuación</w:t>
      </w:r>
      <w:r>
        <w:rPr>
          <w:rFonts w:ascii="Arial" w:hAnsi="Arial" w:cs="Arial"/>
        </w:rPr>
        <w:t>,</w:t>
      </w:r>
      <w:r w:rsidRPr="00B7607A">
        <w:rPr>
          <w:rFonts w:ascii="Arial" w:hAnsi="Arial" w:cs="Arial"/>
        </w:rPr>
        <w:t xml:space="preserve"> se </w:t>
      </w:r>
      <w:r>
        <w:rPr>
          <w:rFonts w:ascii="Arial" w:hAnsi="Arial" w:cs="Arial"/>
        </w:rPr>
        <w:t>presentan</w:t>
      </w:r>
      <w:r w:rsidRPr="00B7607A">
        <w:rPr>
          <w:rFonts w:ascii="Arial" w:hAnsi="Arial" w:cs="Arial"/>
        </w:rPr>
        <w:t xml:space="preserve"> los principales factores </w:t>
      </w:r>
      <w:r>
        <w:rPr>
          <w:rFonts w:ascii="Arial" w:hAnsi="Arial" w:cs="Arial"/>
        </w:rPr>
        <w:t xml:space="preserve">estatales </w:t>
      </w:r>
      <w:r w:rsidRPr="00B7607A">
        <w:rPr>
          <w:rFonts w:ascii="Arial" w:hAnsi="Arial" w:cs="Arial"/>
        </w:rPr>
        <w:t>que podrían tener un impacto en las finanzas públicas y las</w:t>
      </w:r>
      <w:r>
        <w:rPr>
          <w:rFonts w:ascii="Arial" w:hAnsi="Arial" w:cs="Arial"/>
        </w:rPr>
        <w:t xml:space="preserve"> </w:t>
      </w:r>
      <w:r w:rsidRPr="00B7607A">
        <w:rPr>
          <w:rFonts w:ascii="Arial" w:hAnsi="Arial" w:cs="Arial"/>
        </w:rPr>
        <w:t xml:space="preserve">acciones que se han tomado para evitar que se conviertan en un riesgo </w:t>
      </w:r>
      <w:r>
        <w:rPr>
          <w:rFonts w:ascii="Arial" w:hAnsi="Arial" w:cs="Arial"/>
        </w:rPr>
        <w:t>para las finanzas públicas del Estado</w:t>
      </w:r>
      <w:r w:rsidRPr="00B7607A">
        <w:rPr>
          <w:rFonts w:ascii="Arial" w:hAnsi="Arial" w:cs="Arial"/>
        </w:rPr>
        <w:t>.</w:t>
      </w:r>
    </w:p>
    <w:p w:rsidR="0037578E" w:rsidRDefault="0037578E" w:rsidP="0037578E">
      <w:pPr>
        <w:spacing w:line="360" w:lineRule="auto"/>
        <w:jc w:val="both"/>
        <w:rPr>
          <w:rFonts w:ascii="Arial" w:hAnsi="Arial" w:cs="Arial"/>
          <w:b/>
        </w:rPr>
      </w:pPr>
    </w:p>
    <w:p w:rsidR="007A5775" w:rsidRDefault="007A5775" w:rsidP="0037578E">
      <w:pPr>
        <w:spacing w:line="360" w:lineRule="auto"/>
        <w:jc w:val="both"/>
        <w:rPr>
          <w:rFonts w:ascii="Arial" w:hAnsi="Arial" w:cs="Arial"/>
          <w:b/>
        </w:rPr>
      </w:pPr>
    </w:p>
    <w:p w:rsidR="007A5775" w:rsidRDefault="007A5775" w:rsidP="0037578E">
      <w:pPr>
        <w:spacing w:line="360" w:lineRule="auto"/>
        <w:jc w:val="both"/>
        <w:rPr>
          <w:rFonts w:ascii="Arial" w:hAnsi="Arial" w:cs="Arial"/>
          <w:b/>
        </w:rPr>
      </w:pPr>
    </w:p>
    <w:p w:rsidR="0037578E" w:rsidRPr="00E725D0" w:rsidRDefault="0037578E" w:rsidP="0037578E">
      <w:pPr>
        <w:spacing w:line="360" w:lineRule="auto"/>
        <w:jc w:val="both"/>
        <w:rPr>
          <w:rFonts w:ascii="Arial" w:hAnsi="Arial" w:cs="Arial"/>
          <w:b/>
        </w:rPr>
      </w:pPr>
      <w:r w:rsidRPr="00E725D0">
        <w:rPr>
          <w:rFonts w:ascii="Arial" w:hAnsi="Arial" w:cs="Arial"/>
          <w:b/>
        </w:rPr>
        <w:lastRenderedPageBreak/>
        <w:t>Pensiones y Jubilaciones</w:t>
      </w:r>
    </w:p>
    <w:p w:rsidR="0037578E" w:rsidRPr="00031372"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DB6B17">
        <w:rPr>
          <w:rFonts w:ascii="Arial" w:hAnsi="Arial" w:cs="Arial"/>
        </w:rPr>
        <w:t>Los sistemas de pensiones tienen como objetivo proteger el flujo de ingresos de un trabajador y su familia. El flujo de ingresos presente o futuro de una familia puede verse interrumpido por la materialización de los siguientes riesgos: la edad avanzada, la cesantía en edad avanzada, la muerte prematura</w:t>
      </w:r>
      <w:r>
        <w:rPr>
          <w:rFonts w:ascii="Arial" w:hAnsi="Arial" w:cs="Arial"/>
        </w:rPr>
        <w:t>,</w:t>
      </w:r>
      <w:r w:rsidRPr="00DB6B17">
        <w:rPr>
          <w:rFonts w:ascii="Arial" w:hAnsi="Arial" w:cs="Arial"/>
        </w:rPr>
        <w:t xml:space="preserve"> los accidentes y las enfermedades que causan la invalidez o incapacidad de seguir trabajando. </w:t>
      </w:r>
      <w:r w:rsidRPr="00B7607A">
        <w:rPr>
          <w:rFonts w:ascii="Arial" w:hAnsi="Arial" w:cs="Arial"/>
        </w:rPr>
        <w:t xml:space="preserve">Es de resaltar que el </w:t>
      </w:r>
      <w:r>
        <w:rPr>
          <w:rFonts w:ascii="Arial" w:hAnsi="Arial" w:cs="Arial"/>
        </w:rPr>
        <w:t>S</w:t>
      </w:r>
      <w:r w:rsidRPr="00B7607A">
        <w:rPr>
          <w:rFonts w:ascii="Arial" w:hAnsi="Arial" w:cs="Arial"/>
        </w:rPr>
        <w:t xml:space="preserve">istema de Pensiones del Estado, </w:t>
      </w:r>
      <w:r>
        <w:rPr>
          <w:rFonts w:ascii="Arial" w:hAnsi="Arial" w:cs="Arial"/>
        </w:rPr>
        <w:t xml:space="preserve">en la Administración 2011-2016, </w:t>
      </w:r>
      <w:r w:rsidRPr="00B7607A">
        <w:rPr>
          <w:rFonts w:ascii="Arial" w:hAnsi="Arial" w:cs="Arial"/>
        </w:rPr>
        <w:t>promo</w:t>
      </w:r>
      <w:r>
        <w:rPr>
          <w:rFonts w:ascii="Arial" w:hAnsi="Arial" w:cs="Arial"/>
        </w:rPr>
        <w:t>vió</w:t>
      </w:r>
      <w:r w:rsidRPr="00B7607A">
        <w:rPr>
          <w:rFonts w:ascii="Arial" w:hAnsi="Arial" w:cs="Arial"/>
        </w:rPr>
        <w:t xml:space="preserve"> y desarroll</w:t>
      </w:r>
      <w:r>
        <w:rPr>
          <w:rFonts w:ascii="Arial" w:hAnsi="Arial" w:cs="Arial"/>
        </w:rPr>
        <w:t>ó</w:t>
      </w:r>
      <w:r w:rsidRPr="00B7607A">
        <w:rPr>
          <w:rFonts w:ascii="Arial" w:hAnsi="Arial" w:cs="Arial"/>
        </w:rPr>
        <w:t xml:space="preserve"> un esquema de pensiones que permit</w:t>
      </w:r>
      <w:r>
        <w:rPr>
          <w:rFonts w:ascii="Arial" w:hAnsi="Arial" w:cs="Arial"/>
        </w:rPr>
        <w:t xml:space="preserve">irá, </w:t>
      </w:r>
      <w:r w:rsidRPr="00B7607A">
        <w:rPr>
          <w:rFonts w:ascii="Arial" w:hAnsi="Arial" w:cs="Arial"/>
        </w:rPr>
        <w:t>en el largo plazo</w:t>
      </w:r>
      <w:r>
        <w:rPr>
          <w:rFonts w:ascii="Arial" w:hAnsi="Arial" w:cs="Arial"/>
        </w:rPr>
        <w:t>,</w:t>
      </w:r>
      <w:r w:rsidRPr="00B7607A">
        <w:rPr>
          <w:rFonts w:ascii="Arial" w:hAnsi="Arial" w:cs="Arial"/>
        </w:rPr>
        <w:t xml:space="preserve"> garantizar el pago de las mismas, respetando los plazos para las jubilaciones.</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La reforma estructural aprobada por el Congreso, permitió las mejoras siguientes:</w:t>
      </w:r>
    </w:p>
    <w:p w:rsidR="0037578E" w:rsidRDefault="0037578E" w:rsidP="0037578E">
      <w:pPr>
        <w:spacing w:line="360" w:lineRule="auto"/>
        <w:jc w:val="both"/>
        <w:rPr>
          <w:rFonts w:ascii="Arial" w:hAnsi="Arial" w:cs="Arial"/>
        </w:rPr>
      </w:pPr>
    </w:p>
    <w:p w:rsidR="0037578E" w:rsidRDefault="0037578E" w:rsidP="00F36D7A">
      <w:pPr>
        <w:pStyle w:val="Prrafodelista"/>
        <w:numPr>
          <w:ilvl w:val="0"/>
          <w:numId w:val="3"/>
        </w:numPr>
        <w:spacing w:line="360" w:lineRule="auto"/>
        <w:jc w:val="both"/>
        <w:rPr>
          <w:rFonts w:ascii="Arial" w:hAnsi="Arial" w:cs="Arial"/>
        </w:rPr>
      </w:pPr>
      <w:r>
        <w:rPr>
          <w:rFonts w:ascii="Arial" w:hAnsi="Arial" w:cs="Arial"/>
        </w:rPr>
        <w:t>S</w:t>
      </w:r>
      <w:r w:rsidRPr="00E725D0">
        <w:rPr>
          <w:rFonts w:ascii="Arial" w:hAnsi="Arial" w:cs="Arial"/>
        </w:rPr>
        <w:t xml:space="preserve">e incrementaron las aportaciones de jubilados y pensionados pasando de un 3% a un 6%, </w:t>
      </w:r>
      <w:r>
        <w:rPr>
          <w:rFonts w:ascii="Arial" w:hAnsi="Arial" w:cs="Arial"/>
        </w:rPr>
        <w:t xml:space="preserve">manteniendo </w:t>
      </w:r>
      <w:r w:rsidRPr="00E725D0">
        <w:rPr>
          <w:rFonts w:ascii="Arial" w:hAnsi="Arial" w:cs="Arial"/>
        </w:rPr>
        <w:t xml:space="preserve">los mismos derechos que la Ley anterior les brindaba. </w:t>
      </w:r>
    </w:p>
    <w:p w:rsidR="0037578E" w:rsidRDefault="0037578E" w:rsidP="0037578E">
      <w:pPr>
        <w:pStyle w:val="Prrafodelista"/>
        <w:spacing w:line="360" w:lineRule="auto"/>
        <w:ind w:left="720"/>
        <w:jc w:val="both"/>
        <w:rPr>
          <w:rFonts w:ascii="Arial" w:hAnsi="Arial" w:cs="Arial"/>
        </w:rPr>
      </w:pPr>
    </w:p>
    <w:p w:rsidR="0037578E" w:rsidRDefault="0037578E" w:rsidP="00F36D7A">
      <w:pPr>
        <w:pStyle w:val="Prrafodelista"/>
        <w:numPr>
          <w:ilvl w:val="0"/>
          <w:numId w:val="3"/>
        </w:numPr>
        <w:spacing w:line="360" w:lineRule="auto"/>
        <w:jc w:val="both"/>
        <w:rPr>
          <w:rFonts w:ascii="Arial" w:hAnsi="Arial" w:cs="Arial"/>
        </w:rPr>
      </w:pPr>
      <w:r w:rsidRPr="00E725D0">
        <w:rPr>
          <w:rFonts w:ascii="Arial" w:hAnsi="Arial" w:cs="Arial"/>
        </w:rPr>
        <w:t xml:space="preserve">A los servidores públicos activos se les duplicó su aportación del 6% al 12% del salario base. </w:t>
      </w:r>
    </w:p>
    <w:p w:rsidR="0037578E" w:rsidRPr="00E725D0" w:rsidRDefault="0037578E" w:rsidP="0037578E">
      <w:pPr>
        <w:pStyle w:val="Prrafodelista"/>
        <w:rPr>
          <w:rFonts w:ascii="Arial" w:hAnsi="Arial" w:cs="Arial"/>
        </w:rPr>
      </w:pPr>
    </w:p>
    <w:p w:rsidR="0037578E" w:rsidRDefault="0037578E" w:rsidP="00F36D7A">
      <w:pPr>
        <w:pStyle w:val="Prrafodelista"/>
        <w:numPr>
          <w:ilvl w:val="0"/>
          <w:numId w:val="3"/>
        </w:numPr>
        <w:spacing w:line="360" w:lineRule="auto"/>
        <w:jc w:val="both"/>
        <w:rPr>
          <w:rFonts w:ascii="Arial" w:hAnsi="Arial" w:cs="Arial"/>
        </w:rPr>
      </w:pPr>
      <w:r w:rsidRPr="00E725D0">
        <w:rPr>
          <w:rFonts w:ascii="Arial" w:hAnsi="Arial" w:cs="Arial"/>
        </w:rPr>
        <w:t xml:space="preserve">La aportación del Gobierno se duplicó pasando del 9% al 18% del salario base. En el esquema anterior, el gobierno aportaba $0.50 más de aportación que el servidor público, es decir por cada peso que </w:t>
      </w:r>
      <w:r w:rsidRPr="00E725D0">
        <w:rPr>
          <w:rFonts w:ascii="Arial" w:hAnsi="Arial" w:cs="Arial"/>
        </w:rPr>
        <w:lastRenderedPageBreak/>
        <w:t>aportaba el trabajador el gobierno aportaba $1.50. En el esquema actual el gobierno aporta $1.00 más que el servidor público, es decir por cada $2.00 aportados por el trabajador, el gobierno aporta $3.00.</w:t>
      </w:r>
    </w:p>
    <w:p w:rsidR="0037578E" w:rsidRPr="00E725D0" w:rsidRDefault="0037578E" w:rsidP="0037578E">
      <w:pPr>
        <w:pStyle w:val="Prrafodelista"/>
        <w:rPr>
          <w:rFonts w:ascii="Arial" w:hAnsi="Arial" w:cs="Arial"/>
        </w:rPr>
      </w:pPr>
    </w:p>
    <w:p w:rsidR="0037578E" w:rsidRDefault="0037578E" w:rsidP="00F36D7A">
      <w:pPr>
        <w:pStyle w:val="Prrafodelista"/>
        <w:numPr>
          <w:ilvl w:val="0"/>
          <w:numId w:val="3"/>
        </w:numPr>
        <w:spacing w:line="360" w:lineRule="auto"/>
        <w:jc w:val="both"/>
        <w:rPr>
          <w:rFonts w:ascii="Arial" w:hAnsi="Arial" w:cs="Arial"/>
        </w:rPr>
      </w:pPr>
      <w:r w:rsidRPr="00E725D0">
        <w:rPr>
          <w:rFonts w:ascii="Arial" w:hAnsi="Arial" w:cs="Arial"/>
        </w:rPr>
        <w:t>Para los servid</w:t>
      </w:r>
      <w:r>
        <w:rPr>
          <w:rFonts w:ascii="Arial" w:hAnsi="Arial" w:cs="Arial"/>
        </w:rPr>
        <w:t>ores públicos de nuevo ingreso e</w:t>
      </w:r>
      <w:r w:rsidRPr="00E725D0">
        <w:rPr>
          <w:rFonts w:ascii="Arial" w:hAnsi="Arial" w:cs="Arial"/>
        </w:rPr>
        <w:t xml:space="preserve">l esquema de afiliación es el de cuentas individuales. En cuanto a la edad para jubilarse, se establece </w:t>
      </w:r>
      <w:r>
        <w:rPr>
          <w:rFonts w:ascii="Arial" w:hAnsi="Arial" w:cs="Arial"/>
        </w:rPr>
        <w:t xml:space="preserve">incrementarla </w:t>
      </w:r>
      <w:r w:rsidRPr="00E725D0">
        <w:rPr>
          <w:rFonts w:ascii="Arial" w:hAnsi="Arial" w:cs="Arial"/>
        </w:rPr>
        <w:t>de manera gradual</w:t>
      </w:r>
      <w:r>
        <w:rPr>
          <w:rFonts w:ascii="Arial" w:hAnsi="Arial" w:cs="Arial"/>
        </w:rPr>
        <w:t>;</w:t>
      </w:r>
      <w:r w:rsidRPr="00E725D0">
        <w:rPr>
          <w:rFonts w:ascii="Arial" w:hAnsi="Arial" w:cs="Arial"/>
        </w:rPr>
        <w:t xml:space="preserve"> es decir</w:t>
      </w:r>
      <w:r>
        <w:rPr>
          <w:rFonts w:ascii="Arial" w:hAnsi="Arial" w:cs="Arial"/>
        </w:rPr>
        <w:t>,</w:t>
      </w:r>
      <w:r w:rsidRPr="00E725D0">
        <w:rPr>
          <w:rFonts w:ascii="Arial" w:hAnsi="Arial" w:cs="Arial"/>
        </w:rPr>
        <w:t xml:space="preserve"> para el 2013 y 2014 se consideró </w:t>
      </w:r>
      <w:r>
        <w:rPr>
          <w:rFonts w:ascii="Arial" w:hAnsi="Arial" w:cs="Arial"/>
        </w:rPr>
        <w:t xml:space="preserve">a </w:t>
      </w:r>
      <w:r w:rsidRPr="00E725D0">
        <w:rPr>
          <w:rFonts w:ascii="Arial" w:hAnsi="Arial" w:cs="Arial"/>
        </w:rPr>
        <w:t>los 53 años de edad y</w:t>
      </w:r>
      <w:r>
        <w:rPr>
          <w:rFonts w:ascii="Arial" w:hAnsi="Arial" w:cs="Arial"/>
        </w:rPr>
        <w:t>/o</w:t>
      </w:r>
      <w:r w:rsidRPr="00E725D0">
        <w:rPr>
          <w:rFonts w:ascii="Arial" w:hAnsi="Arial" w:cs="Arial"/>
        </w:rPr>
        <w:t xml:space="preserve"> 28 años de servicio y para 2015 y 2016 se aumentó un año, es decir 54 años de edad y</w:t>
      </w:r>
      <w:r>
        <w:rPr>
          <w:rFonts w:ascii="Arial" w:hAnsi="Arial" w:cs="Arial"/>
        </w:rPr>
        <w:t>/o</w:t>
      </w:r>
      <w:r w:rsidRPr="00E725D0">
        <w:rPr>
          <w:rFonts w:ascii="Arial" w:hAnsi="Arial" w:cs="Arial"/>
        </w:rPr>
        <w:t xml:space="preserve"> 28 años de servicio y así </w:t>
      </w:r>
      <w:r>
        <w:rPr>
          <w:rFonts w:ascii="Arial" w:hAnsi="Arial" w:cs="Arial"/>
        </w:rPr>
        <w:t xml:space="preserve">sucesivamente </w:t>
      </w:r>
      <w:r w:rsidRPr="00E725D0">
        <w:rPr>
          <w:rFonts w:ascii="Arial" w:hAnsi="Arial" w:cs="Arial"/>
        </w:rPr>
        <w:t>dos años calendario</w:t>
      </w:r>
      <w:r>
        <w:rPr>
          <w:rFonts w:ascii="Arial" w:hAnsi="Arial" w:cs="Arial"/>
        </w:rPr>
        <w:t>,</w:t>
      </w:r>
      <w:r w:rsidRPr="00E725D0">
        <w:rPr>
          <w:rFonts w:ascii="Arial" w:hAnsi="Arial" w:cs="Arial"/>
        </w:rPr>
        <w:t xml:space="preserve"> por un año de edad</w:t>
      </w:r>
      <w:r>
        <w:rPr>
          <w:rFonts w:ascii="Arial" w:hAnsi="Arial" w:cs="Arial"/>
        </w:rPr>
        <w:t>,</w:t>
      </w:r>
      <w:r w:rsidRPr="00E725D0">
        <w:rPr>
          <w:rFonts w:ascii="Arial" w:hAnsi="Arial" w:cs="Arial"/>
        </w:rPr>
        <w:t xml:space="preserve"> hasta el 2024 en donde hombres y mujeres llegaran a 58 años de edad y 28 años de aportación.</w:t>
      </w:r>
    </w:p>
    <w:p w:rsidR="0037578E" w:rsidRPr="00E725D0" w:rsidRDefault="0037578E" w:rsidP="0037578E">
      <w:pPr>
        <w:pStyle w:val="Prrafodelista"/>
        <w:rPr>
          <w:rFonts w:ascii="Arial" w:hAnsi="Arial" w:cs="Arial"/>
        </w:rPr>
      </w:pPr>
    </w:p>
    <w:p w:rsidR="0037578E" w:rsidRDefault="0037578E" w:rsidP="00F36D7A">
      <w:pPr>
        <w:pStyle w:val="Prrafodelista"/>
        <w:numPr>
          <w:ilvl w:val="0"/>
          <w:numId w:val="3"/>
        </w:numPr>
        <w:spacing w:line="360" w:lineRule="auto"/>
        <w:jc w:val="both"/>
        <w:rPr>
          <w:rFonts w:ascii="Arial" w:hAnsi="Arial" w:cs="Arial"/>
        </w:rPr>
      </w:pPr>
      <w:r w:rsidRPr="00E725D0">
        <w:rPr>
          <w:rFonts w:ascii="Arial" w:hAnsi="Arial" w:cs="Arial"/>
        </w:rPr>
        <w:t>Los servidores públicos serán sujetos del Libro A de este ordenamiento, excepto en el caso de que los servidores públicos opten por el Régimen Permanente de Ahorro Personal, siempre y cuando manifiesten su voluntad libre e informada y por escrito a la Institución de ser sujeto al Libro B, dentro del plazo de seis meses</w:t>
      </w:r>
      <w:r>
        <w:rPr>
          <w:rFonts w:ascii="Arial" w:hAnsi="Arial" w:cs="Arial"/>
        </w:rPr>
        <w:t>,</w:t>
      </w:r>
      <w:r w:rsidRPr="00E725D0">
        <w:rPr>
          <w:rFonts w:ascii="Arial" w:hAnsi="Arial" w:cs="Arial"/>
        </w:rPr>
        <w:t xml:space="preserve"> siguientes a la entrada en vigor de la Ley de Pensiones.</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B7607A">
        <w:rPr>
          <w:rFonts w:ascii="Arial" w:hAnsi="Arial" w:cs="Arial"/>
        </w:rPr>
        <w:t>Con lo anterior, se d</w:t>
      </w:r>
      <w:r>
        <w:rPr>
          <w:rFonts w:ascii="Arial" w:hAnsi="Arial" w:cs="Arial"/>
        </w:rPr>
        <w:t>io</w:t>
      </w:r>
      <w:r w:rsidRPr="00B7607A">
        <w:rPr>
          <w:rFonts w:ascii="Arial" w:hAnsi="Arial" w:cs="Arial"/>
        </w:rPr>
        <w:t xml:space="preserve"> sustentabilidad y viabilidad económica a la institución, dado que</w:t>
      </w:r>
      <w:r>
        <w:rPr>
          <w:rFonts w:ascii="Arial" w:hAnsi="Arial" w:cs="Arial"/>
        </w:rPr>
        <w:t>,</w:t>
      </w:r>
      <w:r w:rsidRPr="00B7607A">
        <w:rPr>
          <w:rFonts w:ascii="Arial" w:hAnsi="Arial" w:cs="Arial"/>
        </w:rPr>
        <w:t xml:space="preserve"> si sólo se hubieran aumentado las aportaciones, estas hubiesen sido </w:t>
      </w:r>
      <w:r>
        <w:rPr>
          <w:rFonts w:ascii="Arial" w:hAnsi="Arial" w:cs="Arial"/>
        </w:rPr>
        <w:t xml:space="preserve">suficientes sólo </w:t>
      </w:r>
      <w:r w:rsidRPr="00B7607A">
        <w:rPr>
          <w:rFonts w:ascii="Arial" w:hAnsi="Arial" w:cs="Arial"/>
        </w:rPr>
        <w:t>para financiar las jubilaciones de lo</w:t>
      </w:r>
      <w:r>
        <w:rPr>
          <w:rFonts w:ascii="Arial" w:hAnsi="Arial" w:cs="Arial"/>
        </w:rPr>
        <w:t xml:space="preserve">s inactivos, pero no </w:t>
      </w:r>
      <w:r w:rsidRPr="00B7607A">
        <w:rPr>
          <w:rFonts w:ascii="Arial" w:hAnsi="Arial" w:cs="Arial"/>
        </w:rPr>
        <w:t>para pagar a los nuevos jubilados, por lo que</w:t>
      </w:r>
      <w:r>
        <w:rPr>
          <w:rFonts w:ascii="Arial" w:hAnsi="Arial" w:cs="Arial"/>
        </w:rPr>
        <w:t xml:space="preserve">, </w:t>
      </w:r>
      <w:r w:rsidRPr="00B7607A">
        <w:rPr>
          <w:rFonts w:ascii="Arial" w:hAnsi="Arial" w:cs="Arial"/>
        </w:rPr>
        <w:t xml:space="preserve">en el mediano plazo no </w:t>
      </w:r>
      <w:r>
        <w:rPr>
          <w:rFonts w:ascii="Arial" w:hAnsi="Arial" w:cs="Arial"/>
        </w:rPr>
        <w:t>hubiera sido sustentable</w:t>
      </w:r>
      <w:r w:rsidRPr="00B7607A">
        <w:rPr>
          <w:rFonts w:ascii="Arial" w:hAnsi="Arial" w:cs="Arial"/>
        </w:rPr>
        <w:t xml:space="preserve"> financiera</w:t>
      </w:r>
      <w:r>
        <w:rPr>
          <w:rFonts w:ascii="Arial" w:hAnsi="Arial" w:cs="Arial"/>
        </w:rPr>
        <w:t>mente</w:t>
      </w:r>
      <w:r w:rsidRPr="00B7607A">
        <w:rPr>
          <w:rFonts w:ascii="Arial" w:hAnsi="Arial" w:cs="Arial"/>
        </w:rPr>
        <w:t>; por ello en un horizonte de largo plazo</w:t>
      </w:r>
      <w:r>
        <w:rPr>
          <w:rFonts w:ascii="Arial" w:hAnsi="Arial" w:cs="Arial"/>
        </w:rPr>
        <w:t>,</w:t>
      </w:r>
      <w:r w:rsidRPr="00B7607A">
        <w:rPr>
          <w:rFonts w:ascii="Arial" w:hAnsi="Arial" w:cs="Arial"/>
        </w:rPr>
        <w:t xml:space="preserve"> </w:t>
      </w:r>
      <w:r>
        <w:rPr>
          <w:rFonts w:ascii="Arial" w:hAnsi="Arial" w:cs="Arial"/>
        </w:rPr>
        <w:t>fue</w:t>
      </w:r>
      <w:r w:rsidRPr="00B7607A">
        <w:rPr>
          <w:rFonts w:ascii="Arial" w:hAnsi="Arial" w:cs="Arial"/>
        </w:rPr>
        <w:t xml:space="preserve"> </w:t>
      </w:r>
      <w:r w:rsidRPr="00B7607A">
        <w:rPr>
          <w:rFonts w:ascii="Arial" w:hAnsi="Arial" w:cs="Arial"/>
        </w:rPr>
        <w:lastRenderedPageBreak/>
        <w:t>necesario aumentar la edad promedio de jubilación y establecer cuentas individuales para los nuevos afiliados.</w:t>
      </w:r>
    </w:p>
    <w:p w:rsidR="0037578E" w:rsidRPr="00B7607A" w:rsidRDefault="0037578E" w:rsidP="0037578E">
      <w:pPr>
        <w:spacing w:line="360" w:lineRule="auto"/>
        <w:jc w:val="both"/>
        <w:rPr>
          <w:rFonts w:ascii="Arial" w:hAnsi="Arial" w:cs="Arial"/>
        </w:rPr>
      </w:pPr>
    </w:p>
    <w:p w:rsidR="0037578E" w:rsidRPr="00B7607A" w:rsidRDefault="0037578E" w:rsidP="0037578E">
      <w:pPr>
        <w:spacing w:line="360" w:lineRule="auto"/>
        <w:jc w:val="both"/>
        <w:rPr>
          <w:rFonts w:ascii="Arial" w:hAnsi="Arial" w:cs="Arial"/>
        </w:rPr>
      </w:pPr>
      <w:r w:rsidRPr="00B7607A">
        <w:rPr>
          <w:rFonts w:ascii="Arial" w:hAnsi="Arial" w:cs="Arial"/>
        </w:rPr>
        <w:t>Con estas reformas estructurales se garantiza a los jubilados y pensionados el pago puntual de sus pensiones, otorgándoles seguridad económica</w:t>
      </w:r>
      <w:r>
        <w:rPr>
          <w:rFonts w:ascii="Arial" w:hAnsi="Arial" w:cs="Arial"/>
        </w:rPr>
        <w:t xml:space="preserve">, </w:t>
      </w:r>
      <w:r w:rsidRPr="00B7607A">
        <w:rPr>
          <w:rFonts w:ascii="Arial" w:hAnsi="Arial" w:cs="Arial"/>
        </w:rPr>
        <w:t>y conservar sus derechos de la Ley anterior.</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Adicionalmente,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Con estas reformas, se redujo el pasivo de pensiones no fondeado de un estimado de 22,000 mdp a 9,413 mdp, que en términos porcentuales corresponden del 134% al 47% de los ingresos totales del organismo.</w:t>
      </w:r>
    </w:p>
    <w:p w:rsidR="0037578E" w:rsidRDefault="0037578E" w:rsidP="0037578E">
      <w:pPr>
        <w:spacing w:line="360" w:lineRule="auto"/>
        <w:jc w:val="both"/>
        <w:rPr>
          <w:rFonts w:ascii="Arial" w:hAnsi="Arial" w:cs="Arial"/>
        </w:rPr>
      </w:pPr>
    </w:p>
    <w:p w:rsidR="007A5775" w:rsidRDefault="007A5775" w:rsidP="0037578E">
      <w:pPr>
        <w:spacing w:line="360" w:lineRule="auto"/>
        <w:jc w:val="both"/>
        <w:rPr>
          <w:rFonts w:ascii="Arial" w:hAnsi="Arial" w:cs="Arial"/>
        </w:rPr>
      </w:pPr>
    </w:p>
    <w:p w:rsidR="0037578E" w:rsidRPr="009B52A6" w:rsidRDefault="0037578E" w:rsidP="0037578E">
      <w:pPr>
        <w:spacing w:line="360" w:lineRule="auto"/>
        <w:jc w:val="both"/>
        <w:rPr>
          <w:rFonts w:ascii="Arial" w:hAnsi="Arial" w:cs="Arial"/>
          <w:b/>
        </w:rPr>
      </w:pPr>
      <w:r w:rsidRPr="009B52A6">
        <w:rPr>
          <w:rFonts w:ascii="Arial" w:hAnsi="Arial" w:cs="Arial"/>
          <w:b/>
        </w:rPr>
        <w:lastRenderedPageBreak/>
        <w:t>Deuda Pública</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492F00">
        <w:rPr>
          <w:rFonts w:ascii="Arial" w:hAnsi="Arial" w:cs="Arial"/>
        </w:rPr>
        <w:t>Tlaxcala es ejemplo de que el manejo de la deuda pública puede realizarse bajo los principios de disciplina y responsabilidad fiscal</w:t>
      </w:r>
      <w:r>
        <w:rPr>
          <w:rFonts w:ascii="Arial" w:hAnsi="Arial" w:cs="Arial"/>
        </w:rPr>
        <w:t xml:space="preserve">, al ubicar en un 0% como porcentaje del PIB Estatal el nivel de endeudamiento del Estado, ya que </w:t>
      </w:r>
      <w:r w:rsidRPr="009B52A6">
        <w:rPr>
          <w:rFonts w:ascii="Arial" w:hAnsi="Arial" w:cs="Arial"/>
        </w:rPr>
        <w:t>el mantenimiento de finanzas públicas sanas</w:t>
      </w:r>
      <w:r>
        <w:rPr>
          <w:rFonts w:ascii="Arial" w:hAnsi="Arial" w:cs="Arial"/>
        </w:rPr>
        <w:t xml:space="preserve"> es prioridad de esta administración;</w:t>
      </w:r>
      <w:r w:rsidRPr="009B52A6">
        <w:rPr>
          <w:rFonts w:ascii="Arial" w:hAnsi="Arial" w:cs="Arial"/>
        </w:rPr>
        <w:t xml:space="preserve"> </w:t>
      </w:r>
      <w:r>
        <w:rPr>
          <w:rFonts w:ascii="Arial" w:hAnsi="Arial" w:cs="Arial"/>
        </w:rPr>
        <w:t xml:space="preserve">sin embargo, </w:t>
      </w:r>
      <w:r w:rsidRPr="009B52A6">
        <w:rPr>
          <w:rFonts w:ascii="Arial" w:hAnsi="Arial" w:cs="Arial"/>
        </w:rPr>
        <w:t xml:space="preserve">considerando el deterioro de los resultados fiscales </w:t>
      </w:r>
      <w:r>
        <w:rPr>
          <w:rFonts w:ascii="Arial" w:hAnsi="Arial" w:cs="Arial"/>
        </w:rPr>
        <w:t xml:space="preserve">a nivel nacional </w:t>
      </w:r>
      <w:r w:rsidRPr="009B52A6">
        <w:rPr>
          <w:rFonts w:ascii="Arial" w:hAnsi="Arial" w:cs="Arial"/>
        </w:rPr>
        <w:t xml:space="preserve">podría conducir al </w:t>
      </w:r>
      <w:r>
        <w:rPr>
          <w:rFonts w:ascii="Arial" w:hAnsi="Arial" w:cs="Arial"/>
        </w:rPr>
        <w:t xml:space="preserve">requerimiento de recursos para proyectos de infraestructura, </w:t>
      </w:r>
      <w:r w:rsidRPr="009B52A6">
        <w:rPr>
          <w:rFonts w:ascii="Arial" w:hAnsi="Arial" w:cs="Arial"/>
        </w:rPr>
        <w:t xml:space="preserve">por lo que no se desestima en el mediano plazo, la </w:t>
      </w:r>
      <w:r>
        <w:rPr>
          <w:rFonts w:ascii="Arial" w:hAnsi="Arial" w:cs="Arial"/>
        </w:rPr>
        <w:t xml:space="preserve">posibilidad de </w:t>
      </w:r>
      <w:r w:rsidRPr="009B52A6">
        <w:rPr>
          <w:rFonts w:ascii="Arial" w:hAnsi="Arial" w:cs="Arial"/>
        </w:rPr>
        <w:t>contratación de deuda para el financiamiento del gasto público.</w:t>
      </w:r>
    </w:p>
    <w:p w:rsidR="0037578E" w:rsidRDefault="0037578E" w:rsidP="0037578E">
      <w:pPr>
        <w:spacing w:line="360" w:lineRule="auto"/>
        <w:jc w:val="both"/>
        <w:rPr>
          <w:rFonts w:ascii="Arial" w:hAnsi="Arial" w:cs="Arial"/>
        </w:rPr>
      </w:pPr>
    </w:p>
    <w:p w:rsidR="0037578E" w:rsidRPr="00E322E1" w:rsidRDefault="0037578E" w:rsidP="0037578E">
      <w:pPr>
        <w:spacing w:line="360" w:lineRule="auto"/>
        <w:jc w:val="both"/>
        <w:rPr>
          <w:rFonts w:ascii="Arial" w:hAnsi="Arial" w:cs="Arial"/>
          <w:b/>
        </w:rPr>
      </w:pPr>
      <w:r w:rsidRPr="00E322E1">
        <w:rPr>
          <w:rFonts w:ascii="Arial" w:hAnsi="Arial" w:cs="Arial"/>
          <w:b/>
        </w:rPr>
        <w:t>Menor crecimiento económico</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 xml:space="preserve">El Estado de </w:t>
      </w:r>
      <w:r w:rsidRPr="0004563A">
        <w:rPr>
          <w:rFonts w:ascii="Arial" w:hAnsi="Arial" w:cs="Arial"/>
        </w:rPr>
        <w:t>Tl</w:t>
      </w:r>
      <w:r>
        <w:rPr>
          <w:rFonts w:ascii="Arial" w:hAnsi="Arial" w:cs="Arial"/>
        </w:rPr>
        <w:t>axcala tiene una población de 1.3</w:t>
      </w:r>
      <w:r w:rsidRPr="0004563A">
        <w:rPr>
          <w:rFonts w:ascii="Arial" w:hAnsi="Arial" w:cs="Arial"/>
        </w:rPr>
        <w:t xml:space="preserve"> millones de habitantes y es </w:t>
      </w:r>
      <w:r>
        <w:rPr>
          <w:rFonts w:ascii="Arial" w:hAnsi="Arial" w:cs="Arial"/>
        </w:rPr>
        <w:t>la Entidad</w:t>
      </w:r>
      <w:r w:rsidRPr="0004563A">
        <w:rPr>
          <w:rFonts w:ascii="Arial" w:hAnsi="Arial" w:cs="Arial"/>
        </w:rPr>
        <w:t xml:space="preserve"> más pequeñ</w:t>
      </w:r>
      <w:r>
        <w:rPr>
          <w:rFonts w:ascii="Arial" w:hAnsi="Arial" w:cs="Arial"/>
        </w:rPr>
        <w:t>a</w:t>
      </w:r>
      <w:r w:rsidRPr="0004563A">
        <w:rPr>
          <w:rFonts w:ascii="Arial" w:hAnsi="Arial" w:cs="Arial"/>
        </w:rPr>
        <w:t xml:space="preserve"> en términos de </w:t>
      </w:r>
      <w:r>
        <w:rPr>
          <w:rFonts w:ascii="Arial" w:hAnsi="Arial" w:cs="Arial"/>
        </w:rPr>
        <w:t>producción económica. L</w:t>
      </w:r>
      <w:r w:rsidRPr="0004563A">
        <w:rPr>
          <w:rFonts w:ascii="Arial" w:hAnsi="Arial" w:cs="Arial"/>
        </w:rPr>
        <w:t xml:space="preserve">a economía del estado es débil en comparación con otros estados mexicanos, </w:t>
      </w:r>
      <w:r>
        <w:rPr>
          <w:rFonts w:ascii="Arial" w:hAnsi="Arial" w:cs="Arial"/>
        </w:rPr>
        <w:t xml:space="preserve">lo cual </w:t>
      </w:r>
      <w:r w:rsidRPr="0004563A">
        <w:rPr>
          <w:rFonts w:ascii="Arial" w:hAnsi="Arial" w:cs="Arial"/>
        </w:rPr>
        <w:t>limita la capacidad de generar ingresos</w:t>
      </w:r>
      <w:r>
        <w:rPr>
          <w:rFonts w:ascii="Arial" w:hAnsi="Arial" w:cs="Arial"/>
        </w:rPr>
        <w:t xml:space="preserve"> desde</w:t>
      </w:r>
      <w:r w:rsidRPr="0004563A">
        <w:rPr>
          <w:rFonts w:ascii="Arial" w:hAnsi="Arial" w:cs="Arial"/>
        </w:rPr>
        <w:t xml:space="preserve"> la base tributaria regional. </w:t>
      </w:r>
      <w:r>
        <w:rPr>
          <w:rFonts w:ascii="Arial" w:hAnsi="Arial" w:cs="Arial"/>
        </w:rPr>
        <w:t>E</w:t>
      </w:r>
      <w:r w:rsidRPr="0004563A">
        <w:rPr>
          <w:rFonts w:ascii="Arial" w:hAnsi="Arial" w:cs="Arial"/>
        </w:rPr>
        <w:t>n 2012 el PIB per cápita era equivalente al 53</w:t>
      </w:r>
      <w:r>
        <w:rPr>
          <w:rFonts w:ascii="Arial" w:hAnsi="Arial" w:cs="Arial"/>
        </w:rPr>
        <w:t>.</w:t>
      </w:r>
      <w:r w:rsidRPr="0004563A">
        <w:rPr>
          <w:rFonts w:ascii="Arial" w:hAnsi="Arial" w:cs="Arial"/>
        </w:rPr>
        <w:t>4% de la media nacional, muy por debajo de la media registrada</w:t>
      </w:r>
      <w:r>
        <w:rPr>
          <w:rFonts w:ascii="Arial" w:hAnsi="Arial" w:cs="Arial"/>
        </w:rPr>
        <w:t xml:space="preserve"> y</w:t>
      </w:r>
      <w:r w:rsidRPr="0004563A">
        <w:rPr>
          <w:rFonts w:ascii="Arial" w:hAnsi="Arial" w:cs="Arial"/>
        </w:rPr>
        <w:t xml:space="preserve"> en 2013 los ingr</w:t>
      </w:r>
      <w:r>
        <w:rPr>
          <w:rFonts w:ascii="Arial" w:hAnsi="Arial" w:cs="Arial"/>
        </w:rPr>
        <w:t>esos propios representaron el 3.</w:t>
      </w:r>
      <w:r w:rsidRPr="0004563A">
        <w:rPr>
          <w:rFonts w:ascii="Arial" w:hAnsi="Arial" w:cs="Arial"/>
        </w:rPr>
        <w:t>1% del total de ingresos muy por debajo de la mediana de</w:t>
      </w:r>
      <w:r>
        <w:rPr>
          <w:rFonts w:ascii="Arial" w:hAnsi="Arial" w:cs="Arial"/>
        </w:rPr>
        <w:t>l</w:t>
      </w:r>
      <w:r w:rsidRPr="0004563A">
        <w:rPr>
          <w:rFonts w:ascii="Arial" w:hAnsi="Arial" w:cs="Arial"/>
        </w:rPr>
        <w:t xml:space="preserve"> </w:t>
      </w:r>
      <w:r>
        <w:rPr>
          <w:rFonts w:ascii="Arial" w:hAnsi="Arial" w:cs="Arial"/>
        </w:rPr>
        <w:t xml:space="preserve">resto de </w:t>
      </w:r>
      <w:r w:rsidRPr="0004563A">
        <w:rPr>
          <w:rFonts w:ascii="Arial" w:hAnsi="Arial" w:cs="Arial"/>
        </w:rPr>
        <w:t>los estados</w:t>
      </w:r>
      <w:r>
        <w:rPr>
          <w:rFonts w:ascii="Arial" w:hAnsi="Arial" w:cs="Arial"/>
        </w:rPr>
        <w:t xml:space="preserve">, por lo que </w:t>
      </w:r>
      <w:r w:rsidRPr="00C429B4">
        <w:rPr>
          <w:rFonts w:ascii="Arial" w:hAnsi="Arial" w:cs="Arial"/>
        </w:rPr>
        <w:t>un cambio estructural en la dinámica económica y los niveles de riqueza de Tlaxcala podría</w:t>
      </w:r>
      <w:r>
        <w:rPr>
          <w:rFonts w:ascii="Arial" w:hAnsi="Arial" w:cs="Arial"/>
        </w:rPr>
        <w:t>n</w:t>
      </w:r>
      <w:r w:rsidRPr="00C429B4">
        <w:rPr>
          <w:rFonts w:ascii="Arial" w:hAnsi="Arial" w:cs="Arial"/>
        </w:rPr>
        <w:t xml:space="preserve"> generar </w:t>
      </w:r>
      <w:r>
        <w:rPr>
          <w:rFonts w:ascii="Arial" w:hAnsi="Arial" w:cs="Arial"/>
        </w:rPr>
        <w:t>menores</w:t>
      </w:r>
      <w:r w:rsidRPr="00C429B4">
        <w:rPr>
          <w:rFonts w:ascii="Arial" w:hAnsi="Arial" w:cs="Arial"/>
        </w:rPr>
        <w:t xml:space="preserve"> </w:t>
      </w:r>
      <w:r w:rsidRPr="00C429B4">
        <w:rPr>
          <w:rFonts w:ascii="Arial" w:hAnsi="Arial" w:cs="Arial"/>
        </w:rPr>
        <w:lastRenderedPageBreak/>
        <w:t xml:space="preserve">niveles de ingresos propios y una </w:t>
      </w:r>
      <w:r>
        <w:rPr>
          <w:rFonts w:ascii="Arial" w:hAnsi="Arial" w:cs="Arial"/>
        </w:rPr>
        <w:t>menor</w:t>
      </w:r>
      <w:r w:rsidRPr="00C429B4">
        <w:rPr>
          <w:rFonts w:ascii="Arial" w:hAnsi="Arial" w:cs="Arial"/>
        </w:rPr>
        <w:t xml:space="preserve"> flexibilidad financiera,</w:t>
      </w:r>
      <w:r>
        <w:rPr>
          <w:rFonts w:ascii="Arial" w:hAnsi="Arial" w:cs="Arial"/>
        </w:rPr>
        <w:t xml:space="preserve"> pudiendo</w:t>
      </w:r>
      <w:r w:rsidRPr="00C429B4">
        <w:rPr>
          <w:rFonts w:ascii="Arial" w:hAnsi="Arial" w:cs="Arial"/>
        </w:rPr>
        <w:t xml:space="preserve"> ejercer presión</w:t>
      </w:r>
      <w:r>
        <w:rPr>
          <w:rFonts w:ascii="Arial" w:hAnsi="Arial" w:cs="Arial"/>
        </w:rPr>
        <w:t xml:space="preserve"> en la estabilidad económica del Estado.</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Para contener este riesgo, el proyecto de gobierno incluye una mayor promoción de la inversión pública y privada, así como del turismo, la incorporación de causantes informales, intensificar la fiscalización y el cobro de impuestos, para fomentar la economía e incrementar la recaudación.</w:t>
      </w:r>
    </w:p>
    <w:p w:rsidR="00521EE6" w:rsidRDefault="00521EE6" w:rsidP="00521EE6">
      <w:pPr>
        <w:spacing w:line="360" w:lineRule="auto"/>
        <w:jc w:val="both"/>
        <w:rPr>
          <w:rFonts w:ascii="Arial" w:hAnsi="Arial" w:cs="Arial"/>
          <w:b/>
          <w:bCs/>
        </w:rPr>
      </w:pPr>
    </w:p>
    <w:p w:rsidR="0037578E" w:rsidRDefault="0037578E" w:rsidP="00521EE6">
      <w:pPr>
        <w:spacing w:line="360" w:lineRule="auto"/>
        <w:jc w:val="both"/>
        <w:rPr>
          <w:rFonts w:ascii="Arial" w:hAnsi="Arial" w:cs="Arial"/>
          <w:b/>
          <w:bCs/>
        </w:rPr>
      </w:pPr>
      <w:r>
        <w:rPr>
          <w:rFonts w:ascii="Arial" w:hAnsi="Arial" w:cs="Arial"/>
          <w:b/>
          <w:bCs/>
        </w:rPr>
        <w:t>EVOLUCIÓN DE LAS FINANZAS PÚBLICAS 2013-2018.</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7331F4">
        <w:rPr>
          <w:rFonts w:ascii="Arial" w:hAnsi="Arial" w:cs="Arial"/>
        </w:rPr>
        <w:t xml:space="preserve">La evolución de las finanzas públicas del Estado obedece a la dinámica de los ingresos estatales totales, los cuales a su vez son determinados por el comportamiento de la Recaudación Federal Participable (RFP); esta situación que no es privativa del Estado de </w:t>
      </w:r>
      <w:r>
        <w:rPr>
          <w:rFonts w:ascii="Arial" w:hAnsi="Arial" w:cs="Arial"/>
        </w:rPr>
        <w:t>Tlaxcala,</w:t>
      </w:r>
      <w:r w:rsidRPr="007331F4">
        <w:rPr>
          <w:rFonts w:ascii="Arial" w:hAnsi="Arial" w:cs="Arial"/>
        </w:rPr>
        <w:t xml:space="preserve"> sino que se presenta en </w:t>
      </w:r>
      <w:r>
        <w:rPr>
          <w:rFonts w:ascii="Arial" w:hAnsi="Arial" w:cs="Arial"/>
        </w:rPr>
        <w:t>la</w:t>
      </w:r>
      <w:r w:rsidRPr="007331F4">
        <w:rPr>
          <w:rFonts w:ascii="Arial" w:hAnsi="Arial" w:cs="Arial"/>
        </w:rPr>
        <w:t xml:space="preserve"> gran mayoría de las entidades de la República, debido a las condiciones de los Convenios de Coordinación Fiscal y </w:t>
      </w:r>
      <w:r>
        <w:rPr>
          <w:rFonts w:ascii="Arial" w:hAnsi="Arial" w:cs="Arial"/>
        </w:rPr>
        <w:t xml:space="preserve">a </w:t>
      </w:r>
      <w:r w:rsidRPr="007331F4">
        <w:rPr>
          <w:rFonts w:ascii="Arial" w:hAnsi="Arial" w:cs="Arial"/>
        </w:rPr>
        <w:t>las potestades tributarias que se otorgan a los estados para evitar la doble tributación</w:t>
      </w:r>
      <w:r>
        <w:rPr>
          <w:rFonts w:ascii="Arial" w:hAnsi="Arial" w:cs="Arial"/>
        </w:rPr>
        <w:t>,</w:t>
      </w:r>
      <w:r w:rsidRPr="007331F4">
        <w:rPr>
          <w:rFonts w:ascii="Arial" w:hAnsi="Arial" w:cs="Arial"/>
        </w:rPr>
        <w:t xml:space="preserve"> propicia que las finanzas públicas </w:t>
      </w:r>
      <w:r>
        <w:rPr>
          <w:rFonts w:ascii="Arial" w:hAnsi="Arial" w:cs="Arial"/>
        </w:rPr>
        <w:t>estatales</w:t>
      </w:r>
      <w:r w:rsidRPr="007331F4">
        <w:rPr>
          <w:rFonts w:ascii="Arial" w:hAnsi="Arial" w:cs="Arial"/>
        </w:rPr>
        <w:t xml:space="preserve"> </w:t>
      </w:r>
      <w:r>
        <w:rPr>
          <w:rFonts w:ascii="Arial" w:hAnsi="Arial" w:cs="Arial"/>
        </w:rPr>
        <w:t>sean</w:t>
      </w:r>
      <w:r w:rsidRPr="007331F4">
        <w:rPr>
          <w:rFonts w:ascii="Arial" w:hAnsi="Arial" w:cs="Arial"/>
        </w:rPr>
        <w:t xml:space="preserve"> sensibles ante el comportamiento de la economía nacional</w:t>
      </w:r>
      <w:r>
        <w:rPr>
          <w:rFonts w:ascii="Arial" w:hAnsi="Arial" w:cs="Arial"/>
        </w:rPr>
        <w:t xml:space="preserve"> e internacional, tal y como se observa en la gráfica siguiente:</w:t>
      </w:r>
    </w:p>
    <w:p w:rsidR="0037578E" w:rsidRDefault="0037578E" w:rsidP="0037578E">
      <w:pPr>
        <w:spacing w:line="360" w:lineRule="auto"/>
        <w:jc w:val="both"/>
        <w:rPr>
          <w:rFonts w:ascii="Arial" w:hAnsi="Arial" w:cs="Arial"/>
        </w:rPr>
      </w:pPr>
      <w:r>
        <w:rPr>
          <w:rFonts w:ascii="Arial" w:hAnsi="Arial" w:cs="Arial"/>
          <w:noProof/>
          <w:lang w:val="es-MX" w:eastAsia="es-MX"/>
        </w:rPr>
        <w:lastRenderedPageBreak/>
        <w:drawing>
          <wp:inline distT="0" distB="0" distL="0" distR="0" wp14:anchorId="6A0B1258" wp14:editId="45CB9C20">
            <wp:extent cx="5123815" cy="2696401"/>
            <wp:effectExtent l="0" t="0" r="63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94876" cy="2733797"/>
                    </a:xfrm>
                    <a:prstGeom prst="rect">
                      <a:avLst/>
                    </a:prstGeom>
                    <a:noFill/>
                  </pic:spPr>
                </pic:pic>
              </a:graphicData>
            </a:graphic>
          </wp:inline>
        </w:drawing>
      </w:r>
    </w:p>
    <w:p w:rsidR="0037578E" w:rsidRPr="00907A5A" w:rsidRDefault="0037578E" w:rsidP="0037578E">
      <w:pPr>
        <w:spacing w:line="360" w:lineRule="auto"/>
        <w:jc w:val="both"/>
        <w:rPr>
          <w:rFonts w:ascii="Arial" w:hAnsi="Arial" w:cs="Arial"/>
          <w:sz w:val="12"/>
        </w:rPr>
      </w:pPr>
      <w:r>
        <w:rPr>
          <w:rFonts w:ascii="Arial" w:hAnsi="Arial" w:cs="Arial"/>
          <w:b/>
          <w:sz w:val="14"/>
        </w:rPr>
        <w:t xml:space="preserve">Fuente: </w:t>
      </w:r>
      <w:r w:rsidRPr="006E0DD3">
        <w:rPr>
          <w:rFonts w:ascii="Arial" w:hAnsi="Arial" w:cs="Arial"/>
          <w:sz w:val="12"/>
        </w:rPr>
        <w:t>www.DOF.gob.mx</w:t>
      </w:r>
      <w:r w:rsidRPr="00907A5A">
        <w:rPr>
          <w:rFonts w:ascii="Arial" w:hAnsi="Arial" w:cs="Arial"/>
          <w:sz w:val="12"/>
        </w:rPr>
        <w:t xml:space="preserve"> Ley de Ingresos de la Federación Ejercicios Fiscales 2012-201</w:t>
      </w:r>
      <w:r>
        <w:rPr>
          <w:rFonts w:ascii="Arial" w:hAnsi="Arial" w:cs="Arial"/>
          <w:sz w:val="12"/>
        </w:rPr>
        <w:t>8, Pre-Criterios Generales de Política Económica 2019.</w:t>
      </w:r>
      <w:r w:rsidRPr="00907A5A">
        <w:rPr>
          <w:rFonts w:ascii="Arial" w:hAnsi="Arial" w:cs="Arial"/>
          <w:sz w:val="12"/>
        </w:rPr>
        <w:t xml:space="preserve"> </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7331F4">
        <w:rPr>
          <w:rFonts w:ascii="Arial" w:hAnsi="Arial" w:cs="Arial"/>
        </w:rPr>
        <w:t xml:space="preserve">Durante el </w:t>
      </w:r>
      <w:r>
        <w:rPr>
          <w:rFonts w:ascii="Arial" w:hAnsi="Arial" w:cs="Arial"/>
        </w:rPr>
        <w:t>periodo 2013-2018</w:t>
      </w:r>
      <w:r w:rsidRPr="007331F4">
        <w:rPr>
          <w:rFonts w:ascii="Arial" w:hAnsi="Arial" w:cs="Arial"/>
        </w:rPr>
        <w:t xml:space="preserve">, los ingresos provenientes de la Federación registraron un incremento real moderado, debido principalmente a los resultados positivos </w:t>
      </w:r>
      <w:r>
        <w:rPr>
          <w:rFonts w:ascii="Arial" w:hAnsi="Arial" w:cs="Arial"/>
        </w:rPr>
        <w:t>de la economía nacional y de las medidas adoptadas a través de la Reforma Hacendaria,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 implementando entre otras medidas la aplicación de C</w:t>
      </w:r>
      <w:r w:rsidRPr="007331F4">
        <w:rPr>
          <w:rFonts w:ascii="Arial" w:hAnsi="Arial" w:cs="Arial"/>
        </w:rPr>
        <w:t>riterios de Racionalidad</w:t>
      </w:r>
      <w:r>
        <w:rPr>
          <w:rFonts w:ascii="Arial" w:hAnsi="Arial" w:cs="Arial"/>
        </w:rPr>
        <w:t>,</w:t>
      </w:r>
      <w:r w:rsidRPr="007331F4">
        <w:rPr>
          <w:rFonts w:ascii="Arial" w:hAnsi="Arial" w:cs="Arial"/>
        </w:rPr>
        <w:t xml:space="preserve"> Austeridad </w:t>
      </w:r>
      <w:r>
        <w:rPr>
          <w:rFonts w:ascii="Arial" w:hAnsi="Arial" w:cs="Arial"/>
        </w:rPr>
        <w:t xml:space="preserve">y Disciplina </w:t>
      </w:r>
      <w:r w:rsidRPr="007331F4">
        <w:rPr>
          <w:rFonts w:ascii="Arial" w:hAnsi="Arial" w:cs="Arial"/>
        </w:rPr>
        <w:t>Presupuestal</w:t>
      </w:r>
      <w:r>
        <w:rPr>
          <w:rFonts w:ascii="Arial" w:hAnsi="Arial" w:cs="Arial"/>
        </w:rPr>
        <w:t xml:space="preserve"> por parte de las </w:t>
      </w:r>
      <w:r>
        <w:rPr>
          <w:rFonts w:ascii="Arial" w:hAnsi="Arial" w:cs="Arial"/>
        </w:rPr>
        <w:lastRenderedPageBreak/>
        <w:t>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CF295C">
        <w:rPr>
          <w:rFonts w:ascii="Arial" w:hAnsi="Arial" w:cs="Arial"/>
        </w:rPr>
        <w:t>La modernización de la administración tributaria ti</w:t>
      </w:r>
      <w:r>
        <w:rPr>
          <w:rFonts w:ascii="Arial" w:hAnsi="Arial" w:cs="Arial"/>
        </w:rPr>
        <w:t>ene</w:t>
      </w:r>
      <w:r w:rsidRPr="00CF295C">
        <w:rPr>
          <w:rFonts w:ascii="Arial" w:hAnsi="Arial" w:cs="Arial"/>
        </w:rPr>
        <w:t xml:space="preserve"> un papel </w:t>
      </w:r>
      <w:r>
        <w:rPr>
          <w:rFonts w:ascii="Arial" w:hAnsi="Arial" w:cs="Arial"/>
        </w:rPr>
        <w:t xml:space="preserve">fundamental </w:t>
      </w:r>
      <w:r w:rsidRPr="00CF295C">
        <w:rPr>
          <w:rFonts w:ascii="Arial" w:hAnsi="Arial" w:cs="Arial"/>
        </w:rPr>
        <w:t xml:space="preserve">en el fortalecimiento de la hacienda pública estatal. En este rubro, </w:t>
      </w:r>
      <w:r>
        <w:rPr>
          <w:rFonts w:ascii="Arial" w:hAnsi="Arial" w:cs="Arial"/>
        </w:rPr>
        <w:t xml:space="preserve">se han implementado </w:t>
      </w:r>
      <w:r w:rsidRPr="00CF295C">
        <w:rPr>
          <w:rFonts w:ascii="Arial" w:hAnsi="Arial" w:cs="Arial"/>
        </w:rPr>
        <w:t>mejoras administrativas, consolid</w:t>
      </w:r>
      <w:r>
        <w:rPr>
          <w:rFonts w:ascii="Arial" w:hAnsi="Arial" w:cs="Arial"/>
        </w:rPr>
        <w:t>ándose</w:t>
      </w:r>
      <w:r w:rsidRPr="00CF295C">
        <w:rPr>
          <w:rFonts w:ascii="Arial" w:hAnsi="Arial" w:cs="Arial"/>
        </w:rPr>
        <w:t xml:space="preserve"> la aplicación de sistemas recaudatorios más eficientes; reforz</w:t>
      </w:r>
      <w:r>
        <w:rPr>
          <w:rFonts w:ascii="Arial" w:hAnsi="Arial" w:cs="Arial"/>
        </w:rPr>
        <w:t>ando</w:t>
      </w:r>
      <w:r w:rsidRPr="00CF295C">
        <w:rPr>
          <w:rFonts w:ascii="Arial" w:hAnsi="Arial" w:cs="Arial"/>
        </w:rPr>
        <w:t xml:space="preserve"> la fiscalización de contribuyentes</w:t>
      </w:r>
      <w:r>
        <w:rPr>
          <w:rFonts w:ascii="Arial" w:hAnsi="Arial" w:cs="Arial"/>
        </w:rPr>
        <w:t xml:space="preserve"> de</w:t>
      </w:r>
      <w:r w:rsidRPr="00CF295C">
        <w:rPr>
          <w:rFonts w:ascii="Arial" w:hAnsi="Arial" w:cs="Arial"/>
        </w:rPr>
        <w:t xml:space="preserve"> impuestos estatales y </w:t>
      </w:r>
      <w:r>
        <w:rPr>
          <w:rFonts w:ascii="Arial" w:hAnsi="Arial" w:cs="Arial"/>
        </w:rPr>
        <w:t>promoviendo activamente el pago de contribuciones vía internet, tal y como se puede apreciar en la gráfica siguiente:</w:t>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noProof/>
          <w:lang w:val="es-MX" w:eastAsia="es-MX"/>
        </w:rPr>
        <w:lastRenderedPageBreak/>
        <w:drawing>
          <wp:inline distT="0" distB="0" distL="0" distR="0" wp14:anchorId="2F314F84" wp14:editId="11C45745">
            <wp:extent cx="5212336" cy="305330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3946" cy="3071816"/>
                    </a:xfrm>
                    <a:prstGeom prst="rect">
                      <a:avLst/>
                    </a:prstGeom>
                    <a:noFill/>
                  </pic:spPr>
                </pic:pic>
              </a:graphicData>
            </a:graphic>
          </wp:inline>
        </w:drawing>
      </w:r>
    </w:p>
    <w:p w:rsidR="0037578E" w:rsidRDefault="0037578E" w:rsidP="0037578E">
      <w:pPr>
        <w:spacing w:line="360" w:lineRule="auto"/>
        <w:jc w:val="both"/>
        <w:rPr>
          <w:rFonts w:ascii="Arial" w:hAnsi="Arial" w:cs="Arial"/>
        </w:rPr>
      </w:pPr>
      <w:r>
        <w:rPr>
          <w:rFonts w:ascii="Arial" w:hAnsi="Arial" w:cs="Arial"/>
        </w:rPr>
        <w:t>A continuación se presentan los resultados obtenidos en la recaudación de contribuciones locales, así como de recursos federales etiquetados y de libre disposición en los últimos cinco años y el pronóstico de cierre 2018.</w:t>
      </w:r>
    </w:p>
    <w:p w:rsidR="0037578E" w:rsidRDefault="0037578E" w:rsidP="0037578E">
      <w:pPr>
        <w:spacing w:line="360" w:lineRule="auto"/>
        <w:jc w:val="both"/>
        <w:rPr>
          <w:rFonts w:ascii="Arial" w:hAnsi="Arial" w:cs="Arial"/>
        </w:rPr>
      </w:pPr>
    </w:p>
    <w:tbl>
      <w:tblPr>
        <w:tblW w:w="8495" w:type="dxa"/>
        <w:tblInd w:w="-152" w:type="dxa"/>
        <w:tblCellMar>
          <w:left w:w="70" w:type="dxa"/>
          <w:right w:w="70" w:type="dxa"/>
        </w:tblCellMar>
        <w:tblLook w:val="04A0" w:firstRow="1" w:lastRow="0" w:firstColumn="1" w:lastColumn="0" w:noHBand="0" w:noVBand="1"/>
      </w:tblPr>
      <w:tblGrid>
        <w:gridCol w:w="2542"/>
        <w:gridCol w:w="992"/>
        <w:gridCol w:w="992"/>
        <w:gridCol w:w="993"/>
        <w:gridCol w:w="992"/>
        <w:gridCol w:w="992"/>
        <w:gridCol w:w="992"/>
      </w:tblGrid>
      <w:tr w:rsidR="0037578E" w:rsidRPr="006C7BE6" w:rsidTr="0037578E">
        <w:trPr>
          <w:trHeight w:val="300"/>
        </w:trPr>
        <w:tc>
          <w:tcPr>
            <w:tcW w:w="8495" w:type="dxa"/>
            <w:gridSpan w:val="7"/>
            <w:tcBorders>
              <w:top w:val="single" w:sz="8" w:space="0" w:color="auto"/>
              <w:left w:val="single" w:sz="8" w:space="0" w:color="auto"/>
              <w:bottom w:val="nil"/>
              <w:right w:val="single" w:sz="8" w:space="0" w:color="auto"/>
            </w:tcBorders>
            <w:shd w:val="clear" w:color="000000" w:fill="C4D79B"/>
            <w:noWrap/>
            <w:vAlign w:val="bottom"/>
            <w:hideMark/>
          </w:tcPr>
          <w:p w:rsidR="0037578E" w:rsidRPr="006C7BE6" w:rsidRDefault="0037578E" w:rsidP="0037578E">
            <w:pPr>
              <w:jc w:val="center"/>
              <w:rPr>
                <w:rFonts w:ascii="Soberana Sans" w:hAnsi="Soberana Sans" w:cs="Calibri"/>
                <w:b/>
                <w:bCs/>
                <w:color w:val="000000"/>
                <w:sz w:val="12"/>
                <w:szCs w:val="12"/>
                <w:lang w:val="es-MX" w:eastAsia="es-MX"/>
              </w:rPr>
            </w:pPr>
            <w:bookmarkStart w:id="2" w:name="RANGE!A1:G38"/>
            <w:r w:rsidRPr="006C7BE6">
              <w:rPr>
                <w:rFonts w:ascii="Soberana Sans" w:hAnsi="Soberana Sans" w:cs="Calibri"/>
                <w:b/>
                <w:bCs/>
                <w:color w:val="000000"/>
                <w:sz w:val="12"/>
                <w:szCs w:val="12"/>
              </w:rPr>
              <w:t>GOBIERNO DEL ESTADO DE TLAXCALA</w:t>
            </w:r>
            <w:bookmarkEnd w:id="2"/>
          </w:p>
        </w:tc>
      </w:tr>
      <w:tr w:rsidR="0037578E" w:rsidRPr="006C7BE6" w:rsidTr="0037578E">
        <w:trPr>
          <w:trHeight w:val="300"/>
        </w:trPr>
        <w:tc>
          <w:tcPr>
            <w:tcW w:w="8495" w:type="dxa"/>
            <w:gridSpan w:val="7"/>
            <w:tcBorders>
              <w:top w:val="nil"/>
              <w:left w:val="single" w:sz="8" w:space="0" w:color="auto"/>
              <w:bottom w:val="nil"/>
              <w:right w:val="single" w:sz="8" w:space="0" w:color="auto"/>
            </w:tcBorders>
            <w:shd w:val="clear" w:color="000000" w:fill="C4D79B"/>
            <w:noWrap/>
            <w:vAlign w:val="bottom"/>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Resultados de Ingresos - LDF</w:t>
            </w:r>
          </w:p>
        </w:tc>
      </w:tr>
      <w:tr w:rsidR="0037578E" w:rsidRPr="006C7BE6" w:rsidTr="0037578E">
        <w:trPr>
          <w:trHeight w:val="300"/>
        </w:trPr>
        <w:tc>
          <w:tcPr>
            <w:tcW w:w="8495" w:type="dxa"/>
            <w:gridSpan w:val="7"/>
            <w:tcBorders>
              <w:top w:val="nil"/>
              <w:left w:val="single" w:sz="8" w:space="0" w:color="auto"/>
              <w:bottom w:val="nil"/>
              <w:right w:val="single" w:sz="8" w:space="0" w:color="auto"/>
            </w:tcBorders>
            <w:shd w:val="clear" w:color="000000" w:fill="C4D79B"/>
            <w:noWrap/>
            <w:vAlign w:val="bottom"/>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(PESOS) </w:t>
            </w:r>
          </w:p>
        </w:tc>
      </w:tr>
      <w:tr w:rsidR="0037578E" w:rsidRPr="006C7BE6" w:rsidTr="0037578E">
        <w:trPr>
          <w:trHeight w:val="315"/>
        </w:trPr>
        <w:tc>
          <w:tcPr>
            <w:tcW w:w="8495" w:type="dxa"/>
            <w:gridSpan w:val="7"/>
            <w:tcBorders>
              <w:top w:val="nil"/>
              <w:left w:val="single" w:sz="8" w:space="0" w:color="auto"/>
              <w:bottom w:val="single" w:sz="8" w:space="0" w:color="auto"/>
              <w:right w:val="single" w:sz="8" w:space="0" w:color="auto"/>
            </w:tcBorders>
            <w:shd w:val="clear" w:color="000000" w:fill="C4D79B"/>
            <w:noWrap/>
            <w:vAlign w:val="bottom"/>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(CIFRAS NOMINALES)</w:t>
            </w:r>
          </w:p>
        </w:tc>
      </w:tr>
      <w:tr w:rsidR="0037578E" w:rsidRPr="006C7BE6" w:rsidTr="0037578E">
        <w:trPr>
          <w:trHeight w:val="300"/>
        </w:trPr>
        <w:tc>
          <w:tcPr>
            <w:tcW w:w="2542" w:type="dxa"/>
            <w:vMerge w:val="restart"/>
            <w:tcBorders>
              <w:top w:val="nil"/>
              <w:left w:val="single" w:sz="8" w:space="0" w:color="auto"/>
              <w:bottom w:val="single" w:sz="8" w:space="0" w:color="000000"/>
              <w:right w:val="single" w:sz="8" w:space="0" w:color="auto"/>
            </w:tcBorders>
            <w:shd w:val="clear" w:color="000000" w:fill="C4D79B"/>
            <w:noWrap/>
            <w:vAlign w:val="center"/>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Concepto</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2013</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2014</w:t>
            </w:r>
          </w:p>
        </w:tc>
        <w:tc>
          <w:tcPr>
            <w:tcW w:w="993"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2015</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2016</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2017</w:t>
            </w:r>
          </w:p>
        </w:tc>
        <w:tc>
          <w:tcPr>
            <w:tcW w:w="992" w:type="dxa"/>
            <w:vMerge w:val="restart"/>
            <w:tcBorders>
              <w:top w:val="nil"/>
              <w:left w:val="single" w:sz="8" w:space="0" w:color="auto"/>
              <w:bottom w:val="single" w:sz="8" w:space="0" w:color="000000"/>
              <w:right w:val="single" w:sz="8" w:space="0" w:color="auto"/>
            </w:tcBorders>
            <w:shd w:val="clear" w:color="000000" w:fill="C4D79B"/>
            <w:vAlign w:val="center"/>
            <w:hideMark/>
          </w:tcPr>
          <w:p w:rsidR="0037578E" w:rsidRPr="006C7BE6" w:rsidRDefault="0037578E" w:rsidP="0037578E">
            <w:pPr>
              <w:jc w:val="center"/>
              <w:rPr>
                <w:rFonts w:ascii="Soberana Sans" w:hAnsi="Soberana Sans" w:cs="Calibri"/>
                <w:b/>
                <w:bCs/>
                <w:color w:val="000000"/>
                <w:sz w:val="12"/>
                <w:szCs w:val="12"/>
              </w:rPr>
            </w:pPr>
            <w:r w:rsidRPr="006C7BE6">
              <w:rPr>
                <w:rFonts w:ascii="Soberana Sans" w:hAnsi="Soberana Sans" w:cs="Calibri"/>
                <w:b/>
                <w:bCs/>
                <w:color w:val="000000"/>
                <w:sz w:val="12"/>
                <w:szCs w:val="12"/>
              </w:rPr>
              <w:t>2018</w:t>
            </w:r>
          </w:p>
        </w:tc>
      </w:tr>
      <w:tr w:rsidR="0037578E" w:rsidRPr="006C7BE6" w:rsidTr="0037578E">
        <w:trPr>
          <w:trHeight w:val="315"/>
        </w:trPr>
        <w:tc>
          <w:tcPr>
            <w:tcW w:w="2542" w:type="dxa"/>
            <w:vMerge/>
            <w:tcBorders>
              <w:top w:val="nil"/>
              <w:left w:val="single" w:sz="8" w:space="0" w:color="auto"/>
              <w:bottom w:val="single" w:sz="8" w:space="0" w:color="000000"/>
              <w:right w:val="single" w:sz="8" w:space="0" w:color="auto"/>
            </w:tcBorders>
            <w:vAlign w:val="center"/>
            <w:hideMark/>
          </w:tcPr>
          <w:p w:rsidR="0037578E" w:rsidRPr="006C7BE6" w:rsidRDefault="0037578E" w:rsidP="0037578E">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37578E" w:rsidRPr="006C7BE6" w:rsidRDefault="0037578E" w:rsidP="0037578E">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37578E" w:rsidRPr="006C7BE6" w:rsidRDefault="0037578E" w:rsidP="0037578E">
            <w:pPr>
              <w:rPr>
                <w:rFonts w:ascii="Soberana Sans" w:hAnsi="Soberana Sans" w:cs="Calibri"/>
                <w:b/>
                <w:bCs/>
                <w:color w:val="000000"/>
                <w:sz w:val="12"/>
                <w:szCs w:val="12"/>
              </w:rPr>
            </w:pPr>
          </w:p>
        </w:tc>
        <w:tc>
          <w:tcPr>
            <w:tcW w:w="993" w:type="dxa"/>
            <w:vMerge/>
            <w:tcBorders>
              <w:top w:val="nil"/>
              <w:left w:val="single" w:sz="8" w:space="0" w:color="auto"/>
              <w:bottom w:val="single" w:sz="8" w:space="0" w:color="000000"/>
              <w:right w:val="single" w:sz="8" w:space="0" w:color="auto"/>
            </w:tcBorders>
            <w:vAlign w:val="center"/>
            <w:hideMark/>
          </w:tcPr>
          <w:p w:rsidR="0037578E" w:rsidRPr="006C7BE6" w:rsidRDefault="0037578E" w:rsidP="0037578E">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37578E" w:rsidRPr="006C7BE6" w:rsidRDefault="0037578E" w:rsidP="0037578E">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37578E" w:rsidRPr="006C7BE6" w:rsidRDefault="0037578E" w:rsidP="0037578E">
            <w:pPr>
              <w:rPr>
                <w:rFonts w:ascii="Soberana Sans" w:hAnsi="Soberana Sans" w:cs="Calibri"/>
                <w:b/>
                <w:bCs/>
                <w:color w:val="000000"/>
                <w:sz w:val="12"/>
                <w:szCs w:val="12"/>
              </w:rPr>
            </w:pPr>
          </w:p>
        </w:tc>
        <w:tc>
          <w:tcPr>
            <w:tcW w:w="992" w:type="dxa"/>
            <w:vMerge/>
            <w:tcBorders>
              <w:top w:val="nil"/>
              <w:left w:val="single" w:sz="8" w:space="0" w:color="auto"/>
              <w:bottom w:val="single" w:sz="8" w:space="0" w:color="000000"/>
              <w:right w:val="single" w:sz="8" w:space="0" w:color="auto"/>
            </w:tcBorders>
            <w:vAlign w:val="center"/>
            <w:hideMark/>
          </w:tcPr>
          <w:p w:rsidR="0037578E" w:rsidRPr="006C7BE6" w:rsidRDefault="0037578E" w:rsidP="0037578E">
            <w:pPr>
              <w:rPr>
                <w:rFonts w:ascii="Soberana Sans" w:hAnsi="Soberana Sans" w:cs="Calibri"/>
                <w:b/>
                <w:bCs/>
                <w:color w:val="000000"/>
                <w:sz w:val="12"/>
                <w:szCs w:val="12"/>
              </w:rPr>
            </w:pP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1.</w:t>
            </w:r>
            <w:r w:rsidRPr="006C7BE6">
              <w:rPr>
                <w:b/>
                <w:bCs/>
                <w:color w:val="000000"/>
                <w:sz w:val="12"/>
                <w:szCs w:val="12"/>
              </w:rPr>
              <w:t xml:space="preserve">    </w:t>
            </w:r>
            <w:r w:rsidRPr="006C7BE6">
              <w:rPr>
                <w:rFonts w:ascii="Soberana Sans" w:hAnsi="Soberana Sans" w:cs="Calibri"/>
                <w:b/>
                <w:bCs/>
                <w:color w:val="000000"/>
                <w:sz w:val="12"/>
                <w:szCs w:val="12"/>
              </w:rPr>
              <w:t>Ingresos de Libre Disposición</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6,053,213,255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6,685,909,299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7,131,325,324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7,990,874,866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8,861,552,135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9,433,193,572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A.</w:t>
            </w:r>
            <w:r w:rsidRPr="006C7BE6">
              <w:rPr>
                <w:color w:val="000000"/>
                <w:sz w:val="12"/>
                <w:szCs w:val="12"/>
              </w:rPr>
              <w:t xml:space="preserve">      </w:t>
            </w:r>
            <w:r w:rsidRPr="006C7BE6">
              <w:rPr>
                <w:rFonts w:ascii="Soberana Sans" w:hAnsi="Soberana Sans" w:cs="Calibri"/>
                <w:color w:val="000000"/>
                <w:sz w:val="12"/>
                <w:szCs w:val="12"/>
              </w:rPr>
              <w:t>Impuestos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219,152,198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262,027,092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355,400,955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357,354,222.00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447,266,637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499,389,309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B.</w:t>
            </w:r>
            <w:r w:rsidRPr="006C7BE6">
              <w:rPr>
                <w:color w:val="000000"/>
                <w:sz w:val="12"/>
                <w:szCs w:val="12"/>
              </w:rPr>
              <w:t xml:space="preserve">      </w:t>
            </w:r>
            <w:r w:rsidRPr="006C7BE6">
              <w:rPr>
                <w:rFonts w:ascii="Soberana Sans" w:hAnsi="Soberana Sans" w:cs="Calibri"/>
                <w:color w:val="000000"/>
                <w:sz w:val="12"/>
                <w:szCs w:val="12"/>
              </w:rPr>
              <w:t>Cuotas y Aportaciones de Seguridad Social</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C.</w:t>
            </w:r>
            <w:r w:rsidRPr="006C7BE6">
              <w:rPr>
                <w:color w:val="000000"/>
                <w:sz w:val="12"/>
                <w:szCs w:val="12"/>
              </w:rPr>
              <w:t xml:space="preserve">      </w:t>
            </w:r>
            <w:r w:rsidRPr="006C7BE6">
              <w:rPr>
                <w:rFonts w:ascii="Soberana Sans" w:hAnsi="Soberana Sans" w:cs="Calibri"/>
                <w:color w:val="000000"/>
                <w:sz w:val="12"/>
                <w:szCs w:val="12"/>
              </w:rPr>
              <w:t>Contribuciones de Mejoras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lastRenderedPageBreak/>
              <w:t>D.</w:t>
            </w:r>
            <w:r w:rsidRPr="006C7BE6">
              <w:rPr>
                <w:color w:val="000000"/>
                <w:sz w:val="12"/>
                <w:szCs w:val="12"/>
              </w:rPr>
              <w:t xml:space="preserve">      </w:t>
            </w:r>
            <w:r w:rsidRPr="006C7BE6">
              <w:rPr>
                <w:rFonts w:ascii="Soberana Sans" w:hAnsi="Soberana Sans" w:cs="Calibri"/>
                <w:color w:val="000000"/>
                <w:sz w:val="12"/>
                <w:szCs w:val="12"/>
              </w:rPr>
              <w:t>Derechos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244,869,161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338,537,597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388,512,538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391,182,159.00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389,848,578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421,086,791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E.</w:t>
            </w:r>
            <w:r w:rsidRPr="006C7BE6">
              <w:rPr>
                <w:color w:val="000000"/>
                <w:sz w:val="12"/>
                <w:szCs w:val="12"/>
              </w:rPr>
              <w:t xml:space="preserve">      </w:t>
            </w:r>
            <w:r w:rsidRPr="006C7BE6">
              <w:rPr>
                <w:rFonts w:ascii="Soberana Sans" w:hAnsi="Soberana Sans" w:cs="Calibri"/>
                <w:color w:val="000000"/>
                <w:sz w:val="12"/>
                <w:szCs w:val="12"/>
              </w:rPr>
              <w:t>Productos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36,966,876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54,348,153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62,844,094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92,983,744.00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161,151,957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234,994,747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F.</w:t>
            </w:r>
            <w:r w:rsidRPr="006C7BE6">
              <w:rPr>
                <w:color w:val="000000"/>
                <w:sz w:val="12"/>
                <w:szCs w:val="12"/>
              </w:rPr>
              <w:t xml:space="preserve">       </w:t>
            </w:r>
            <w:r w:rsidRPr="006C7BE6">
              <w:rPr>
                <w:rFonts w:ascii="Soberana Sans" w:hAnsi="Soberana Sans" w:cs="Calibri"/>
                <w:color w:val="000000"/>
                <w:sz w:val="12"/>
                <w:szCs w:val="12"/>
              </w:rPr>
              <w:t>Aprovechamientos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11,292,454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1,476,676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1,895,929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6,529,447.00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40,085,850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9,230,797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G.</w:t>
            </w:r>
            <w:r w:rsidRPr="006C7BE6">
              <w:rPr>
                <w:color w:val="000000"/>
                <w:sz w:val="12"/>
                <w:szCs w:val="12"/>
              </w:rPr>
              <w:t xml:space="preserve">      </w:t>
            </w:r>
            <w:r w:rsidRPr="006C7BE6">
              <w:rPr>
                <w:rFonts w:ascii="Soberana Sans" w:hAnsi="Soberana Sans" w:cs="Calibri"/>
                <w:color w:val="000000"/>
                <w:sz w:val="12"/>
                <w:szCs w:val="12"/>
              </w:rPr>
              <w:t>Ingresos por Ventas de Bienes y Servicios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91,282,843.00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133,741,218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146,788,650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H.</w:t>
            </w:r>
            <w:r w:rsidRPr="006C7BE6">
              <w:rPr>
                <w:color w:val="000000"/>
                <w:sz w:val="12"/>
                <w:szCs w:val="12"/>
              </w:rPr>
              <w:t xml:space="preserve">       </w:t>
            </w:r>
            <w:r w:rsidRPr="006C7BE6">
              <w:rPr>
                <w:rFonts w:ascii="Soberana Sans" w:hAnsi="Soberana Sans" w:cs="Calibri"/>
                <w:color w:val="000000"/>
                <w:sz w:val="12"/>
                <w:szCs w:val="12"/>
              </w:rPr>
              <w:t xml:space="preserve">Participaciones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5,317,158,961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5,800,672,573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6,242,799,827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6,948,088,232.00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7,607,643,279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7,986,739,789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I.</w:t>
            </w:r>
            <w:r w:rsidRPr="006C7BE6">
              <w:rPr>
                <w:color w:val="000000"/>
                <w:sz w:val="12"/>
                <w:szCs w:val="12"/>
              </w:rPr>
              <w:t xml:space="preserve">       </w:t>
            </w:r>
            <w:r w:rsidRPr="006C7BE6">
              <w:rPr>
                <w:rFonts w:ascii="Soberana Sans" w:hAnsi="Soberana Sans" w:cs="Calibri"/>
                <w:color w:val="000000"/>
                <w:sz w:val="12"/>
                <w:szCs w:val="12"/>
              </w:rPr>
              <w:t>Incentivos Derivados de la Colaboración Fiscal</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223,773,605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228,847,208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79,871,981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103,454,219.00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81,814,615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134,963,489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J.</w:t>
            </w:r>
            <w:r w:rsidRPr="006C7BE6">
              <w:rPr>
                <w:color w:val="000000"/>
                <w:sz w:val="12"/>
                <w:szCs w:val="12"/>
              </w:rPr>
              <w:t xml:space="preserve">      </w:t>
            </w:r>
            <w:r w:rsidRPr="006C7BE6">
              <w:rPr>
                <w:rFonts w:ascii="Soberana Sans" w:hAnsi="Soberana Sans" w:cs="Calibri"/>
                <w:color w:val="000000"/>
                <w:sz w:val="12"/>
                <w:szCs w:val="12"/>
              </w:rPr>
              <w:t>Transferencias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K.</w:t>
            </w:r>
            <w:r w:rsidRPr="006C7BE6">
              <w:rPr>
                <w:color w:val="000000"/>
                <w:sz w:val="12"/>
                <w:szCs w:val="12"/>
              </w:rPr>
              <w:t xml:space="preserve">      </w:t>
            </w:r>
            <w:r w:rsidRPr="006C7BE6">
              <w:rPr>
                <w:rFonts w:ascii="Soberana Sans" w:hAnsi="Soberana Sans" w:cs="Calibri"/>
                <w:color w:val="000000"/>
                <w:sz w:val="12"/>
                <w:szCs w:val="12"/>
              </w:rPr>
              <w:t>Convenios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L.</w:t>
            </w:r>
            <w:r w:rsidRPr="006C7BE6">
              <w:rPr>
                <w:color w:val="000000"/>
                <w:sz w:val="12"/>
                <w:szCs w:val="12"/>
              </w:rPr>
              <w:t xml:space="preserve">      </w:t>
            </w:r>
            <w:r w:rsidRPr="006C7BE6">
              <w:rPr>
                <w:rFonts w:ascii="Soberana Sans" w:hAnsi="Soberana Sans" w:cs="Calibri"/>
                <w:color w:val="000000"/>
                <w:sz w:val="12"/>
                <w:szCs w:val="12"/>
              </w:rPr>
              <w:t>Otros Ingresos de Libre Disposición</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xml:space="preserve">                               </w:t>
            </w: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2.</w:t>
            </w:r>
            <w:r w:rsidRPr="006C7BE6">
              <w:rPr>
                <w:b/>
                <w:bCs/>
                <w:color w:val="000000"/>
                <w:sz w:val="12"/>
                <w:szCs w:val="12"/>
              </w:rPr>
              <w:t xml:space="preserve">    </w:t>
            </w:r>
            <w:r w:rsidRPr="006C7BE6">
              <w:rPr>
                <w:rFonts w:ascii="Soberana Sans" w:hAnsi="Soberana Sans" w:cs="Calibri"/>
                <w:b/>
                <w:bCs/>
                <w:color w:val="000000"/>
                <w:sz w:val="12"/>
                <w:szCs w:val="12"/>
              </w:rPr>
              <w:t xml:space="preserve">Transferencias Federales Etiquetadas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10,276,787,660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11,108,818,983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12,758,646,363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12,262,850,650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11,927,809,801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12,904,330,077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A.</w:t>
            </w:r>
            <w:r w:rsidRPr="006C7BE6">
              <w:rPr>
                <w:color w:val="000000"/>
                <w:sz w:val="12"/>
                <w:szCs w:val="12"/>
              </w:rPr>
              <w:t xml:space="preserve">      </w:t>
            </w:r>
            <w:r w:rsidRPr="006C7BE6">
              <w:rPr>
                <w:rFonts w:ascii="Soberana Sans" w:hAnsi="Soberana Sans" w:cs="Calibri"/>
                <w:color w:val="000000"/>
                <w:sz w:val="12"/>
                <w:szCs w:val="12"/>
              </w:rPr>
              <w:t>Aportaciones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6,661,575,326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7,119,443,792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8,573,623,072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8,472,153,942.00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8,484,339,479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9,460,034,116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B.</w:t>
            </w:r>
            <w:r w:rsidRPr="006C7BE6">
              <w:rPr>
                <w:color w:val="000000"/>
                <w:sz w:val="12"/>
                <w:szCs w:val="12"/>
              </w:rPr>
              <w:t xml:space="preserve">      </w:t>
            </w:r>
            <w:r w:rsidRPr="006C7BE6">
              <w:rPr>
                <w:rFonts w:ascii="Soberana Sans" w:hAnsi="Soberana Sans" w:cs="Calibri"/>
                <w:color w:val="000000"/>
                <w:sz w:val="12"/>
                <w:szCs w:val="12"/>
              </w:rPr>
              <w:t>Convenios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3,615,212,334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3,989,375,191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4,185,023,291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3,790,696,708.00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3,443,470,322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xml:space="preserve">3,444,295,961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C.</w:t>
            </w:r>
            <w:r w:rsidRPr="006C7BE6">
              <w:rPr>
                <w:color w:val="000000"/>
                <w:sz w:val="12"/>
                <w:szCs w:val="12"/>
              </w:rPr>
              <w:t xml:space="preserve">      </w:t>
            </w:r>
            <w:r w:rsidRPr="006C7BE6">
              <w:rPr>
                <w:rFonts w:ascii="Soberana Sans" w:hAnsi="Soberana Sans" w:cs="Calibri"/>
                <w:color w:val="000000"/>
                <w:sz w:val="12"/>
                <w:szCs w:val="12"/>
              </w:rPr>
              <w:t>Fondos distintos de Aportaciones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630"/>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D.</w:t>
            </w:r>
            <w:r w:rsidRPr="006C7BE6">
              <w:rPr>
                <w:color w:val="000000"/>
                <w:sz w:val="12"/>
                <w:szCs w:val="12"/>
              </w:rPr>
              <w:t xml:space="preserve">      </w:t>
            </w:r>
            <w:r w:rsidRPr="006C7BE6">
              <w:rPr>
                <w:rFonts w:ascii="Soberana Sans" w:hAnsi="Soberana Sans" w:cs="Calibri"/>
                <w:color w:val="000000"/>
                <w:sz w:val="12"/>
                <w:szCs w:val="12"/>
              </w:rPr>
              <w:t>Transferencias, Subsidios y Subvenciones, y Pensiones y Jubilaciones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E.</w:t>
            </w:r>
            <w:r w:rsidRPr="006C7BE6">
              <w:rPr>
                <w:color w:val="000000"/>
                <w:sz w:val="12"/>
                <w:szCs w:val="12"/>
              </w:rPr>
              <w:t xml:space="preserve">      </w:t>
            </w:r>
            <w:r w:rsidRPr="006C7BE6">
              <w:rPr>
                <w:rFonts w:ascii="Soberana Sans" w:hAnsi="Soberana Sans" w:cs="Calibri"/>
                <w:color w:val="000000"/>
                <w:sz w:val="12"/>
                <w:szCs w:val="12"/>
              </w:rPr>
              <w:t>Otras Transferencias Federales Etiquetadas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3.</w:t>
            </w:r>
            <w:r w:rsidRPr="006C7BE6">
              <w:rPr>
                <w:b/>
                <w:bCs/>
                <w:color w:val="000000"/>
                <w:sz w:val="12"/>
                <w:szCs w:val="12"/>
              </w:rPr>
              <w:t xml:space="preserve">    </w:t>
            </w:r>
            <w:r w:rsidRPr="006C7BE6">
              <w:rPr>
                <w:rFonts w:ascii="Soberana Sans" w:hAnsi="Soberana Sans" w:cs="Calibri"/>
                <w:b/>
                <w:bCs/>
                <w:color w:val="000000"/>
                <w:sz w:val="12"/>
                <w:szCs w:val="12"/>
              </w:rPr>
              <w:t>Ingresos Derivados de Financiamientos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A.</w:t>
            </w:r>
            <w:r w:rsidRPr="006C7BE6">
              <w:rPr>
                <w:color w:val="000000"/>
                <w:sz w:val="12"/>
                <w:szCs w:val="12"/>
              </w:rPr>
              <w:t xml:space="preserve">      </w:t>
            </w:r>
            <w:r w:rsidRPr="006C7BE6">
              <w:rPr>
                <w:rFonts w:ascii="Soberana Sans" w:hAnsi="Soberana Sans" w:cs="Calibri"/>
                <w:color w:val="000000"/>
                <w:sz w:val="12"/>
                <w:szCs w:val="12"/>
              </w:rPr>
              <w:t xml:space="preserve">Ingresos Derivados de Financiamientos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Pr>
                <w:rFonts w:ascii="Soberana Sans" w:hAnsi="Soberana Sans" w:cs="Calibri"/>
                <w:color w:val="000000"/>
                <w:sz w:val="12"/>
                <w:szCs w:val="12"/>
              </w:rPr>
              <w:t>0</w:t>
            </w:r>
            <w:r w:rsidRPr="006C7BE6">
              <w:rPr>
                <w:rFonts w:ascii="Soberana Sans" w:hAnsi="Soberana Sans" w:cs="Calibri"/>
                <w:color w:val="000000"/>
                <w:sz w:val="12"/>
                <w:szCs w:val="12"/>
              </w:rPr>
              <w:t xml:space="preserve">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4.</w:t>
            </w:r>
            <w:r w:rsidRPr="006C7BE6">
              <w:rPr>
                <w:b/>
                <w:bCs/>
                <w:color w:val="000000"/>
                <w:sz w:val="12"/>
                <w:szCs w:val="12"/>
              </w:rPr>
              <w:t xml:space="preserve">    </w:t>
            </w:r>
            <w:r w:rsidRPr="006C7BE6">
              <w:rPr>
                <w:rFonts w:ascii="Soberana Sans" w:hAnsi="Soberana Sans" w:cs="Calibri"/>
                <w:b/>
                <w:bCs/>
                <w:color w:val="000000"/>
                <w:sz w:val="12"/>
                <w:szCs w:val="12"/>
              </w:rPr>
              <w:t>Total de Resultados de Ingresos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16,330,000,915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17,794,728,282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19,889,971,687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20,253,725,516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20,789,361,936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 xml:space="preserve">22,337,523,649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Datos Informativos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 </w:t>
            </w:r>
          </w:p>
        </w:tc>
      </w:tr>
      <w:tr w:rsidR="0037578E" w:rsidRPr="006C7BE6" w:rsidTr="0037578E">
        <w:trPr>
          <w:trHeight w:val="570"/>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1. Ingresos Derivados de Financiamientos con Fuente de Pago de Recursos de Libre Disposición</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630"/>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2. Ingresos derivados de Financiamientos con Fuente de Pago de Transferencias Federales Etiquetadas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color w:val="000000"/>
                <w:sz w:val="12"/>
                <w:szCs w:val="12"/>
              </w:rPr>
            </w:pPr>
            <w:r w:rsidRPr="006C7BE6">
              <w:rPr>
                <w:rFonts w:ascii="Soberana Sans" w:hAnsi="Soberana Sans" w:cs="Calibri"/>
                <w:color w:val="000000"/>
                <w:sz w:val="12"/>
                <w:szCs w:val="12"/>
              </w:rPr>
              <w:t>0</w:t>
            </w:r>
          </w:p>
        </w:tc>
      </w:tr>
      <w:tr w:rsidR="0037578E" w:rsidRPr="006C7BE6" w:rsidTr="0037578E">
        <w:trPr>
          <w:trHeight w:val="319"/>
        </w:trPr>
        <w:tc>
          <w:tcPr>
            <w:tcW w:w="2542" w:type="dxa"/>
            <w:tcBorders>
              <w:top w:val="nil"/>
              <w:left w:val="single" w:sz="8" w:space="0" w:color="auto"/>
              <w:bottom w:val="nil"/>
              <w:right w:val="single" w:sz="8" w:space="0" w:color="auto"/>
            </w:tcBorders>
            <w:shd w:val="clear" w:color="auto" w:fill="auto"/>
            <w:hideMark/>
          </w:tcPr>
          <w:p w:rsidR="0037578E" w:rsidRPr="006C7BE6" w:rsidRDefault="0037578E" w:rsidP="0037578E">
            <w:pPr>
              <w:jc w:val="both"/>
              <w:rPr>
                <w:rFonts w:ascii="Soberana Sans" w:hAnsi="Soberana Sans" w:cs="Calibri"/>
                <w:b/>
                <w:bCs/>
                <w:color w:val="000000"/>
                <w:sz w:val="12"/>
                <w:szCs w:val="12"/>
              </w:rPr>
            </w:pPr>
            <w:r w:rsidRPr="006C7BE6">
              <w:rPr>
                <w:rFonts w:ascii="Soberana Sans" w:hAnsi="Soberana Sans" w:cs="Calibri"/>
                <w:b/>
                <w:bCs/>
                <w:color w:val="000000"/>
                <w:sz w:val="12"/>
                <w:szCs w:val="12"/>
              </w:rPr>
              <w:t>3. Ingresos Derivados de Financiamientos</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3"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c>
          <w:tcPr>
            <w:tcW w:w="992" w:type="dxa"/>
            <w:tcBorders>
              <w:top w:val="nil"/>
              <w:left w:val="nil"/>
              <w:bottom w:val="nil"/>
              <w:right w:val="single" w:sz="8" w:space="0" w:color="auto"/>
            </w:tcBorders>
            <w:shd w:val="clear" w:color="auto" w:fill="auto"/>
            <w:hideMark/>
          </w:tcPr>
          <w:p w:rsidR="0037578E" w:rsidRPr="006C7BE6" w:rsidRDefault="0037578E" w:rsidP="0037578E">
            <w:pPr>
              <w:jc w:val="right"/>
              <w:rPr>
                <w:rFonts w:ascii="Soberana Sans" w:hAnsi="Soberana Sans" w:cs="Calibri"/>
                <w:b/>
                <w:bCs/>
                <w:color w:val="000000"/>
                <w:sz w:val="12"/>
                <w:szCs w:val="12"/>
              </w:rPr>
            </w:pPr>
            <w:r w:rsidRPr="006C7BE6">
              <w:rPr>
                <w:rFonts w:ascii="Soberana Sans" w:hAnsi="Soberana Sans" w:cs="Calibri"/>
                <w:b/>
                <w:bCs/>
                <w:color w:val="000000"/>
                <w:sz w:val="12"/>
                <w:szCs w:val="12"/>
              </w:rPr>
              <w:t>0</w:t>
            </w:r>
          </w:p>
        </w:tc>
      </w:tr>
      <w:tr w:rsidR="0037578E" w:rsidRPr="006C7BE6" w:rsidTr="0037578E">
        <w:trPr>
          <w:trHeight w:val="319"/>
        </w:trPr>
        <w:tc>
          <w:tcPr>
            <w:tcW w:w="2542" w:type="dxa"/>
            <w:tcBorders>
              <w:top w:val="nil"/>
              <w:left w:val="single" w:sz="8" w:space="0" w:color="auto"/>
              <w:bottom w:val="single" w:sz="8" w:space="0" w:color="auto"/>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3" w:type="dxa"/>
            <w:tcBorders>
              <w:top w:val="nil"/>
              <w:left w:val="nil"/>
              <w:bottom w:val="single" w:sz="8" w:space="0" w:color="auto"/>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c>
          <w:tcPr>
            <w:tcW w:w="992" w:type="dxa"/>
            <w:tcBorders>
              <w:top w:val="nil"/>
              <w:left w:val="nil"/>
              <w:bottom w:val="single" w:sz="8" w:space="0" w:color="auto"/>
              <w:right w:val="single" w:sz="8" w:space="0" w:color="auto"/>
            </w:tcBorders>
            <w:shd w:val="clear" w:color="auto" w:fill="auto"/>
            <w:hideMark/>
          </w:tcPr>
          <w:p w:rsidR="0037578E" w:rsidRPr="006C7BE6" w:rsidRDefault="0037578E" w:rsidP="0037578E">
            <w:pPr>
              <w:jc w:val="both"/>
              <w:rPr>
                <w:rFonts w:ascii="Soberana Sans" w:hAnsi="Soberana Sans" w:cs="Calibri"/>
                <w:color w:val="000000"/>
                <w:sz w:val="12"/>
                <w:szCs w:val="12"/>
              </w:rPr>
            </w:pPr>
            <w:r w:rsidRPr="006C7BE6">
              <w:rPr>
                <w:rFonts w:ascii="Soberana Sans" w:hAnsi="Soberana Sans" w:cs="Calibri"/>
                <w:color w:val="000000"/>
                <w:sz w:val="12"/>
                <w:szCs w:val="12"/>
              </w:rPr>
              <w:t> </w:t>
            </w:r>
          </w:p>
        </w:tc>
      </w:tr>
    </w:tbl>
    <w:p w:rsidR="0037578E" w:rsidRDefault="0037578E" w:rsidP="0037578E">
      <w:pPr>
        <w:spacing w:line="360" w:lineRule="auto"/>
        <w:jc w:val="both"/>
        <w:rPr>
          <w:rFonts w:ascii="Arial" w:hAnsi="Arial" w:cs="Arial"/>
        </w:rPr>
      </w:pPr>
    </w:p>
    <w:p w:rsidR="0037578E" w:rsidRPr="003E6984" w:rsidRDefault="0037578E" w:rsidP="007F2A68">
      <w:pPr>
        <w:spacing w:line="360" w:lineRule="auto"/>
        <w:jc w:val="both"/>
        <w:rPr>
          <w:rFonts w:ascii="Arial" w:hAnsi="Arial" w:cs="Arial"/>
          <w:b/>
          <w:bCs/>
        </w:rPr>
      </w:pPr>
      <w:r w:rsidRPr="003E6984">
        <w:rPr>
          <w:rFonts w:ascii="Arial" w:hAnsi="Arial" w:cs="Arial"/>
          <w:b/>
          <w:bCs/>
        </w:rPr>
        <w:lastRenderedPageBreak/>
        <w:t>SISTEMA ESTATAL DE PENSIONES.</w:t>
      </w:r>
    </w:p>
    <w:p w:rsidR="0037578E" w:rsidRPr="003E6984"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3E6984">
        <w:rPr>
          <w:rFonts w:ascii="Arial" w:hAnsi="Arial" w:cs="Arial"/>
        </w:rPr>
        <w:t>De acuerdo al último estudio actuarial de las pensiones del Estado de Tlaxcala</w:t>
      </w:r>
      <w:r w:rsidRPr="003E6984">
        <w:rPr>
          <w:rFonts w:ascii="Arial" w:hAnsi="Arial" w:cs="Arial"/>
          <w:b/>
          <w:sz w:val="22"/>
          <w:vertAlign w:val="superscript"/>
        </w:rPr>
        <w:footnoteReference w:id="1"/>
      </w:r>
      <w:r w:rsidRPr="003E6984">
        <w:rPr>
          <w:rFonts w:ascii="Arial" w:hAnsi="Arial" w:cs="Arial"/>
        </w:rPr>
        <w:t>, correspondiente al ejercicio fiscal 2018 y con una vigencia al ejercicio 2021 se tiene una reserva actuarial de 348.01 millones de pesos, con una población afiliada activa de 8,038 trabajadores y 2,014 pensionados, como a continuación se presenta:</w:t>
      </w:r>
    </w:p>
    <w:p w:rsidR="0037578E" w:rsidRDefault="0037578E" w:rsidP="0037578E">
      <w:pPr>
        <w:spacing w:line="360" w:lineRule="auto"/>
        <w:jc w:val="both"/>
        <w:rPr>
          <w:rFonts w:ascii="Arial" w:hAnsi="Arial" w:cs="Arial"/>
        </w:rPr>
      </w:pPr>
    </w:p>
    <w:p w:rsidR="0037578E" w:rsidRDefault="0037578E" w:rsidP="0037578E">
      <w:pPr>
        <w:spacing w:line="360" w:lineRule="auto"/>
        <w:jc w:val="center"/>
        <w:rPr>
          <w:rFonts w:ascii="Arial" w:hAnsi="Arial" w:cs="Arial"/>
          <w:b/>
        </w:rPr>
      </w:pPr>
      <w:r w:rsidRPr="00032945">
        <w:rPr>
          <w:rFonts w:ascii="Arial" w:hAnsi="Arial" w:cs="Arial"/>
          <w:b/>
        </w:rPr>
        <w:t>Estudio Actuarial de Pensiones</w:t>
      </w:r>
    </w:p>
    <w:p w:rsidR="0037578E" w:rsidRDefault="0037578E" w:rsidP="007A5775">
      <w:pPr>
        <w:spacing w:line="360" w:lineRule="auto"/>
        <w:jc w:val="center"/>
        <w:rPr>
          <w:rFonts w:ascii="Arial" w:hAnsi="Arial" w:cs="Arial"/>
        </w:rPr>
      </w:pPr>
      <w:r>
        <w:rPr>
          <w:noProof/>
          <w:lang w:val="es-MX" w:eastAsia="es-MX"/>
        </w:rPr>
        <w:drawing>
          <wp:inline distT="0" distB="0" distL="0" distR="0" wp14:anchorId="4146D9DD" wp14:editId="5620B8F8">
            <wp:extent cx="5083791" cy="366395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526" t="8341" r="26664" b="42580"/>
                    <a:stretch/>
                  </pic:blipFill>
                  <pic:spPr bwMode="auto">
                    <a:xfrm>
                      <a:off x="0" y="0"/>
                      <a:ext cx="5231464" cy="3770380"/>
                    </a:xfrm>
                    <a:prstGeom prst="rect">
                      <a:avLst/>
                    </a:prstGeom>
                    <a:ln>
                      <a:noFill/>
                    </a:ln>
                    <a:extLst>
                      <a:ext uri="{53640926-AAD7-44D8-BBD7-CCE9431645EC}">
                        <a14:shadowObscured xmlns:a14="http://schemas.microsoft.com/office/drawing/2010/main"/>
                      </a:ext>
                    </a:extLst>
                  </pic:spPr>
                </pic:pic>
              </a:graphicData>
            </a:graphic>
          </wp:inline>
        </w:drawing>
      </w:r>
    </w:p>
    <w:p w:rsidR="0037578E" w:rsidRDefault="0037578E" w:rsidP="0037578E">
      <w:pPr>
        <w:spacing w:line="360" w:lineRule="auto"/>
        <w:jc w:val="both"/>
        <w:rPr>
          <w:rFonts w:ascii="Arial" w:hAnsi="Arial" w:cs="Arial"/>
        </w:rPr>
      </w:pPr>
      <w:r>
        <w:rPr>
          <w:noProof/>
          <w:lang w:val="es-MX" w:eastAsia="es-MX"/>
        </w:rPr>
        <w:lastRenderedPageBreak/>
        <w:drawing>
          <wp:inline distT="0" distB="0" distL="0" distR="0" wp14:anchorId="4064D916" wp14:editId="77E8F668">
            <wp:extent cx="5172075" cy="279929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563" t="9816" r="26647" b="47026"/>
                    <a:stretch/>
                  </pic:blipFill>
                  <pic:spPr bwMode="auto">
                    <a:xfrm>
                      <a:off x="0" y="0"/>
                      <a:ext cx="5240326" cy="2836238"/>
                    </a:xfrm>
                    <a:prstGeom prst="rect">
                      <a:avLst/>
                    </a:prstGeom>
                    <a:ln>
                      <a:noFill/>
                    </a:ln>
                    <a:extLst>
                      <a:ext uri="{53640926-AAD7-44D8-BBD7-CCE9431645EC}">
                        <a14:shadowObscured xmlns:a14="http://schemas.microsoft.com/office/drawing/2010/main"/>
                      </a:ext>
                    </a:extLst>
                  </pic:spPr>
                </pic:pic>
              </a:graphicData>
            </a:graphic>
          </wp:inline>
        </w:drawing>
      </w:r>
    </w:p>
    <w:p w:rsidR="0037578E" w:rsidRDefault="0037578E" w:rsidP="0037578E">
      <w:pPr>
        <w:spacing w:line="360" w:lineRule="auto"/>
        <w:jc w:val="both"/>
        <w:rPr>
          <w:rFonts w:ascii="Arial" w:hAnsi="Arial" w:cs="Arial"/>
        </w:rPr>
      </w:pPr>
      <w:r>
        <w:rPr>
          <w:noProof/>
          <w:lang w:val="es-MX" w:eastAsia="es-MX"/>
        </w:rPr>
        <w:drawing>
          <wp:inline distT="0" distB="0" distL="0" distR="0" wp14:anchorId="3F41F6AE" wp14:editId="60A157A3">
            <wp:extent cx="5171312" cy="2775005"/>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650" t="29076" r="26672" b="40490"/>
                    <a:stretch/>
                  </pic:blipFill>
                  <pic:spPr bwMode="auto">
                    <a:xfrm>
                      <a:off x="0" y="0"/>
                      <a:ext cx="5268122" cy="2826955"/>
                    </a:xfrm>
                    <a:prstGeom prst="rect">
                      <a:avLst/>
                    </a:prstGeom>
                    <a:ln>
                      <a:noFill/>
                    </a:ln>
                    <a:extLst>
                      <a:ext uri="{53640926-AAD7-44D8-BBD7-CCE9431645EC}">
                        <a14:shadowObscured xmlns:a14="http://schemas.microsoft.com/office/drawing/2010/main"/>
                      </a:ext>
                    </a:extLst>
                  </pic:spPr>
                </pic:pic>
              </a:graphicData>
            </a:graphic>
          </wp:inline>
        </w:drawing>
      </w:r>
    </w:p>
    <w:p w:rsidR="0037578E" w:rsidRDefault="0037578E" w:rsidP="0037578E">
      <w:pPr>
        <w:spacing w:line="360" w:lineRule="auto"/>
        <w:jc w:val="center"/>
        <w:rPr>
          <w:rFonts w:ascii="Arial" w:hAnsi="Arial" w:cs="Arial"/>
        </w:rPr>
      </w:pPr>
      <w:r>
        <w:rPr>
          <w:noProof/>
          <w:lang w:val="es-MX" w:eastAsia="es-MX"/>
        </w:rPr>
        <w:lastRenderedPageBreak/>
        <w:drawing>
          <wp:inline distT="0" distB="0" distL="0" distR="0" wp14:anchorId="28ABEDAB" wp14:editId="66C990B6">
            <wp:extent cx="5145286" cy="1900361"/>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0761" t="37548" r="37718" b="43959"/>
                    <a:stretch/>
                  </pic:blipFill>
                  <pic:spPr bwMode="auto">
                    <a:xfrm>
                      <a:off x="0" y="0"/>
                      <a:ext cx="5412191" cy="1998940"/>
                    </a:xfrm>
                    <a:prstGeom prst="rect">
                      <a:avLst/>
                    </a:prstGeom>
                    <a:ln>
                      <a:noFill/>
                    </a:ln>
                    <a:extLst>
                      <a:ext uri="{53640926-AAD7-44D8-BBD7-CCE9431645EC}">
                        <a14:shadowObscured xmlns:a14="http://schemas.microsoft.com/office/drawing/2010/main"/>
                      </a:ext>
                    </a:extLst>
                  </pic:spPr>
                </pic:pic>
              </a:graphicData>
            </a:graphic>
          </wp:inline>
        </w:drawing>
      </w:r>
    </w:p>
    <w:p w:rsidR="0037578E" w:rsidRDefault="0037578E" w:rsidP="0037578E">
      <w:pPr>
        <w:spacing w:line="360" w:lineRule="auto"/>
        <w:jc w:val="both"/>
        <w:rPr>
          <w:rFonts w:ascii="Arial" w:hAnsi="Arial" w:cs="Arial"/>
        </w:rPr>
      </w:pPr>
    </w:p>
    <w:p w:rsidR="0037578E" w:rsidRDefault="0037578E" w:rsidP="0037578E">
      <w:pPr>
        <w:spacing w:line="360" w:lineRule="auto"/>
        <w:jc w:val="both"/>
        <w:rPr>
          <w:rFonts w:ascii="Arial" w:hAnsi="Arial" w:cs="Arial"/>
        </w:rPr>
      </w:pPr>
      <w:r w:rsidRPr="00C474ED">
        <w:rPr>
          <w:rFonts w:ascii="Arial" w:hAnsi="Arial" w:cs="Arial"/>
        </w:rPr>
        <w:t>Con la finalidad de coadyuvar en el saneamiento de las Pensiones Civiles del</w:t>
      </w:r>
      <w:r w:rsidRPr="002F4EF8">
        <w:rPr>
          <w:rFonts w:ascii="Arial" w:hAnsi="Arial" w:cs="Arial"/>
        </w:rPr>
        <w:t xml:space="preserve"> Estado de Tlaxcala, el Ejecutivo del Estado ha otorgado a la fecha aportaciones extraordinarias a Pensiones Civiles del Estado por un importe estimado de 53</w:t>
      </w:r>
      <w:r>
        <w:rPr>
          <w:rFonts w:ascii="Arial" w:hAnsi="Arial" w:cs="Arial"/>
        </w:rPr>
        <w:t>0</w:t>
      </w:r>
      <w:r w:rsidRPr="002F4EF8">
        <w:rPr>
          <w:rFonts w:ascii="Arial" w:hAnsi="Arial" w:cs="Arial"/>
        </w:rPr>
        <w:t>.</w:t>
      </w:r>
      <w:r>
        <w:rPr>
          <w:rFonts w:ascii="Arial" w:hAnsi="Arial" w:cs="Arial"/>
        </w:rPr>
        <w:t>0</w:t>
      </w:r>
      <w:r w:rsidRPr="002F4EF8">
        <w:rPr>
          <w:rFonts w:ascii="Arial" w:hAnsi="Arial" w:cs="Arial"/>
        </w:rPr>
        <w:t xml:space="preserve"> millones de pesos al cierre de 201</w:t>
      </w:r>
      <w:r>
        <w:rPr>
          <w:rFonts w:ascii="Arial" w:hAnsi="Arial" w:cs="Arial"/>
        </w:rPr>
        <w:t>8</w:t>
      </w:r>
      <w:r w:rsidRPr="002F4EF8">
        <w:rPr>
          <w:rFonts w:ascii="Arial" w:hAnsi="Arial" w:cs="Arial"/>
        </w:rPr>
        <w:t xml:space="preserve">, considerándose a su </w:t>
      </w:r>
      <w:r w:rsidRPr="00C474ED">
        <w:rPr>
          <w:rFonts w:ascii="Arial" w:hAnsi="Arial" w:cs="Arial"/>
        </w:rPr>
        <w:t>vez, dentro de la presente Iniciativa una aportación extraordinaria por hasta 50.0 millones de pesos.</w:t>
      </w:r>
    </w:p>
    <w:p w:rsidR="0037578E" w:rsidRDefault="0037578E" w:rsidP="0037578E">
      <w:pPr>
        <w:spacing w:line="360" w:lineRule="auto"/>
        <w:jc w:val="both"/>
        <w:rPr>
          <w:rFonts w:ascii="Arial" w:hAnsi="Arial" w:cs="Arial"/>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37578E" w:rsidRPr="006609D8" w:rsidTr="0037578E">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37578E" w:rsidRPr="006609D8" w:rsidRDefault="0037578E" w:rsidP="0037578E">
            <w:pPr>
              <w:spacing w:line="360" w:lineRule="auto"/>
              <w:jc w:val="center"/>
              <w:rPr>
                <w:rFonts w:ascii="Calibri" w:hAnsi="Calibri"/>
                <w:b/>
                <w:bCs/>
                <w:color w:val="000000"/>
                <w:sz w:val="22"/>
                <w:szCs w:val="22"/>
                <w:lang w:eastAsia="es-MX"/>
              </w:rPr>
            </w:pPr>
            <w:r w:rsidRPr="006609D8">
              <w:rPr>
                <w:rFonts w:ascii="Calibri" w:hAnsi="Calibri"/>
                <w:b/>
                <w:bCs/>
                <w:color w:val="000000"/>
                <w:sz w:val="22"/>
                <w:szCs w:val="22"/>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37578E" w:rsidRPr="006609D8" w:rsidRDefault="0037578E" w:rsidP="0037578E">
            <w:pPr>
              <w:spacing w:line="360" w:lineRule="auto"/>
              <w:jc w:val="center"/>
              <w:rPr>
                <w:rFonts w:ascii="Calibri" w:hAnsi="Calibri"/>
                <w:b/>
                <w:bCs/>
                <w:color w:val="000000"/>
                <w:sz w:val="22"/>
                <w:szCs w:val="22"/>
                <w:lang w:eastAsia="es-MX"/>
              </w:rPr>
            </w:pPr>
            <w:r w:rsidRPr="006609D8">
              <w:rPr>
                <w:rFonts w:ascii="Calibri" w:hAnsi="Calibri"/>
                <w:b/>
                <w:bCs/>
                <w:color w:val="000000"/>
                <w:sz w:val="22"/>
                <w:szCs w:val="22"/>
                <w:lang w:eastAsia="es-MX"/>
              </w:rPr>
              <w:t>APOYO ESTATAL EXTRAORDINARIO</w:t>
            </w:r>
          </w:p>
        </w:tc>
      </w:tr>
      <w:tr w:rsidR="0037578E" w:rsidRPr="006609D8" w:rsidTr="0037578E">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1</w:t>
            </w:r>
            <w:r>
              <w:rPr>
                <w:rFonts w:ascii="Calibri" w:hAnsi="Calibri"/>
                <w:color w:val="000000"/>
                <w:sz w:val="22"/>
                <w:szCs w:val="22"/>
                <w:lang w:eastAsia="es-MX"/>
              </w:rPr>
              <w:t>39</w:t>
            </w:r>
            <w:r w:rsidRPr="006609D8">
              <w:rPr>
                <w:rFonts w:ascii="Calibri" w:hAnsi="Calibri"/>
                <w:color w:val="000000"/>
                <w:sz w:val="22"/>
                <w:szCs w:val="22"/>
                <w:lang w:eastAsia="es-MX"/>
              </w:rPr>
              <w:t>.</w:t>
            </w:r>
            <w:r>
              <w:rPr>
                <w:rFonts w:ascii="Calibri" w:hAnsi="Calibri"/>
                <w:color w:val="000000"/>
                <w:sz w:val="22"/>
                <w:szCs w:val="22"/>
                <w:lang w:eastAsia="es-MX"/>
              </w:rPr>
              <w:t>7</w:t>
            </w:r>
          </w:p>
        </w:tc>
      </w:tr>
      <w:tr w:rsidR="0037578E" w:rsidRPr="006609D8" w:rsidTr="0037578E">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118.</w:t>
            </w:r>
            <w:r>
              <w:rPr>
                <w:rFonts w:ascii="Calibri" w:hAnsi="Calibri"/>
                <w:color w:val="000000"/>
                <w:sz w:val="22"/>
                <w:szCs w:val="22"/>
                <w:lang w:eastAsia="es-MX"/>
              </w:rPr>
              <w:t>3</w:t>
            </w:r>
          </w:p>
        </w:tc>
      </w:tr>
      <w:tr w:rsidR="0037578E" w:rsidRPr="006609D8" w:rsidTr="0037578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16.5</w:t>
            </w:r>
          </w:p>
        </w:tc>
      </w:tr>
      <w:tr w:rsidR="0037578E" w:rsidRPr="006609D8" w:rsidTr="0037578E">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29.0</w:t>
            </w:r>
          </w:p>
        </w:tc>
      </w:tr>
      <w:tr w:rsidR="0037578E" w:rsidRPr="006609D8" w:rsidTr="0037578E">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right"/>
              <w:rPr>
                <w:rFonts w:ascii="Calibri" w:hAnsi="Calibri"/>
                <w:color w:val="000000"/>
                <w:sz w:val="22"/>
                <w:szCs w:val="22"/>
                <w:lang w:eastAsia="es-MX"/>
              </w:rPr>
            </w:pPr>
            <w:r w:rsidRPr="006609D8">
              <w:rPr>
                <w:rFonts w:ascii="Calibri" w:hAnsi="Calibri"/>
                <w:color w:val="000000"/>
                <w:sz w:val="22"/>
                <w:szCs w:val="22"/>
                <w:lang w:eastAsia="es-MX"/>
              </w:rPr>
              <w:t>34.6</w:t>
            </w:r>
          </w:p>
        </w:tc>
      </w:tr>
      <w:tr w:rsidR="0037578E" w:rsidRPr="006609D8" w:rsidTr="0037578E">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rPr>
                <w:rFonts w:ascii="Calibri" w:hAnsi="Calibri"/>
                <w:b/>
                <w:bCs/>
                <w:color w:val="000000"/>
                <w:sz w:val="22"/>
                <w:szCs w:val="22"/>
                <w:lang w:eastAsia="es-MX"/>
              </w:rPr>
            </w:pPr>
            <w:r w:rsidRPr="006609D8">
              <w:rPr>
                <w:rFonts w:ascii="Calibri" w:hAnsi="Calibri"/>
                <w:b/>
                <w:bCs/>
                <w:color w:val="000000"/>
                <w:sz w:val="22"/>
                <w:szCs w:val="22"/>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right"/>
              <w:rPr>
                <w:rFonts w:ascii="Calibri" w:hAnsi="Calibri"/>
                <w:color w:val="000000"/>
                <w:sz w:val="22"/>
                <w:szCs w:val="22"/>
                <w:lang w:eastAsia="es-MX"/>
              </w:rPr>
            </w:pPr>
            <w:r>
              <w:rPr>
                <w:rFonts w:ascii="Calibri" w:hAnsi="Calibri"/>
                <w:color w:val="000000"/>
                <w:sz w:val="22"/>
                <w:szCs w:val="22"/>
                <w:lang w:eastAsia="es-MX"/>
              </w:rPr>
              <w:t>165.3</w:t>
            </w:r>
          </w:p>
        </w:tc>
      </w:tr>
      <w:tr w:rsidR="0037578E" w:rsidRPr="006609D8" w:rsidTr="0037578E">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7578E" w:rsidRPr="006609D8" w:rsidRDefault="0037578E" w:rsidP="0037578E">
            <w:pPr>
              <w:spacing w:line="360" w:lineRule="auto"/>
              <w:jc w:val="center"/>
              <w:rPr>
                <w:rFonts w:ascii="Calibri" w:hAnsi="Calibri"/>
                <w:b/>
                <w:bCs/>
                <w:color w:val="000000"/>
                <w:sz w:val="22"/>
                <w:szCs w:val="22"/>
                <w:lang w:eastAsia="es-MX"/>
              </w:rPr>
            </w:pPr>
            <w:r w:rsidRPr="006609D8">
              <w:rPr>
                <w:rFonts w:ascii="Calibri" w:hAnsi="Calibri"/>
                <w:b/>
                <w:bCs/>
                <w:color w:val="000000"/>
                <w:sz w:val="22"/>
                <w:szCs w:val="22"/>
                <w:lang w:eastAsia="es-MX"/>
              </w:rPr>
              <w:lastRenderedPageBreak/>
              <w:t>Ejercicio 201</w:t>
            </w:r>
            <w:r>
              <w:rPr>
                <w:rFonts w:ascii="Calibri" w:hAnsi="Calibri"/>
                <w:b/>
                <w:bCs/>
                <w:color w:val="000000"/>
                <w:sz w:val="22"/>
                <w:szCs w:val="22"/>
                <w:lang w:eastAsia="es-MX"/>
              </w:rPr>
              <w:t>7</w:t>
            </w:r>
          </w:p>
        </w:tc>
        <w:tc>
          <w:tcPr>
            <w:tcW w:w="2080" w:type="dxa"/>
            <w:tcBorders>
              <w:top w:val="nil"/>
              <w:left w:val="nil"/>
              <w:bottom w:val="single" w:sz="4" w:space="0" w:color="auto"/>
              <w:right w:val="single" w:sz="4" w:space="0" w:color="auto"/>
            </w:tcBorders>
            <w:shd w:val="clear" w:color="auto" w:fill="auto"/>
            <w:noWrap/>
            <w:vAlign w:val="center"/>
          </w:tcPr>
          <w:p w:rsidR="0037578E" w:rsidRPr="00D95EC3" w:rsidRDefault="0037578E" w:rsidP="0037578E">
            <w:pPr>
              <w:spacing w:line="360" w:lineRule="auto"/>
              <w:jc w:val="right"/>
              <w:rPr>
                <w:rFonts w:ascii="Calibri" w:hAnsi="Calibri"/>
                <w:bCs/>
                <w:color w:val="000000"/>
                <w:sz w:val="22"/>
                <w:szCs w:val="22"/>
                <w:highlight w:val="yellow"/>
                <w:lang w:eastAsia="es-MX"/>
              </w:rPr>
            </w:pPr>
            <w:r>
              <w:rPr>
                <w:rFonts w:ascii="Calibri" w:hAnsi="Calibri"/>
                <w:bCs/>
                <w:color w:val="000000"/>
                <w:sz w:val="22"/>
                <w:szCs w:val="22"/>
                <w:lang w:eastAsia="es-MX"/>
              </w:rPr>
              <w:t>26</w:t>
            </w:r>
            <w:r w:rsidRPr="009B3CB3">
              <w:rPr>
                <w:rFonts w:ascii="Calibri" w:hAnsi="Calibri"/>
                <w:bCs/>
                <w:color w:val="000000"/>
                <w:sz w:val="22"/>
                <w:szCs w:val="22"/>
                <w:lang w:eastAsia="es-MX"/>
              </w:rPr>
              <w:t>.</w:t>
            </w:r>
            <w:r>
              <w:rPr>
                <w:rFonts w:ascii="Calibri" w:hAnsi="Calibri"/>
                <w:bCs/>
                <w:color w:val="000000"/>
                <w:sz w:val="22"/>
                <w:szCs w:val="22"/>
                <w:lang w:eastAsia="es-MX"/>
              </w:rPr>
              <w:t>6</w:t>
            </w:r>
          </w:p>
        </w:tc>
      </w:tr>
      <w:tr w:rsidR="0037578E" w:rsidRPr="008D0636" w:rsidTr="0037578E">
        <w:trPr>
          <w:trHeight w:val="215"/>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7578E" w:rsidRPr="006609D8" w:rsidRDefault="0037578E" w:rsidP="0037578E">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t>*</w:t>
            </w:r>
            <w:r w:rsidRPr="006609D8">
              <w:rPr>
                <w:rFonts w:ascii="Calibri" w:hAnsi="Calibri"/>
                <w:b/>
                <w:bCs/>
                <w:color w:val="000000"/>
                <w:sz w:val="22"/>
                <w:szCs w:val="22"/>
                <w:lang w:eastAsia="es-MX"/>
              </w:rPr>
              <w:t>Ejercicio 201</w:t>
            </w:r>
            <w:r>
              <w:rPr>
                <w:rFonts w:ascii="Calibri" w:hAnsi="Calibri"/>
                <w:b/>
                <w:bCs/>
                <w:color w:val="000000"/>
                <w:sz w:val="22"/>
                <w:szCs w:val="22"/>
                <w:lang w:eastAsia="es-MX"/>
              </w:rPr>
              <w:t>8</w:t>
            </w:r>
          </w:p>
        </w:tc>
        <w:tc>
          <w:tcPr>
            <w:tcW w:w="2080" w:type="dxa"/>
            <w:tcBorders>
              <w:top w:val="nil"/>
              <w:left w:val="nil"/>
              <w:bottom w:val="single" w:sz="4" w:space="0" w:color="auto"/>
              <w:right w:val="single" w:sz="4" w:space="0" w:color="auto"/>
            </w:tcBorders>
            <w:shd w:val="clear" w:color="auto" w:fill="auto"/>
            <w:noWrap/>
            <w:vAlign w:val="center"/>
          </w:tcPr>
          <w:p w:rsidR="0037578E" w:rsidRPr="008D0636" w:rsidRDefault="0037578E" w:rsidP="0037578E">
            <w:pPr>
              <w:spacing w:line="360" w:lineRule="auto"/>
              <w:jc w:val="right"/>
              <w:rPr>
                <w:rFonts w:ascii="Calibri" w:hAnsi="Calibri"/>
                <w:bCs/>
                <w:color w:val="000000"/>
                <w:sz w:val="22"/>
                <w:szCs w:val="22"/>
                <w:lang w:eastAsia="es-MX"/>
              </w:rPr>
            </w:pPr>
            <w:r w:rsidRPr="008D0636">
              <w:rPr>
                <w:rFonts w:ascii="Calibri" w:hAnsi="Calibri"/>
                <w:bCs/>
                <w:color w:val="000000"/>
                <w:sz w:val="22"/>
                <w:szCs w:val="22"/>
                <w:lang w:eastAsia="es-MX"/>
              </w:rPr>
              <w:t>0.0</w:t>
            </w:r>
          </w:p>
        </w:tc>
      </w:tr>
      <w:tr w:rsidR="0037578E" w:rsidRPr="006609D8" w:rsidTr="0037578E">
        <w:trPr>
          <w:trHeight w:val="23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center"/>
              <w:rPr>
                <w:rFonts w:ascii="Calibri" w:hAnsi="Calibri"/>
                <w:b/>
                <w:bCs/>
                <w:color w:val="000000"/>
                <w:sz w:val="22"/>
                <w:szCs w:val="22"/>
                <w:lang w:eastAsia="es-MX"/>
              </w:rPr>
            </w:pPr>
            <w:r w:rsidRPr="006609D8">
              <w:rPr>
                <w:rFonts w:ascii="Calibri" w:hAnsi="Calibri"/>
                <w:b/>
                <w:bCs/>
                <w:color w:val="000000"/>
                <w:sz w:val="22"/>
                <w:szCs w:val="22"/>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right"/>
              <w:rPr>
                <w:rFonts w:ascii="Calibri" w:hAnsi="Calibri"/>
                <w:b/>
                <w:bCs/>
                <w:color w:val="000000"/>
                <w:sz w:val="22"/>
                <w:szCs w:val="22"/>
                <w:lang w:eastAsia="es-MX"/>
              </w:rPr>
            </w:pPr>
            <w:r>
              <w:rPr>
                <w:rFonts w:ascii="Calibri" w:hAnsi="Calibri"/>
                <w:b/>
                <w:bCs/>
                <w:color w:val="000000"/>
                <w:sz w:val="22"/>
                <w:szCs w:val="22"/>
                <w:lang w:eastAsia="es-MX"/>
              </w:rPr>
              <w:t>530.0</w:t>
            </w:r>
          </w:p>
        </w:tc>
      </w:tr>
    </w:tbl>
    <w:p w:rsidR="0037578E" w:rsidRPr="00032945" w:rsidRDefault="0037578E" w:rsidP="0037578E">
      <w:pPr>
        <w:spacing w:line="360" w:lineRule="auto"/>
        <w:ind w:left="2268"/>
        <w:rPr>
          <w:rFonts w:ascii="Arial" w:hAnsi="Arial" w:cs="Arial"/>
          <w:b/>
          <w:sz w:val="16"/>
        </w:rPr>
      </w:pPr>
      <w:r w:rsidRPr="00032945">
        <w:rPr>
          <w:rFonts w:ascii="Arial" w:hAnsi="Arial" w:cs="Arial"/>
          <w:b/>
          <w:sz w:val="16"/>
        </w:rPr>
        <w:t>* Cifra Estimada al Cierre de 201</w:t>
      </w:r>
      <w:r>
        <w:rPr>
          <w:rFonts w:ascii="Arial" w:hAnsi="Arial" w:cs="Arial"/>
          <w:b/>
          <w:sz w:val="16"/>
        </w:rPr>
        <w:t>8</w:t>
      </w:r>
    </w:p>
    <w:p w:rsidR="0037578E" w:rsidRDefault="0037578E" w:rsidP="0037578E">
      <w:pPr>
        <w:spacing w:line="360" w:lineRule="auto"/>
        <w:jc w:val="both"/>
        <w:rPr>
          <w:rFonts w:ascii="Arial" w:hAnsi="Arial" w:cs="Arial"/>
        </w:rPr>
      </w:pPr>
    </w:p>
    <w:p w:rsidR="0037578E" w:rsidRPr="004C0AB8" w:rsidRDefault="0037578E" w:rsidP="0037578E">
      <w:pPr>
        <w:spacing w:line="360" w:lineRule="auto"/>
        <w:jc w:val="both"/>
        <w:rPr>
          <w:rFonts w:ascii="Arial" w:hAnsi="Arial" w:cs="Arial"/>
        </w:rPr>
      </w:pPr>
      <w:r>
        <w:rPr>
          <w:rFonts w:ascii="Arial" w:hAnsi="Arial" w:cs="Arial"/>
        </w:rPr>
        <w:t xml:space="preserve">Los ingresos propios de </w:t>
      </w:r>
      <w:r w:rsidRPr="004C0AB8">
        <w:rPr>
          <w:rFonts w:ascii="Arial" w:hAnsi="Arial" w:cs="Arial"/>
        </w:rPr>
        <w:t xml:space="preserve">Pensiones Civiles del Estado de Tlaxcala, se </w:t>
      </w:r>
      <w:r>
        <w:rPr>
          <w:rFonts w:ascii="Arial" w:hAnsi="Arial" w:cs="Arial"/>
        </w:rPr>
        <w:t>han visto incrementados, a partir</w:t>
      </w:r>
      <w:r w:rsidRPr="004C0AB8">
        <w:rPr>
          <w:rFonts w:ascii="Arial" w:hAnsi="Arial" w:cs="Arial"/>
        </w:rPr>
        <w:t>, de la reforma</w:t>
      </w:r>
      <w:r>
        <w:rPr>
          <w:rFonts w:ascii="Arial" w:hAnsi="Arial" w:cs="Arial"/>
        </w:rPr>
        <w:t>, como a continuación se observa</w:t>
      </w:r>
      <w:r w:rsidRPr="004C0AB8">
        <w:rPr>
          <w:rFonts w:ascii="Arial" w:hAnsi="Arial" w:cs="Arial"/>
        </w:rPr>
        <w:t>:</w:t>
      </w:r>
    </w:p>
    <w:p w:rsidR="0037578E" w:rsidRPr="006E7218" w:rsidRDefault="0037578E" w:rsidP="0037578E">
      <w:pPr>
        <w:spacing w:line="360" w:lineRule="auto"/>
        <w:jc w:val="both"/>
        <w:rPr>
          <w:rFonts w:ascii="Arial" w:hAnsi="Arial" w:cs="Arial"/>
          <w:sz w:val="12"/>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37578E" w:rsidRPr="00F732ED" w:rsidTr="0037578E">
        <w:trPr>
          <w:trHeight w:val="911"/>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37578E" w:rsidRPr="00F732ED" w:rsidRDefault="0037578E" w:rsidP="0037578E">
            <w:pPr>
              <w:spacing w:line="360" w:lineRule="auto"/>
              <w:jc w:val="center"/>
              <w:rPr>
                <w:rFonts w:ascii="Calibri" w:hAnsi="Calibri"/>
                <w:b/>
                <w:bCs/>
                <w:color w:val="000000"/>
                <w:sz w:val="22"/>
                <w:szCs w:val="22"/>
                <w:lang w:eastAsia="es-MX"/>
              </w:rPr>
            </w:pPr>
            <w:r w:rsidRPr="00F732ED">
              <w:rPr>
                <w:rFonts w:ascii="Calibri" w:hAnsi="Calibri"/>
                <w:b/>
                <w:bCs/>
                <w:color w:val="000000"/>
                <w:sz w:val="22"/>
                <w:szCs w:val="22"/>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37578E" w:rsidRPr="00F732ED" w:rsidRDefault="0037578E" w:rsidP="0037578E">
            <w:pPr>
              <w:spacing w:line="360" w:lineRule="auto"/>
              <w:jc w:val="center"/>
              <w:rPr>
                <w:rFonts w:ascii="Calibri" w:hAnsi="Calibri"/>
                <w:b/>
                <w:bCs/>
                <w:color w:val="000000"/>
                <w:sz w:val="22"/>
                <w:szCs w:val="22"/>
                <w:lang w:eastAsia="es-MX"/>
              </w:rPr>
            </w:pPr>
            <w:r w:rsidRPr="00F732ED">
              <w:rPr>
                <w:rFonts w:ascii="Calibri" w:hAnsi="Calibri"/>
                <w:b/>
                <w:bCs/>
                <w:color w:val="000000"/>
                <w:sz w:val="22"/>
                <w:szCs w:val="22"/>
                <w:lang w:eastAsia="es-MX"/>
              </w:rPr>
              <w:t>APORTACIONES Y RETENCIONES</w:t>
            </w:r>
          </w:p>
        </w:tc>
      </w:tr>
      <w:tr w:rsidR="0037578E" w:rsidRPr="00F732ED" w:rsidTr="0037578E">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jc w:val="right"/>
              <w:rPr>
                <w:rFonts w:ascii="Calibri" w:hAnsi="Calibri"/>
                <w:color w:val="000000"/>
                <w:sz w:val="22"/>
                <w:szCs w:val="22"/>
                <w:lang w:eastAsia="es-MX"/>
              </w:rPr>
            </w:pPr>
            <w:r w:rsidRPr="00F732ED">
              <w:rPr>
                <w:rFonts w:ascii="Calibri" w:hAnsi="Calibri"/>
                <w:color w:val="000000"/>
                <w:sz w:val="22"/>
                <w:szCs w:val="22"/>
                <w:lang w:eastAsia="es-MX"/>
              </w:rPr>
              <w:t>10</w:t>
            </w:r>
            <w:r>
              <w:rPr>
                <w:rFonts w:ascii="Calibri" w:hAnsi="Calibri"/>
                <w:color w:val="000000"/>
                <w:sz w:val="22"/>
                <w:szCs w:val="22"/>
                <w:lang w:eastAsia="es-MX"/>
              </w:rPr>
              <w:t>0</w:t>
            </w:r>
            <w:r w:rsidRPr="00F732ED">
              <w:rPr>
                <w:rFonts w:ascii="Calibri" w:hAnsi="Calibri"/>
                <w:color w:val="000000"/>
                <w:sz w:val="22"/>
                <w:szCs w:val="22"/>
                <w:lang w:eastAsia="es-MX"/>
              </w:rPr>
              <w:t>.</w:t>
            </w:r>
            <w:r>
              <w:rPr>
                <w:rFonts w:ascii="Calibri" w:hAnsi="Calibri"/>
                <w:color w:val="000000"/>
                <w:sz w:val="22"/>
                <w:szCs w:val="22"/>
                <w:lang w:eastAsia="es-MX"/>
              </w:rPr>
              <w:t>9</w:t>
            </w:r>
            <w:r w:rsidRPr="00F732ED">
              <w:rPr>
                <w:rFonts w:ascii="Calibri" w:hAnsi="Calibri"/>
                <w:color w:val="000000"/>
                <w:sz w:val="22"/>
                <w:szCs w:val="22"/>
                <w:lang w:eastAsia="es-MX"/>
              </w:rPr>
              <w:t xml:space="preserve"> </w:t>
            </w:r>
          </w:p>
        </w:tc>
      </w:tr>
      <w:tr w:rsidR="0037578E" w:rsidRPr="00F732ED" w:rsidTr="0037578E">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jc w:val="right"/>
              <w:rPr>
                <w:rFonts w:ascii="Calibri" w:hAnsi="Calibri"/>
                <w:color w:val="000000"/>
                <w:sz w:val="22"/>
                <w:szCs w:val="22"/>
                <w:lang w:eastAsia="es-MX"/>
              </w:rPr>
            </w:pPr>
            <w:r>
              <w:rPr>
                <w:rFonts w:ascii="Calibri" w:hAnsi="Calibri"/>
                <w:color w:val="000000"/>
                <w:sz w:val="22"/>
                <w:szCs w:val="22"/>
                <w:lang w:eastAsia="es-MX"/>
              </w:rPr>
              <w:t>103.3</w:t>
            </w:r>
            <w:r w:rsidRPr="00F732ED">
              <w:rPr>
                <w:rFonts w:ascii="Calibri" w:hAnsi="Calibri"/>
                <w:color w:val="000000"/>
                <w:sz w:val="22"/>
                <w:szCs w:val="22"/>
                <w:lang w:eastAsia="es-MX"/>
              </w:rPr>
              <w:t xml:space="preserve"> </w:t>
            </w:r>
          </w:p>
        </w:tc>
      </w:tr>
      <w:tr w:rsidR="0037578E" w:rsidRPr="00F732ED" w:rsidTr="0037578E">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jc w:val="right"/>
              <w:rPr>
                <w:rFonts w:ascii="Calibri" w:hAnsi="Calibri"/>
                <w:color w:val="000000"/>
                <w:sz w:val="22"/>
                <w:szCs w:val="22"/>
                <w:lang w:eastAsia="es-MX"/>
              </w:rPr>
            </w:pPr>
            <w:r w:rsidRPr="00F732ED">
              <w:rPr>
                <w:rFonts w:ascii="Calibri" w:hAnsi="Calibri"/>
                <w:color w:val="000000"/>
                <w:sz w:val="22"/>
                <w:szCs w:val="22"/>
                <w:lang w:eastAsia="es-MX"/>
              </w:rPr>
              <w:t>20</w:t>
            </w:r>
            <w:r>
              <w:rPr>
                <w:rFonts w:ascii="Calibri" w:hAnsi="Calibri"/>
                <w:color w:val="000000"/>
                <w:sz w:val="22"/>
                <w:szCs w:val="22"/>
                <w:lang w:eastAsia="es-MX"/>
              </w:rPr>
              <w:t>5</w:t>
            </w:r>
            <w:r w:rsidRPr="00F732ED">
              <w:rPr>
                <w:rFonts w:ascii="Calibri" w:hAnsi="Calibri"/>
                <w:color w:val="000000"/>
                <w:sz w:val="22"/>
                <w:szCs w:val="22"/>
                <w:lang w:eastAsia="es-MX"/>
              </w:rPr>
              <w:t>.</w:t>
            </w:r>
            <w:r>
              <w:rPr>
                <w:rFonts w:ascii="Calibri" w:hAnsi="Calibri"/>
                <w:color w:val="000000"/>
                <w:sz w:val="22"/>
                <w:szCs w:val="22"/>
                <w:lang w:eastAsia="es-MX"/>
              </w:rPr>
              <w:t>9</w:t>
            </w:r>
            <w:r w:rsidRPr="00F732ED">
              <w:rPr>
                <w:rFonts w:ascii="Calibri" w:hAnsi="Calibri"/>
                <w:color w:val="000000"/>
                <w:sz w:val="22"/>
                <w:szCs w:val="22"/>
                <w:lang w:eastAsia="es-MX"/>
              </w:rPr>
              <w:t xml:space="preserve"> </w:t>
            </w:r>
          </w:p>
        </w:tc>
      </w:tr>
      <w:tr w:rsidR="0037578E" w:rsidRPr="00F732ED" w:rsidTr="0037578E">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jc w:val="right"/>
              <w:rPr>
                <w:rFonts w:ascii="Calibri" w:hAnsi="Calibri"/>
                <w:color w:val="000000"/>
                <w:sz w:val="22"/>
                <w:szCs w:val="22"/>
                <w:lang w:eastAsia="es-MX"/>
              </w:rPr>
            </w:pPr>
            <w:r>
              <w:rPr>
                <w:rFonts w:ascii="Calibri" w:hAnsi="Calibri"/>
                <w:color w:val="000000"/>
                <w:sz w:val="22"/>
                <w:szCs w:val="22"/>
                <w:lang w:eastAsia="es-MX"/>
              </w:rPr>
              <w:t>221.2</w:t>
            </w:r>
            <w:r w:rsidRPr="00F732ED">
              <w:rPr>
                <w:rFonts w:ascii="Calibri" w:hAnsi="Calibri"/>
                <w:color w:val="000000"/>
                <w:sz w:val="22"/>
                <w:szCs w:val="22"/>
                <w:lang w:eastAsia="es-MX"/>
              </w:rPr>
              <w:t xml:space="preserve"> </w:t>
            </w:r>
          </w:p>
        </w:tc>
      </w:tr>
      <w:tr w:rsidR="0037578E" w:rsidRPr="00F732ED" w:rsidTr="0037578E">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jc w:val="right"/>
              <w:rPr>
                <w:rFonts w:ascii="Calibri" w:hAnsi="Calibri"/>
                <w:color w:val="000000"/>
                <w:sz w:val="22"/>
                <w:szCs w:val="22"/>
                <w:lang w:eastAsia="es-MX"/>
              </w:rPr>
            </w:pPr>
            <w:r w:rsidRPr="00F732ED">
              <w:rPr>
                <w:rFonts w:ascii="Calibri" w:hAnsi="Calibri"/>
                <w:color w:val="000000"/>
                <w:sz w:val="22"/>
                <w:szCs w:val="22"/>
                <w:lang w:eastAsia="es-MX"/>
              </w:rPr>
              <w:t>22</w:t>
            </w:r>
            <w:r>
              <w:rPr>
                <w:rFonts w:ascii="Calibri" w:hAnsi="Calibri"/>
                <w:color w:val="000000"/>
                <w:sz w:val="22"/>
                <w:szCs w:val="22"/>
                <w:lang w:eastAsia="es-MX"/>
              </w:rPr>
              <w:t>3</w:t>
            </w:r>
            <w:r w:rsidRPr="00F732ED">
              <w:rPr>
                <w:rFonts w:ascii="Calibri" w:hAnsi="Calibri"/>
                <w:color w:val="000000"/>
                <w:sz w:val="22"/>
                <w:szCs w:val="22"/>
                <w:lang w:eastAsia="es-MX"/>
              </w:rPr>
              <w:t>.</w:t>
            </w:r>
            <w:r>
              <w:rPr>
                <w:rFonts w:ascii="Calibri" w:hAnsi="Calibri"/>
                <w:color w:val="000000"/>
                <w:sz w:val="22"/>
                <w:szCs w:val="22"/>
                <w:lang w:eastAsia="es-MX"/>
              </w:rPr>
              <w:t>9</w:t>
            </w:r>
            <w:r w:rsidRPr="00F732ED">
              <w:rPr>
                <w:rFonts w:ascii="Calibri" w:hAnsi="Calibri"/>
                <w:color w:val="000000"/>
                <w:sz w:val="22"/>
                <w:szCs w:val="22"/>
                <w:lang w:eastAsia="es-MX"/>
              </w:rPr>
              <w:t xml:space="preserve"> </w:t>
            </w:r>
          </w:p>
        </w:tc>
      </w:tr>
      <w:tr w:rsidR="0037578E" w:rsidRPr="00F732ED" w:rsidTr="0037578E">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rPr>
                <w:rFonts w:ascii="Calibri" w:hAnsi="Calibri"/>
                <w:b/>
                <w:bCs/>
                <w:color w:val="000000"/>
                <w:sz w:val="22"/>
                <w:szCs w:val="22"/>
                <w:lang w:eastAsia="es-MX"/>
              </w:rPr>
            </w:pPr>
            <w:r w:rsidRPr="00F732ED">
              <w:rPr>
                <w:rFonts w:ascii="Calibri" w:hAnsi="Calibri"/>
                <w:b/>
                <w:bCs/>
                <w:color w:val="000000"/>
                <w:sz w:val="22"/>
                <w:szCs w:val="22"/>
                <w:lang w:eastAsia="es-MX"/>
              </w:rPr>
              <w:t>Ejercicio 201</w:t>
            </w:r>
            <w:r>
              <w:rPr>
                <w:rFonts w:ascii="Calibri" w:hAnsi="Calibri"/>
                <w:b/>
                <w:bCs/>
                <w:color w:val="000000"/>
                <w:sz w:val="22"/>
                <w:szCs w:val="22"/>
                <w:lang w:eastAsia="es-MX"/>
              </w:rPr>
              <w:t>6</w:t>
            </w:r>
          </w:p>
        </w:tc>
        <w:tc>
          <w:tcPr>
            <w:tcW w:w="1900" w:type="dxa"/>
            <w:tcBorders>
              <w:top w:val="nil"/>
              <w:left w:val="nil"/>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jc w:val="right"/>
              <w:rPr>
                <w:rFonts w:ascii="Calibri" w:hAnsi="Calibri"/>
                <w:color w:val="000000"/>
                <w:sz w:val="22"/>
                <w:szCs w:val="22"/>
                <w:lang w:eastAsia="es-MX"/>
              </w:rPr>
            </w:pPr>
            <w:r w:rsidRPr="00F732ED">
              <w:rPr>
                <w:rFonts w:ascii="Calibri" w:hAnsi="Calibri"/>
                <w:color w:val="000000"/>
                <w:sz w:val="22"/>
                <w:szCs w:val="22"/>
                <w:lang w:eastAsia="es-MX"/>
              </w:rPr>
              <w:t>2</w:t>
            </w:r>
            <w:r>
              <w:rPr>
                <w:rFonts w:ascii="Calibri" w:hAnsi="Calibri"/>
                <w:color w:val="000000"/>
                <w:sz w:val="22"/>
                <w:szCs w:val="22"/>
                <w:lang w:eastAsia="es-MX"/>
              </w:rPr>
              <w:t>48</w:t>
            </w:r>
            <w:r w:rsidRPr="00F732ED">
              <w:rPr>
                <w:rFonts w:ascii="Calibri" w:hAnsi="Calibri"/>
                <w:color w:val="000000"/>
                <w:sz w:val="22"/>
                <w:szCs w:val="22"/>
                <w:lang w:eastAsia="es-MX"/>
              </w:rPr>
              <w:t>.</w:t>
            </w:r>
            <w:r>
              <w:rPr>
                <w:rFonts w:ascii="Calibri" w:hAnsi="Calibri"/>
                <w:color w:val="000000"/>
                <w:sz w:val="22"/>
                <w:szCs w:val="22"/>
                <w:lang w:eastAsia="es-MX"/>
              </w:rPr>
              <w:t>9</w:t>
            </w:r>
            <w:r w:rsidRPr="00F732ED">
              <w:rPr>
                <w:rFonts w:ascii="Calibri" w:hAnsi="Calibri"/>
                <w:color w:val="000000"/>
                <w:sz w:val="22"/>
                <w:szCs w:val="22"/>
                <w:lang w:eastAsia="es-MX"/>
              </w:rPr>
              <w:t xml:space="preserve"> </w:t>
            </w:r>
          </w:p>
        </w:tc>
      </w:tr>
      <w:tr w:rsidR="0037578E" w:rsidRPr="00F732ED" w:rsidTr="0037578E">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37578E" w:rsidRPr="00F732ED" w:rsidRDefault="0037578E" w:rsidP="0037578E">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rsidR="0037578E" w:rsidRPr="00A4442A" w:rsidRDefault="0037578E" w:rsidP="0037578E">
            <w:pPr>
              <w:spacing w:line="360" w:lineRule="auto"/>
              <w:jc w:val="right"/>
              <w:rPr>
                <w:rFonts w:ascii="Calibri" w:hAnsi="Calibri"/>
                <w:bCs/>
                <w:color w:val="000000"/>
                <w:sz w:val="22"/>
                <w:szCs w:val="22"/>
                <w:lang w:eastAsia="es-MX"/>
              </w:rPr>
            </w:pPr>
            <w:r>
              <w:rPr>
                <w:rFonts w:ascii="Calibri" w:hAnsi="Calibri"/>
                <w:bCs/>
                <w:color w:val="000000"/>
                <w:sz w:val="22"/>
                <w:szCs w:val="22"/>
                <w:lang w:eastAsia="es-MX"/>
              </w:rPr>
              <w:t>275</w:t>
            </w:r>
            <w:r w:rsidRPr="00B978B3">
              <w:rPr>
                <w:rFonts w:ascii="Calibri" w:hAnsi="Calibri"/>
                <w:bCs/>
                <w:color w:val="000000"/>
                <w:sz w:val="22"/>
                <w:szCs w:val="22"/>
                <w:lang w:eastAsia="es-MX"/>
              </w:rPr>
              <w:t>.</w:t>
            </w:r>
            <w:r>
              <w:rPr>
                <w:rFonts w:ascii="Calibri" w:hAnsi="Calibri"/>
                <w:bCs/>
                <w:color w:val="000000"/>
                <w:sz w:val="22"/>
                <w:szCs w:val="22"/>
                <w:lang w:eastAsia="es-MX"/>
              </w:rPr>
              <w:t>2</w:t>
            </w:r>
          </w:p>
        </w:tc>
      </w:tr>
      <w:tr w:rsidR="0037578E" w:rsidRPr="00F732ED" w:rsidTr="0037578E">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37578E" w:rsidRPr="00F732ED" w:rsidRDefault="0037578E" w:rsidP="0037578E">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rsidR="0037578E" w:rsidRPr="00F732ED" w:rsidRDefault="0037578E" w:rsidP="0037578E">
            <w:pPr>
              <w:spacing w:line="360" w:lineRule="auto"/>
              <w:jc w:val="right"/>
              <w:rPr>
                <w:rFonts w:ascii="Calibri" w:hAnsi="Calibri"/>
                <w:b/>
                <w:bCs/>
                <w:color w:val="000000"/>
                <w:sz w:val="22"/>
                <w:szCs w:val="22"/>
                <w:lang w:eastAsia="es-MX"/>
              </w:rPr>
            </w:pPr>
            <w:r w:rsidRPr="00903E74">
              <w:rPr>
                <w:rFonts w:ascii="Calibri" w:hAnsi="Calibri"/>
                <w:b/>
                <w:bCs/>
                <w:color w:val="000000"/>
                <w:sz w:val="22"/>
                <w:szCs w:val="22"/>
                <w:lang w:eastAsia="es-MX"/>
              </w:rPr>
              <w:t>208.</w:t>
            </w:r>
            <w:r>
              <w:rPr>
                <w:rFonts w:ascii="Calibri" w:hAnsi="Calibri"/>
                <w:b/>
                <w:bCs/>
                <w:color w:val="000000"/>
                <w:sz w:val="22"/>
                <w:szCs w:val="22"/>
                <w:lang w:eastAsia="es-MX"/>
              </w:rPr>
              <w:t>9</w:t>
            </w:r>
          </w:p>
        </w:tc>
      </w:tr>
      <w:tr w:rsidR="0037578E" w:rsidRPr="00F732ED" w:rsidTr="0037578E">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37578E" w:rsidRPr="00F732ED" w:rsidRDefault="0037578E" w:rsidP="0037578E">
            <w:pPr>
              <w:spacing w:line="360" w:lineRule="auto"/>
              <w:jc w:val="center"/>
              <w:rPr>
                <w:rFonts w:ascii="Calibri" w:hAnsi="Calibri"/>
                <w:b/>
                <w:bCs/>
                <w:color w:val="000000"/>
                <w:sz w:val="22"/>
                <w:szCs w:val="22"/>
                <w:lang w:eastAsia="es-MX"/>
              </w:rPr>
            </w:pPr>
            <w:r w:rsidRPr="00F732ED">
              <w:rPr>
                <w:rFonts w:ascii="Calibri" w:hAnsi="Calibri"/>
                <w:b/>
                <w:bCs/>
                <w:color w:val="000000"/>
                <w:sz w:val="22"/>
                <w:szCs w:val="22"/>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rsidR="0037578E" w:rsidRPr="00F732ED" w:rsidRDefault="0037578E" w:rsidP="0037578E">
            <w:pPr>
              <w:spacing w:line="360" w:lineRule="auto"/>
              <w:jc w:val="right"/>
              <w:rPr>
                <w:rFonts w:ascii="Calibri" w:hAnsi="Calibri"/>
                <w:b/>
                <w:bCs/>
                <w:color w:val="000000"/>
                <w:sz w:val="22"/>
                <w:szCs w:val="22"/>
                <w:lang w:eastAsia="es-MX"/>
              </w:rPr>
            </w:pPr>
            <w:r w:rsidRPr="00F732ED">
              <w:rPr>
                <w:rFonts w:ascii="Calibri" w:hAnsi="Calibri"/>
                <w:b/>
                <w:bCs/>
                <w:color w:val="000000"/>
                <w:sz w:val="22"/>
                <w:szCs w:val="22"/>
                <w:lang w:eastAsia="es-MX"/>
              </w:rPr>
              <w:t>1,</w:t>
            </w:r>
            <w:r>
              <w:rPr>
                <w:rFonts w:ascii="Calibri" w:hAnsi="Calibri"/>
                <w:b/>
                <w:bCs/>
                <w:color w:val="000000"/>
                <w:sz w:val="22"/>
                <w:szCs w:val="22"/>
                <w:lang w:eastAsia="es-MX"/>
              </w:rPr>
              <w:t>588.2</w:t>
            </w:r>
            <w:r w:rsidRPr="00F732ED">
              <w:rPr>
                <w:rFonts w:ascii="Calibri" w:hAnsi="Calibri"/>
                <w:b/>
                <w:bCs/>
                <w:color w:val="000000"/>
                <w:sz w:val="22"/>
                <w:szCs w:val="22"/>
                <w:lang w:eastAsia="es-MX"/>
              </w:rPr>
              <w:t xml:space="preserve"> </w:t>
            </w:r>
          </w:p>
        </w:tc>
      </w:tr>
    </w:tbl>
    <w:p w:rsidR="0037578E" w:rsidRPr="00032945" w:rsidRDefault="0037578E" w:rsidP="0037578E">
      <w:pPr>
        <w:spacing w:line="360" w:lineRule="auto"/>
        <w:jc w:val="center"/>
        <w:rPr>
          <w:rFonts w:ascii="Arial" w:hAnsi="Arial" w:cs="Arial"/>
          <w:b/>
          <w:sz w:val="16"/>
        </w:rPr>
      </w:pPr>
      <w:r w:rsidRPr="00903E74">
        <w:rPr>
          <w:rFonts w:ascii="Arial" w:hAnsi="Arial" w:cs="Arial"/>
          <w:b/>
          <w:sz w:val="16"/>
        </w:rPr>
        <w:t>* Cifras al Cierre del mes de octubre de 2018.</w:t>
      </w:r>
    </w:p>
    <w:p w:rsidR="0037578E" w:rsidRDefault="0037578E" w:rsidP="0037578E">
      <w:pPr>
        <w:spacing w:line="360" w:lineRule="auto"/>
        <w:jc w:val="both"/>
        <w:rPr>
          <w:rFonts w:ascii="Arial" w:hAnsi="Arial" w:cs="Arial"/>
        </w:rPr>
      </w:pPr>
    </w:p>
    <w:p w:rsidR="0037578E" w:rsidRPr="002F4EF8" w:rsidRDefault="0037578E" w:rsidP="0037578E">
      <w:pPr>
        <w:spacing w:line="360" w:lineRule="auto"/>
        <w:jc w:val="both"/>
        <w:rPr>
          <w:rFonts w:ascii="Arial" w:hAnsi="Arial" w:cs="Arial"/>
        </w:rPr>
      </w:pPr>
      <w:r w:rsidRPr="002F4EF8">
        <w:rPr>
          <w:rFonts w:ascii="Arial" w:hAnsi="Arial" w:cs="Arial"/>
        </w:rPr>
        <w:t xml:space="preserve">El Gobierno del Estado, tiene como prioridad sanear el Sistema Estatal de Pensiones garantizando la solvencia de la Institución e impulsando el </w:t>
      </w:r>
      <w:r w:rsidRPr="002F4EF8">
        <w:rPr>
          <w:rFonts w:ascii="Arial" w:hAnsi="Arial" w:cs="Arial"/>
        </w:rPr>
        <w:lastRenderedPageBreak/>
        <w:t>otorgamiento y recuperación de créditos. En los últimos años se han realizado las aportaciones siguientes:</w:t>
      </w:r>
    </w:p>
    <w:p w:rsidR="0037578E" w:rsidRDefault="0037578E" w:rsidP="0037578E">
      <w:pPr>
        <w:spacing w:line="360" w:lineRule="auto"/>
        <w:jc w:val="both"/>
        <w:rPr>
          <w:rFonts w:ascii="Arial" w:hAnsi="Arial" w:cs="Arial"/>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37578E" w:rsidRPr="006609D8" w:rsidTr="0037578E">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37578E" w:rsidRPr="006609D8" w:rsidRDefault="0037578E" w:rsidP="0037578E">
            <w:pPr>
              <w:spacing w:line="360" w:lineRule="auto"/>
              <w:jc w:val="center"/>
              <w:rPr>
                <w:rFonts w:ascii="Calibri" w:hAnsi="Calibri"/>
                <w:b/>
                <w:bCs/>
                <w:color w:val="000000"/>
                <w:lang w:eastAsia="es-MX"/>
              </w:rPr>
            </w:pPr>
            <w:r w:rsidRPr="006609D8">
              <w:rPr>
                <w:rFonts w:ascii="Calibri" w:hAnsi="Calibri"/>
                <w:b/>
                <w:bCs/>
                <w:color w:val="000000"/>
                <w:sz w:val="22"/>
                <w:szCs w:val="22"/>
                <w:lang w:eastAsia="es-MX"/>
              </w:rPr>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rsidR="0037578E" w:rsidRPr="006609D8" w:rsidRDefault="0037578E" w:rsidP="0037578E">
            <w:pPr>
              <w:spacing w:line="360" w:lineRule="auto"/>
              <w:jc w:val="center"/>
              <w:rPr>
                <w:rFonts w:ascii="Calibri" w:hAnsi="Calibri"/>
                <w:b/>
                <w:bCs/>
                <w:color w:val="000000"/>
                <w:lang w:eastAsia="es-MX"/>
              </w:rPr>
            </w:pPr>
            <w:r>
              <w:rPr>
                <w:rFonts w:ascii="Calibri" w:hAnsi="Calibri"/>
                <w:b/>
                <w:bCs/>
                <w:color w:val="000000"/>
                <w:sz w:val="22"/>
                <w:szCs w:val="22"/>
                <w:lang w:eastAsia="es-MX"/>
              </w:rPr>
              <w:t>FONDO DE CRÉDITOS (MDP)</w:t>
            </w:r>
          </w:p>
        </w:tc>
      </w:tr>
      <w:tr w:rsidR="0037578E" w:rsidRPr="006609D8" w:rsidTr="0037578E">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rPr>
                <w:rFonts w:ascii="Calibri" w:hAnsi="Calibri"/>
                <w:b/>
                <w:bCs/>
                <w:color w:val="000000"/>
                <w:lang w:eastAsia="es-MX"/>
              </w:rPr>
            </w:pPr>
            <w:r w:rsidRPr="006609D8">
              <w:rPr>
                <w:rFonts w:ascii="Calibri" w:hAnsi="Calibri"/>
                <w:b/>
                <w:bCs/>
                <w:color w:val="000000"/>
                <w:sz w:val="22"/>
                <w:szCs w:val="22"/>
                <w:lang w:eastAsia="es-MX"/>
              </w:rPr>
              <w:t>Ejercicio 201</w:t>
            </w:r>
            <w:r>
              <w:rPr>
                <w:rFonts w:ascii="Calibri" w:hAnsi="Calibri"/>
                <w:b/>
                <w:bCs/>
                <w:color w:val="000000"/>
                <w:sz w:val="22"/>
                <w:szCs w:val="22"/>
                <w:lang w:eastAsia="es-MX"/>
              </w:rPr>
              <w:t>3</w:t>
            </w:r>
          </w:p>
        </w:tc>
        <w:tc>
          <w:tcPr>
            <w:tcW w:w="2504" w:type="dxa"/>
            <w:tcBorders>
              <w:top w:val="nil"/>
              <w:left w:val="nil"/>
              <w:bottom w:val="single" w:sz="4" w:space="0" w:color="auto"/>
              <w:right w:val="single" w:sz="4" w:space="0" w:color="auto"/>
            </w:tcBorders>
            <w:shd w:val="clear" w:color="auto" w:fill="auto"/>
            <w:noWrap/>
            <w:vAlign w:val="center"/>
            <w:hideMark/>
          </w:tcPr>
          <w:p w:rsidR="0037578E" w:rsidRPr="003210A3" w:rsidRDefault="0037578E" w:rsidP="0037578E">
            <w:pPr>
              <w:spacing w:line="360" w:lineRule="auto"/>
              <w:jc w:val="right"/>
              <w:rPr>
                <w:rFonts w:ascii="Calibri" w:hAnsi="Calibri"/>
                <w:b/>
                <w:color w:val="000000"/>
                <w:lang w:eastAsia="es-MX"/>
              </w:rPr>
            </w:pPr>
            <w:r w:rsidRPr="003210A3">
              <w:rPr>
                <w:rFonts w:ascii="Calibri" w:hAnsi="Calibri"/>
                <w:b/>
                <w:color w:val="000000"/>
                <w:sz w:val="22"/>
                <w:szCs w:val="22"/>
                <w:lang w:eastAsia="es-MX"/>
              </w:rPr>
              <w:t>70.0</w:t>
            </w:r>
          </w:p>
        </w:tc>
      </w:tr>
      <w:tr w:rsidR="0037578E" w:rsidRPr="006609D8" w:rsidTr="0037578E">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rPr>
                <w:rFonts w:ascii="Calibri" w:hAnsi="Calibri"/>
                <w:b/>
                <w:bCs/>
                <w:color w:val="000000"/>
                <w:lang w:eastAsia="es-MX"/>
              </w:rPr>
            </w:pPr>
            <w:r w:rsidRPr="006609D8">
              <w:rPr>
                <w:rFonts w:ascii="Calibri" w:hAnsi="Calibri"/>
                <w:b/>
                <w:bCs/>
                <w:color w:val="000000"/>
                <w:sz w:val="22"/>
                <w:szCs w:val="22"/>
                <w:lang w:eastAsia="es-MX"/>
              </w:rPr>
              <w:t>Ejercicio 201</w:t>
            </w:r>
            <w:r>
              <w:rPr>
                <w:rFonts w:ascii="Calibri" w:hAnsi="Calibri"/>
                <w:b/>
                <w:bCs/>
                <w:color w:val="000000"/>
                <w:sz w:val="22"/>
                <w:szCs w:val="22"/>
                <w:lang w:eastAsia="es-MX"/>
              </w:rPr>
              <w:t>4</w:t>
            </w:r>
          </w:p>
        </w:tc>
        <w:tc>
          <w:tcPr>
            <w:tcW w:w="2504" w:type="dxa"/>
            <w:tcBorders>
              <w:top w:val="nil"/>
              <w:left w:val="nil"/>
              <w:bottom w:val="single" w:sz="4" w:space="0" w:color="auto"/>
              <w:right w:val="single" w:sz="4" w:space="0" w:color="auto"/>
            </w:tcBorders>
            <w:shd w:val="clear" w:color="auto" w:fill="auto"/>
            <w:noWrap/>
            <w:vAlign w:val="center"/>
            <w:hideMark/>
          </w:tcPr>
          <w:p w:rsidR="0037578E" w:rsidRPr="003210A3" w:rsidRDefault="0037578E" w:rsidP="0037578E">
            <w:pPr>
              <w:spacing w:line="360" w:lineRule="auto"/>
              <w:jc w:val="right"/>
              <w:rPr>
                <w:rFonts w:ascii="Calibri" w:hAnsi="Calibri"/>
                <w:b/>
                <w:color w:val="000000"/>
                <w:lang w:eastAsia="es-MX"/>
              </w:rPr>
            </w:pPr>
            <w:r w:rsidRPr="003210A3">
              <w:rPr>
                <w:rFonts w:ascii="Calibri" w:hAnsi="Calibri"/>
                <w:b/>
                <w:color w:val="000000"/>
                <w:sz w:val="22"/>
                <w:szCs w:val="22"/>
                <w:lang w:eastAsia="es-MX"/>
              </w:rPr>
              <w:t>21.0</w:t>
            </w:r>
          </w:p>
        </w:tc>
      </w:tr>
      <w:tr w:rsidR="0037578E" w:rsidRPr="006609D8" w:rsidTr="0037578E">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rPr>
                <w:rFonts w:ascii="Calibri" w:hAnsi="Calibri"/>
                <w:b/>
                <w:bCs/>
                <w:color w:val="000000"/>
                <w:lang w:eastAsia="es-MX"/>
              </w:rPr>
            </w:pPr>
            <w:r>
              <w:rPr>
                <w:rFonts w:ascii="Calibri" w:hAnsi="Calibri"/>
                <w:b/>
                <w:bCs/>
                <w:color w:val="000000"/>
                <w:sz w:val="22"/>
                <w:szCs w:val="22"/>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rsidR="0037578E" w:rsidRDefault="0037578E" w:rsidP="0037578E">
            <w:pPr>
              <w:spacing w:line="360" w:lineRule="auto"/>
              <w:jc w:val="right"/>
              <w:rPr>
                <w:rFonts w:ascii="Calibri" w:hAnsi="Calibri"/>
                <w:b/>
                <w:bCs/>
                <w:color w:val="000000"/>
                <w:lang w:eastAsia="es-MX"/>
              </w:rPr>
            </w:pPr>
            <w:r>
              <w:rPr>
                <w:rFonts w:ascii="Calibri" w:hAnsi="Calibri"/>
                <w:b/>
                <w:bCs/>
                <w:color w:val="000000"/>
                <w:sz w:val="22"/>
                <w:szCs w:val="22"/>
                <w:lang w:eastAsia="es-MX"/>
              </w:rPr>
              <w:t>59.0</w:t>
            </w:r>
          </w:p>
        </w:tc>
      </w:tr>
      <w:tr w:rsidR="0037578E" w:rsidRPr="006609D8" w:rsidTr="0037578E">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7578E" w:rsidRPr="006609D8" w:rsidRDefault="0037578E" w:rsidP="0037578E">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rsidR="0037578E" w:rsidRDefault="0037578E" w:rsidP="0037578E">
            <w:pPr>
              <w:spacing w:line="360" w:lineRule="auto"/>
              <w:jc w:val="right"/>
              <w:rPr>
                <w:rFonts w:ascii="Calibri" w:hAnsi="Calibri"/>
                <w:b/>
                <w:bCs/>
                <w:color w:val="000000"/>
                <w:sz w:val="22"/>
                <w:szCs w:val="22"/>
                <w:lang w:eastAsia="es-MX"/>
              </w:rPr>
            </w:pPr>
            <w:r>
              <w:rPr>
                <w:rFonts w:ascii="Calibri" w:hAnsi="Calibri"/>
                <w:b/>
                <w:bCs/>
                <w:color w:val="000000"/>
                <w:sz w:val="22"/>
                <w:szCs w:val="22"/>
                <w:lang w:eastAsia="es-MX"/>
              </w:rPr>
              <w:t>0.0</w:t>
            </w:r>
          </w:p>
        </w:tc>
      </w:tr>
      <w:tr w:rsidR="0037578E" w:rsidRPr="006609D8" w:rsidTr="0037578E">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37578E" w:rsidRDefault="0037578E" w:rsidP="0037578E">
            <w:pPr>
              <w:spacing w:line="360" w:lineRule="auto"/>
              <w:jc w:val="center"/>
              <w:rPr>
                <w:rFonts w:ascii="Calibri" w:hAnsi="Calibri"/>
                <w:b/>
                <w:bCs/>
                <w:color w:val="000000"/>
                <w:sz w:val="22"/>
                <w:szCs w:val="22"/>
                <w:lang w:eastAsia="es-MX"/>
              </w:rPr>
            </w:pPr>
            <w:r>
              <w:rPr>
                <w:rFonts w:ascii="Calibri" w:hAnsi="Calibri"/>
                <w:b/>
                <w:bCs/>
                <w:color w:val="000000"/>
                <w:sz w:val="22"/>
                <w:szCs w:val="22"/>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rsidR="0037578E" w:rsidRDefault="0037578E" w:rsidP="0037578E">
            <w:pPr>
              <w:spacing w:line="360" w:lineRule="auto"/>
              <w:jc w:val="right"/>
              <w:rPr>
                <w:rFonts w:ascii="Calibri" w:hAnsi="Calibri"/>
                <w:b/>
                <w:bCs/>
                <w:color w:val="000000"/>
                <w:sz w:val="22"/>
                <w:szCs w:val="22"/>
                <w:lang w:eastAsia="es-MX"/>
              </w:rPr>
            </w:pPr>
            <w:r>
              <w:rPr>
                <w:rFonts w:ascii="Calibri" w:hAnsi="Calibri"/>
                <w:b/>
                <w:bCs/>
                <w:color w:val="000000"/>
                <w:sz w:val="22"/>
                <w:szCs w:val="22"/>
                <w:lang w:eastAsia="es-MX"/>
              </w:rPr>
              <w:t>0.0</w:t>
            </w:r>
          </w:p>
        </w:tc>
      </w:tr>
      <w:tr w:rsidR="0037578E" w:rsidRPr="006609D8" w:rsidTr="0037578E">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center"/>
              <w:rPr>
                <w:rFonts w:ascii="Calibri" w:hAnsi="Calibri"/>
                <w:b/>
                <w:bCs/>
                <w:color w:val="000000"/>
                <w:lang w:eastAsia="es-MX"/>
              </w:rPr>
            </w:pPr>
            <w:r w:rsidRPr="006609D8">
              <w:rPr>
                <w:rFonts w:ascii="Calibri" w:hAnsi="Calibri"/>
                <w:b/>
                <w:bCs/>
                <w:color w:val="000000"/>
                <w:sz w:val="22"/>
                <w:szCs w:val="22"/>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rsidR="0037578E" w:rsidRPr="006609D8" w:rsidRDefault="0037578E" w:rsidP="0037578E">
            <w:pPr>
              <w:spacing w:line="360" w:lineRule="auto"/>
              <w:jc w:val="right"/>
              <w:rPr>
                <w:rFonts w:ascii="Calibri" w:hAnsi="Calibri"/>
                <w:b/>
                <w:bCs/>
                <w:color w:val="000000"/>
                <w:lang w:eastAsia="es-MX"/>
              </w:rPr>
            </w:pPr>
            <w:r>
              <w:rPr>
                <w:rFonts w:ascii="Calibri" w:hAnsi="Calibri"/>
                <w:b/>
                <w:bCs/>
                <w:color w:val="000000"/>
                <w:sz w:val="22"/>
                <w:szCs w:val="22"/>
                <w:lang w:eastAsia="es-MX"/>
              </w:rPr>
              <w:t>150</w:t>
            </w:r>
            <w:r w:rsidRPr="006609D8">
              <w:rPr>
                <w:rFonts w:ascii="Calibri" w:hAnsi="Calibri"/>
                <w:b/>
                <w:bCs/>
                <w:color w:val="000000"/>
                <w:sz w:val="22"/>
                <w:szCs w:val="22"/>
                <w:lang w:eastAsia="es-MX"/>
              </w:rPr>
              <w:t>.</w:t>
            </w:r>
            <w:r>
              <w:rPr>
                <w:rFonts w:ascii="Calibri" w:hAnsi="Calibri"/>
                <w:b/>
                <w:bCs/>
                <w:color w:val="000000"/>
                <w:sz w:val="22"/>
                <w:szCs w:val="22"/>
                <w:lang w:eastAsia="es-MX"/>
              </w:rPr>
              <w:t>0</w:t>
            </w:r>
          </w:p>
        </w:tc>
      </w:tr>
    </w:tbl>
    <w:p w:rsidR="0037578E" w:rsidRPr="00AF6260" w:rsidRDefault="0037578E" w:rsidP="0037578E">
      <w:pPr>
        <w:spacing w:line="360" w:lineRule="auto"/>
        <w:ind w:left="2410"/>
        <w:rPr>
          <w:rFonts w:ascii="Arial" w:hAnsi="Arial" w:cs="Arial"/>
          <w:b/>
          <w:sz w:val="16"/>
          <w:szCs w:val="16"/>
        </w:rPr>
      </w:pPr>
    </w:p>
    <w:p w:rsidR="0037578E" w:rsidRDefault="0037578E" w:rsidP="0037578E">
      <w:pPr>
        <w:spacing w:line="360" w:lineRule="auto"/>
        <w:jc w:val="both"/>
        <w:rPr>
          <w:rFonts w:ascii="Arial" w:hAnsi="Arial" w:cs="Arial"/>
          <w:b/>
        </w:rPr>
      </w:pPr>
    </w:p>
    <w:p w:rsidR="0037578E" w:rsidRDefault="007A6FDB" w:rsidP="0037578E">
      <w:pPr>
        <w:spacing w:line="360" w:lineRule="auto"/>
        <w:jc w:val="both"/>
        <w:rPr>
          <w:rFonts w:ascii="Arial" w:hAnsi="Arial" w:cs="Arial"/>
          <w:b/>
        </w:rPr>
      </w:pPr>
      <w:r>
        <w:rPr>
          <w:rFonts w:ascii="Arial" w:hAnsi="Arial" w:cs="Arial"/>
          <w:b/>
          <w:noProof/>
          <w:lang w:val="es-MX" w:eastAsia="es-MX"/>
        </w:rPr>
        <w:drawing>
          <wp:inline distT="0" distB="0" distL="0" distR="0" wp14:anchorId="3F3B9912">
            <wp:extent cx="5026321" cy="28670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5925" r="10773"/>
                    <a:stretch/>
                  </pic:blipFill>
                  <pic:spPr bwMode="auto">
                    <a:xfrm>
                      <a:off x="0" y="0"/>
                      <a:ext cx="5095539" cy="2906507"/>
                    </a:xfrm>
                    <a:prstGeom prst="rect">
                      <a:avLst/>
                    </a:prstGeom>
                    <a:noFill/>
                    <a:ln>
                      <a:noFill/>
                    </a:ln>
                    <a:extLst>
                      <a:ext uri="{53640926-AAD7-44D8-BBD7-CCE9431645EC}">
                        <a14:shadowObscured xmlns:a14="http://schemas.microsoft.com/office/drawing/2010/main"/>
                      </a:ext>
                    </a:extLst>
                  </pic:spPr>
                </pic:pic>
              </a:graphicData>
            </a:graphic>
          </wp:inline>
        </w:drawing>
      </w:r>
    </w:p>
    <w:p w:rsidR="0037578E" w:rsidRPr="007F2A68" w:rsidRDefault="0037578E" w:rsidP="007F2A68">
      <w:pPr>
        <w:spacing w:line="360" w:lineRule="auto"/>
        <w:jc w:val="both"/>
        <w:rPr>
          <w:rFonts w:ascii="Arial" w:hAnsi="Arial" w:cs="Arial"/>
          <w:b/>
        </w:rPr>
      </w:pPr>
      <w:r w:rsidRPr="007F2A68">
        <w:rPr>
          <w:rFonts w:ascii="Arial" w:hAnsi="Arial" w:cs="Arial"/>
          <w:b/>
        </w:rPr>
        <w:lastRenderedPageBreak/>
        <w:t>CONCLUSIÓN</w:t>
      </w:r>
    </w:p>
    <w:p w:rsidR="0037578E" w:rsidRPr="007F2448" w:rsidRDefault="0037578E" w:rsidP="0037578E">
      <w:pPr>
        <w:spacing w:line="360" w:lineRule="auto"/>
        <w:ind w:left="-11"/>
        <w:jc w:val="both"/>
        <w:rPr>
          <w:rFonts w:ascii="Arial" w:hAnsi="Arial" w:cs="Arial"/>
        </w:rPr>
      </w:pPr>
    </w:p>
    <w:p w:rsidR="0037578E" w:rsidRPr="00AA4EDF" w:rsidRDefault="0037578E" w:rsidP="0037578E">
      <w:pPr>
        <w:spacing w:line="360" w:lineRule="auto"/>
        <w:ind w:left="-11"/>
        <w:jc w:val="both"/>
        <w:rPr>
          <w:rFonts w:ascii="Arial" w:hAnsi="Arial" w:cs="Arial"/>
        </w:rPr>
      </w:pPr>
      <w:r w:rsidRPr="00AA4EDF">
        <w:rPr>
          <w:rFonts w:ascii="Arial" w:hAnsi="Arial" w:cs="Arial"/>
        </w:rPr>
        <w:t>El desarrollo económico y el mejoramiento de la calidad d</w:t>
      </w:r>
      <w:r>
        <w:rPr>
          <w:rFonts w:ascii="Arial" w:hAnsi="Arial" w:cs="Arial"/>
        </w:rPr>
        <w:t>e vida de los habitantes del E</w:t>
      </w:r>
      <w:r w:rsidRPr="00AA4EDF">
        <w:rPr>
          <w:rFonts w:ascii="Arial" w:hAnsi="Arial" w:cs="Arial"/>
        </w:rPr>
        <w:t xml:space="preserve">stado requieren tomar acciones estratégicas en diversos frentes, tomando en cuenta la visión de largo plazo, las ventajas competitivas de la Entidad, las políticas que han funcionado </w:t>
      </w:r>
      <w:r>
        <w:rPr>
          <w:rFonts w:ascii="Arial" w:hAnsi="Arial" w:cs="Arial"/>
        </w:rPr>
        <w:t>apropiadamente</w:t>
      </w:r>
      <w:r w:rsidRPr="00AA4EDF">
        <w:rPr>
          <w:rFonts w:ascii="Arial" w:hAnsi="Arial" w:cs="Arial"/>
        </w:rPr>
        <w:t>, las deficiencias y limitantes en el patrón de desarrollo actual, así como las oportunidades y amenazas que generan los cambios en el entorno económico regional, nacional e internacional</w:t>
      </w:r>
      <w:r>
        <w:rPr>
          <w:rFonts w:ascii="Arial" w:hAnsi="Arial" w:cs="Arial"/>
        </w:rPr>
        <w:t>.</w:t>
      </w:r>
    </w:p>
    <w:p w:rsidR="0037578E" w:rsidRDefault="0037578E" w:rsidP="0037578E">
      <w:pPr>
        <w:spacing w:line="360" w:lineRule="auto"/>
        <w:ind w:left="-11"/>
        <w:jc w:val="both"/>
        <w:rPr>
          <w:rFonts w:ascii="Arial" w:hAnsi="Arial" w:cs="Arial"/>
        </w:rPr>
      </w:pPr>
    </w:p>
    <w:p w:rsidR="0037578E" w:rsidRPr="00736E34" w:rsidRDefault="0037578E" w:rsidP="0037578E">
      <w:pPr>
        <w:spacing w:line="360" w:lineRule="auto"/>
        <w:ind w:left="-11"/>
        <w:jc w:val="both"/>
        <w:rPr>
          <w:rFonts w:ascii="Arial" w:hAnsi="Arial" w:cs="Arial"/>
        </w:rPr>
      </w:pPr>
      <w:r w:rsidRPr="00736E34">
        <w:rPr>
          <w:rFonts w:ascii="Arial" w:hAnsi="Arial" w:cs="Arial"/>
        </w:rPr>
        <w:t>La pol</w:t>
      </w:r>
      <w:r w:rsidRPr="00736E34">
        <w:rPr>
          <w:rFonts w:ascii="Arial" w:hAnsi="Arial" w:cs="Arial" w:hint="eastAsia"/>
        </w:rPr>
        <w:t>í</w:t>
      </w:r>
      <w:r w:rsidRPr="00736E34">
        <w:rPr>
          <w:rFonts w:ascii="Arial" w:hAnsi="Arial" w:cs="Arial"/>
        </w:rPr>
        <w:t>tica de ingresos</w:t>
      </w:r>
      <w:r>
        <w:rPr>
          <w:rFonts w:ascii="Arial" w:hAnsi="Arial" w:cs="Arial"/>
        </w:rPr>
        <w:t xml:space="preserve"> </w:t>
      </w:r>
      <w:r w:rsidRPr="00736E34">
        <w:rPr>
          <w:rFonts w:ascii="Arial" w:hAnsi="Arial" w:cs="Arial"/>
        </w:rPr>
        <w:t>del Estado, deber</w:t>
      </w:r>
      <w:r w:rsidRPr="00736E34">
        <w:rPr>
          <w:rFonts w:ascii="Arial" w:hAnsi="Arial" w:cs="Arial" w:hint="eastAsia"/>
        </w:rPr>
        <w:t>á</w:t>
      </w:r>
      <w:r>
        <w:rPr>
          <w:rFonts w:ascii="Arial" w:hAnsi="Arial" w:cs="Arial"/>
        </w:rPr>
        <w:t xml:space="preserve"> </w:t>
      </w:r>
      <w:r w:rsidRPr="00736E34">
        <w:rPr>
          <w:rFonts w:ascii="Arial" w:hAnsi="Arial" w:cs="Arial"/>
        </w:rPr>
        <w:t xml:space="preserve">contribuir a </w:t>
      </w:r>
      <w:r>
        <w:rPr>
          <w:rFonts w:ascii="Arial" w:hAnsi="Arial" w:cs="Arial"/>
        </w:rPr>
        <w:t>mantener</w:t>
      </w:r>
      <w:r w:rsidRPr="00736E34">
        <w:rPr>
          <w:rFonts w:ascii="Arial" w:hAnsi="Arial" w:cs="Arial"/>
        </w:rPr>
        <w:t xml:space="preserve"> un Balance Presupuestario Sostenible con la aportaci</w:t>
      </w:r>
      <w:r w:rsidRPr="00736E34">
        <w:rPr>
          <w:rFonts w:ascii="Arial" w:hAnsi="Arial" w:cs="Arial" w:hint="eastAsia"/>
        </w:rPr>
        <w:t>ó</w:t>
      </w:r>
      <w:r w:rsidRPr="00736E34">
        <w:rPr>
          <w:rFonts w:ascii="Arial" w:hAnsi="Arial" w:cs="Arial"/>
        </w:rPr>
        <w:t>n de una</w:t>
      </w:r>
      <w:r>
        <w:rPr>
          <w:rFonts w:ascii="Arial" w:hAnsi="Arial" w:cs="Arial"/>
        </w:rPr>
        <w:t xml:space="preserve"> </w:t>
      </w:r>
      <w:r w:rsidRPr="00736E34">
        <w:rPr>
          <w:rFonts w:ascii="Arial" w:hAnsi="Arial" w:cs="Arial"/>
        </w:rPr>
        <w:t>mayor recaudaci</w:t>
      </w:r>
      <w:r w:rsidRPr="00736E34">
        <w:rPr>
          <w:rFonts w:ascii="Arial" w:hAnsi="Arial" w:cs="Arial" w:hint="eastAsia"/>
        </w:rPr>
        <w:t>ó</w:t>
      </w:r>
      <w:r w:rsidRPr="00736E34">
        <w:rPr>
          <w:rFonts w:ascii="Arial" w:hAnsi="Arial" w:cs="Arial"/>
        </w:rPr>
        <w:t>n que soporte el financiamiento del gasto p</w:t>
      </w:r>
      <w:r w:rsidRPr="00736E34">
        <w:rPr>
          <w:rFonts w:ascii="Arial" w:hAnsi="Arial" w:cs="Arial" w:hint="eastAsia"/>
        </w:rPr>
        <w:t>ú</w:t>
      </w:r>
      <w:r w:rsidRPr="00736E34">
        <w:rPr>
          <w:rFonts w:ascii="Arial" w:hAnsi="Arial" w:cs="Arial"/>
        </w:rPr>
        <w:t>blico</w:t>
      </w:r>
      <w:r>
        <w:rPr>
          <w:rFonts w:ascii="Arial" w:hAnsi="Arial" w:cs="Arial"/>
        </w:rPr>
        <w:t xml:space="preserve">. </w:t>
      </w:r>
      <w:r w:rsidRPr="00736E34">
        <w:rPr>
          <w:rFonts w:ascii="Arial" w:hAnsi="Arial" w:cs="Arial"/>
        </w:rPr>
        <w:t>En el ejercicio fiscal 201</w:t>
      </w:r>
      <w:r>
        <w:rPr>
          <w:rFonts w:ascii="Arial" w:hAnsi="Arial" w:cs="Arial"/>
        </w:rPr>
        <w:t>9</w:t>
      </w:r>
      <w:r w:rsidRPr="00736E34">
        <w:rPr>
          <w:rFonts w:ascii="Arial" w:hAnsi="Arial" w:cs="Arial"/>
        </w:rPr>
        <w:t xml:space="preserve"> los esfuerzos de planeaci</w:t>
      </w:r>
      <w:r w:rsidRPr="00736E34">
        <w:rPr>
          <w:rFonts w:ascii="Arial" w:hAnsi="Arial" w:cs="Arial" w:hint="eastAsia"/>
        </w:rPr>
        <w:t>ó</w:t>
      </w:r>
      <w:r w:rsidRPr="00736E34">
        <w:rPr>
          <w:rFonts w:ascii="Arial" w:hAnsi="Arial" w:cs="Arial"/>
        </w:rPr>
        <w:t>n, programaci</w:t>
      </w:r>
      <w:r w:rsidRPr="00736E34">
        <w:rPr>
          <w:rFonts w:ascii="Arial" w:hAnsi="Arial" w:cs="Arial" w:hint="eastAsia"/>
        </w:rPr>
        <w:t>ó</w:t>
      </w:r>
      <w:r w:rsidRPr="00736E34">
        <w:rPr>
          <w:rFonts w:ascii="Arial" w:hAnsi="Arial" w:cs="Arial"/>
        </w:rPr>
        <w:t>n y</w:t>
      </w:r>
      <w:r>
        <w:rPr>
          <w:rFonts w:ascii="Arial" w:hAnsi="Arial" w:cs="Arial"/>
        </w:rPr>
        <w:t xml:space="preserve"> </w:t>
      </w:r>
      <w:r w:rsidRPr="00736E34">
        <w:rPr>
          <w:rFonts w:ascii="Arial" w:hAnsi="Arial" w:cs="Arial"/>
        </w:rPr>
        <w:t>presupuestaci</w:t>
      </w:r>
      <w:r w:rsidRPr="00736E34">
        <w:rPr>
          <w:rFonts w:ascii="Arial" w:hAnsi="Arial" w:cs="Arial" w:hint="eastAsia"/>
        </w:rPr>
        <w:t>ó</w:t>
      </w:r>
      <w:r w:rsidRPr="00736E34">
        <w:rPr>
          <w:rFonts w:ascii="Arial" w:hAnsi="Arial" w:cs="Arial"/>
        </w:rPr>
        <w:t>n de los ingresos p</w:t>
      </w:r>
      <w:r w:rsidRPr="00736E34">
        <w:rPr>
          <w:rFonts w:ascii="Arial" w:hAnsi="Arial" w:cs="Arial" w:hint="eastAsia"/>
        </w:rPr>
        <w:t>ú</w:t>
      </w:r>
      <w:r w:rsidRPr="00736E34">
        <w:rPr>
          <w:rFonts w:ascii="Arial" w:hAnsi="Arial" w:cs="Arial"/>
        </w:rPr>
        <w:t>blicos se orientar</w:t>
      </w:r>
      <w:r w:rsidRPr="00736E34">
        <w:rPr>
          <w:rFonts w:ascii="Arial" w:hAnsi="Arial" w:cs="Arial" w:hint="eastAsia"/>
        </w:rPr>
        <w:t>á</w:t>
      </w:r>
      <w:r w:rsidRPr="00736E34">
        <w:rPr>
          <w:rFonts w:ascii="Arial" w:hAnsi="Arial" w:cs="Arial"/>
        </w:rPr>
        <w:t xml:space="preserve">n </w:t>
      </w:r>
      <w:r>
        <w:rPr>
          <w:rFonts w:ascii="Arial" w:hAnsi="Arial" w:cs="Arial"/>
        </w:rPr>
        <w:t>hacia</w:t>
      </w:r>
      <w:r w:rsidRPr="00736E34">
        <w:rPr>
          <w:rFonts w:ascii="Arial" w:hAnsi="Arial" w:cs="Arial"/>
        </w:rPr>
        <w:t xml:space="preserve"> los </w:t>
      </w:r>
      <w:r>
        <w:rPr>
          <w:rFonts w:ascii="Arial" w:hAnsi="Arial" w:cs="Arial"/>
        </w:rPr>
        <w:t>resultados</w:t>
      </w:r>
      <w:r w:rsidRPr="00736E34">
        <w:rPr>
          <w:rFonts w:ascii="Arial" w:hAnsi="Arial" w:cs="Arial"/>
        </w:rPr>
        <w:t xml:space="preserve"> siguientes:</w:t>
      </w:r>
    </w:p>
    <w:p w:rsidR="0037578E" w:rsidRDefault="0037578E" w:rsidP="0037578E">
      <w:pPr>
        <w:spacing w:line="360" w:lineRule="auto"/>
        <w:ind w:left="-11"/>
        <w:jc w:val="both"/>
        <w:rPr>
          <w:rFonts w:ascii="Arial" w:hAnsi="Arial" w:cs="Arial"/>
        </w:rPr>
      </w:pPr>
    </w:p>
    <w:p w:rsidR="0037578E" w:rsidRDefault="0037578E" w:rsidP="0037578E">
      <w:pPr>
        <w:spacing w:line="360" w:lineRule="auto"/>
        <w:jc w:val="both"/>
        <w:rPr>
          <w:rFonts w:ascii="Arial" w:hAnsi="Arial" w:cs="Arial"/>
        </w:rPr>
      </w:pPr>
      <w:r>
        <w:rPr>
          <w:rFonts w:ascii="Arial" w:hAnsi="Arial" w:cs="Arial"/>
        </w:rPr>
        <w:t>I.</w:t>
      </w:r>
      <w:r w:rsidRPr="00736E34">
        <w:rPr>
          <w:rFonts w:ascii="Arial" w:hAnsi="Arial" w:cs="Arial"/>
        </w:rPr>
        <w:t xml:space="preserve"> </w:t>
      </w:r>
      <w:r>
        <w:rPr>
          <w:rFonts w:ascii="Arial" w:hAnsi="Arial" w:cs="Arial"/>
        </w:rPr>
        <w:t>Incrementar</w:t>
      </w:r>
      <w:r w:rsidRPr="00736E34">
        <w:rPr>
          <w:rFonts w:ascii="Arial" w:hAnsi="Arial" w:cs="Arial"/>
        </w:rPr>
        <w:t xml:space="preserve"> los Ingresos Propios o de Gesti</w:t>
      </w:r>
      <w:r w:rsidRPr="00736E34">
        <w:rPr>
          <w:rFonts w:ascii="Arial" w:hAnsi="Arial" w:cs="Arial" w:hint="eastAsia"/>
        </w:rPr>
        <w:t>ó</w:t>
      </w:r>
      <w:r w:rsidRPr="00736E34">
        <w:rPr>
          <w:rFonts w:ascii="Arial" w:hAnsi="Arial" w:cs="Arial"/>
        </w:rPr>
        <w:t>n haciendo un mayor esfuerz</w:t>
      </w:r>
      <w:r>
        <w:rPr>
          <w:rFonts w:ascii="Arial" w:hAnsi="Arial" w:cs="Arial"/>
        </w:rPr>
        <w:t xml:space="preserve">o </w:t>
      </w:r>
      <w:r w:rsidRPr="00736E34">
        <w:rPr>
          <w:rFonts w:ascii="Arial" w:hAnsi="Arial" w:cs="Arial"/>
        </w:rPr>
        <w:t>recaudatorio sustentado en reformas de las contribuciones y en la implementaci</w:t>
      </w:r>
      <w:r w:rsidRPr="00736E34">
        <w:rPr>
          <w:rFonts w:ascii="Arial" w:hAnsi="Arial" w:cs="Arial" w:hint="eastAsia"/>
        </w:rPr>
        <w:t>ó</w:t>
      </w:r>
      <w:r w:rsidRPr="00736E34">
        <w:rPr>
          <w:rFonts w:ascii="Arial" w:hAnsi="Arial" w:cs="Arial"/>
        </w:rPr>
        <w:t>n de</w:t>
      </w:r>
      <w:r>
        <w:rPr>
          <w:rFonts w:ascii="Arial" w:hAnsi="Arial" w:cs="Arial"/>
        </w:rPr>
        <w:t xml:space="preserve"> la</w:t>
      </w:r>
      <w:r w:rsidRPr="00736E34">
        <w:rPr>
          <w:rFonts w:ascii="Arial" w:hAnsi="Arial" w:cs="Arial"/>
        </w:rPr>
        <w:t xml:space="preserve"> modernizaci</w:t>
      </w:r>
      <w:r w:rsidRPr="00736E34">
        <w:rPr>
          <w:rFonts w:ascii="Arial" w:hAnsi="Arial" w:cs="Arial" w:hint="eastAsia"/>
        </w:rPr>
        <w:t>ó</w:t>
      </w:r>
      <w:r w:rsidRPr="00736E34">
        <w:rPr>
          <w:rFonts w:ascii="Arial" w:hAnsi="Arial" w:cs="Arial"/>
        </w:rPr>
        <w:t>n integral de la administraci</w:t>
      </w:r>
      <w:r w:rsidRPr="00736E34">
        <w:rPr>
          <w:rFonts w:ascii="Arial" w:hAnsi="Arial" w:cs="Arial" w:hint="eastAsia"/>
        </w:rPr>
        <w:t>ó</w:t>
      </w:r>
      <w:r w:rsidRPr="00736E34">
        <w:rPr>
          <w:rFonts w:ascii="Arial" w:hAnsi="Arial" w:cs="Arial"/>
        </w:rPr>
        <w:t>n tributaria.</w:t>
      </w:r>
    </w:p>
    <w:p w:rsidR="0037578E" w:rsidRPr="00736E34" w:rsidRDefault="0037578E" w:rsidP="0037578E">
      <w:pPr>
        <w:spacing w:line="360" w:lineRule="auto"/>
        <w:ind w:left="-11"/>
        <w:jc w:val="both"/>
        <w:rPr>
          <w:rFonts w:ascii="Arial" w:hAnsi="Arial" w:cs="Arial"/>
        </w:rPr>
      </w:pPr>
    </w:p>
    <w:p w:rsidR="0037578E" w:rsidRDefault="0037578E" w:rsidP="0037578E">
      <w:pPr>
        <w:spacing w:line="360" w:lineRule="auto"/>
        <w:ind w:left="-11"/>
        <w:jc w:val="both"/>
        <w:rPr>
          <w:rFonts w:ascii="Arial" w:hAnsi="Arial" w:cs="Arial"/>
        </w:rPr>
      </w:pPr>
      <w:r>
        <w:rPr>
          <w:rFonts w:ascii="Arial" w:hAnsi="Arial" w:cs="Arial"/>
        </w:rPr>
        <w:t>II</w:t>
      </w:r>
      <w:r w:rsidRPr="00736E34">
        <w:rPr>
          <w:rFonts w:ascii="Arial" w:hAnsi="Arial" w:cs="Arial"/>
        </w:rPr>
        <w:t xml:space="preserve">. Fortalecer los Ingresos Ordinarios del Estado para </w:t>
      </w:r>
      <w:r>
        <w:rPr>
          <w:rFonts w:ascii="Arial" w:hAnsi="Arial" w:cs="Arial"/>
        </w:rPr>
        <w:t>mejorar</w:t>
      </w:r>
      <w:r w:rsidRPr="00736E34">
        <w:rPr>
          <w:rFonts w:ascii="Arial" w:hAnsi="Arial" w:cs="Arial"/>
        </w:rPr>
        <w:t xml:space="preserve"> el Balance</w:t>
      </w:r>
      <w:r>
        <w:rPr>
          <w:rFonts w:ascii="Arial" w:hAnsi="Arial" w:cs="Arial"/>
        </w:rPr>
        <w:t xml:space="preserve"> </w:t>
      </w:r>
      <w:r w:rsidRPr="00736E34">
        <w:rPr>
          <w:rFonts w:ascii="Arial" w:hAnsi="Arial" w:cs="Arial"/>
        </w:rPr>
        <w:t>Presupuestario de Recursos Disponibles y el financiamiento del gasto en</w:t>
      </w:r>
      <w:r>
        <w:rPr>
          <w:rFonts w:ascii="Arial" w:hAnsi="Arial" w:cs="Arial"/>
        </w:rPr>
        <w:t xml:space="preserve"> </w:t>
      </w:r>
      <w:r w:rsidRPr="00736E34">
        <w:rPr>
          <w:rFonts w:ascii="Arial" w:hAnsi="Arial" w:cs="Arial"/>
        </w:rPr>
        <w:t>desarrollo social e inversi</w:t>
      </w:r>
      <w:r w:rsidRPr="00736E34">
        <w:rPr>
          <w:rFonts w:ascii="Arial" w:hAnsi="Arial" w:cs="Arial" w:hint="eastAsia"/>
        </w:rPr>
        <w:t>ó</w:t>
      </w:r>
      <w:r w:rsidRPr="00736E34">
        <w:rPr>
          <w:rFonts w:ascii="Arial" w:hAnsi="Arial" w:cs="Arial"/>
        </w:rPr>
        <w:t>n en obra p</w:t>
      </w:r>
      <w:r w:rsidRPr="00736E34">
        <w:rPr>
          <w:rFonts w:ascii="Arial" w:hAnsi="Arial" w:cs="Arial" w:hint="eastAsia"/>
        </w:rPr>
        <w:t>ú</w:t>
      </w:r>
      <w:r w:rsidRPr="00736E34">
        <w:rPr>
          <w:rFonts w:ascii="Arial" w:hAnsi="Arial" w:cs="Arial"/>
        </w:rPr>
        <w:t>blica.</w:t>
      </w:r>
    </w:p>
    <w:p w:rsidR="0037578E" w:rsidRPr="00736E34" w:rsidRDefault="0037578E" w:rsidP="0037578E">
      <w:pPr>
        <w:spacing w:line="360" w:lineRule="auto"/>
        <w:ind w:left="-11"/>
        <w:jc w:val="both"/>
        <w:rPr>
          <w:rFonts w:ascii="Arial" w:hAnsi="Arial" w:cs="Arial"/>
        </w:rPr>
      </w:pPr>
    </w:p>
    <w:p w:rsidR="0037578E" w:rsidRDefault="0037578E" w:rsidP="0037578E">
      <w:pPr>
        <w:spacing w:line="360" w:lineRule="auto"/>
        <w:ind w:left="-11"/>
        <w:jc w:val="both"/>
        <w:rPr>
          <w:rFonts w:ascii="Arial" w:hAnsi="Arial" w:cs="Arial"/>
        </w:rPr>
      </w:pPr>
      <w:r>
        <w:rPr>
          <w:rFonts w:ascii="Arial" w:hAnsi="Arial" w:cs="Arial"/>
        </w:rPr>
        <w:lastRenderedPageBreak/>
        <w:t>III</w:t>
      </w:r>
      <w:r w:rsidRPr="00736E34">
        <w:rPr>
          <w:rFonts w:ascii="Arial" w:hAnsi="Arial" w:cs="Arial"/>
        </w:rPr>
        <w:t xml:space="preserve">. Cumplir con las metas de Ingresos Presupuestarios para </w:t>
      </w:r>
      <w:r>
        <w:rPr>
          <w:rFonts w:ascii="Arial" w:hAnsi="Arial" w:cs="Arial"/>
        </w:rPr>
        <w:t>mantener las finanzas públicas estatales sanas</w:t>
      </w:r>
      <w:r w:rsidRPr="00736E34">
        <w:rPr>
          <w:rFonts w:ascii="Arial" w:hAnsi="Arial" w:cs="Arial"/>
        </w:rPr>
        <w:t xml:space="preserve"> en el corto plazo.</w:t>
      </w:r>
    </w:p>
    <w:p w:rsidR="0037578E" w:rsidRDefault="0037578E" w:rsidP="0037578E">
      <w:pPr>
        <w:spacing w:line="360" w:lineRule="auto"/>
        <w:ind w:left="-11"/>
        <w:jc w:val="both"/>
        <w:rPr>
          <w:rFonts w:ascii="Arial" w:hAnsi="Arial" w:cs="Arial"/>
        </w:rPr>
      </w:pPr>
    </w:p>
    <w:p w:rsidR="0037578E" w:rsidRPr="00AA4EDF" w:rsidRDefault="0037578E" w:rsidP="0037578E">
      <w:pPr>
        <w:spacing w:line="360" w:lineRule="auto"/>
        <w:ind w:left="-11"/>
        <w:jc w:val="both"/>
        <w:rPr>
          <w:rFonts w:ascii="Arial" w:hAnsi="Arial" w:cs="Arial"/>
        </w:rPr>
      </w:pPr>
      <w:r w:rsidRPr="00AA4EDF">
        <w:rPr>
          <w:rFonts w:ascii="Arial" w:hAnsi="Arial" w:cs="Arial"/>
        </w:rPr>
        <w:t>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37578E" w:rsidRPr="00AA4EDF" w:rsidRDefault="0037578E" w:rsidP="0037578E">
      <w:pPr>
        <w:spacing w:line="360" w:lineRule="auto"/>
        <w:ind w:left="-11"/>
        <w:jc w:val="both"/>
        <w:rPr>
          <w:rFonts w:ascii="Arial" w:hAnsi="Arial" w:cs="Arial"/>
        </w:rPr>
      </w:pPr>
    </w:p>
    <w:p w:rsidR="0037578E" w:rsidRDefault="0037578E" w:rsidP="0037578E">
      <w:pPr>
        <w:spacing w:line="360" w:lineRule="auto"/>
        <w:ind w:left="-11"/>
        <w:jc w:val="both"/>
        <w:rPr>
          <w:rFonts w:ascii="Arial" w:hAnsi="Arial" w:cs="Arial"/>
        </w:rPr>
      </w:pPr>
      <w:r>
        <w:rPr>
          <w:rFonts w:ascii="Arial" w:hAnsi="Arial" w:cs="Arial"/>
        </w:rPr>
        <w:t xml:space="preserve">El Gobierno del Estado, mantendrá un papel activo en la </w:t>
      </w:r>
      <w:r w:rsidRPr="00735B67">
        <w:rPr>
          <w:rFonts w:ascii="Arial" w:hAnsi="Arial" w:cs="Arial"/>
        </w:rPr>
        <w:t>coordinaci</w:t>
      </w:r>
      <w:r w:rsidRPr="00735B67">
        <w:rPr>
          <w:rFonts w:ascii="Arial" w:hAnsi="Arial" w:cs="Arial" w:hint="eastAsia"/>
        </w:rPr>
        <w:t>ó</w:t>
      </w:r>
      <w:r w:rsidRPr="00735B67">
        <w:rPr>
          <w:rFonts w:ascii="Arial" w:hAnsi="Arial" w:cs="Arial"/>
        </w:rPr>
        <w:t>n y colaboraci</w:t>
      </w:r>
      <w:r w:rsidRPr="00735B67">
        <w:rPr>
          <w:rFonts w:ascii="Arial" w:hAnsi="Arial" w:cs="Arial" w:hint="eastAsia"/>
        </w:rPr>
        <w:t>ó</w:t>
      </w:r>
      <w:r w:rsidRPr="00735B67">
        <w:rPr>
          <w:rFonts w:ascii="Arial" w:hAnsi="Arial" w:cs="Arial"/>
        </w:rPr>
        <w:t>n hacendaria</w:t>
      </w:r>
      <w:r>
        <w:rPr>
          <w:rFonts w:ascii="Arial" w:hAnsi="Arial" w:cs="Arial"/>
        </w:rPr>
        <w:t xml:space="preserve">, enfocándose </w:t>
      </w:r>
      <w:r w:rsidRPr="00735B67">
        <w:rPr>
          <w:rFonts w:ascii="Arial" w:hAnsi="Arial" w:cs="Arial"/>
        </w:rPr>
        <w:t>en mantener el</w:t>
      </w:r>
      <w:r>
        <w:rPr>
          <w:rFonts w:ascii="Arial" w:hAnsi="Arial" w:cs="Arial"/>
        </w:rPr>
        <w:t xml:space="preserve"> </w:t>
      </w:r>
      <w:r w:rsidRPr="00735B67">
        <w:rPr>
          <w:rFonts w:ascii="Arial" w:hAnsi="Arial" w:cs="Arial"/>
        </w:rPr>
        <w:t xml:space="preserve">flujo de ingresos participables a favor del Estado y sus municipios, </w:t>
      </w:r>
      <w:r>
        <w:rPr>
          <w:rFonts w:ascii="Arial" w:hAnsi="Arial" w:cs="Arial"/>
        </w:rPr>
        <w:t xml:space="preserve">en el marco </w:t>
      </w:r>
      <w:r w:rsidRPr="00735B67">
        <w:rPr>
          <w:rFonts w:ascii="Arial" w:hAnsi="Arial" w:cs="Arial"/>
        </w:rPr>
        <w:t>legal e institucional del Sistema Nacional de Coordinaci</w:t>
      </w:r>
      <w:r w:rsidRPr="00735B67">
        <w:rPr>
          <w:rFonts w:ascii="Arial" w:hAnsi="Arial" w:cs="Arial" w:hint="eastAsia"/>
        </w:rPr>
        <w:t>ó</w:t>
      </w:r>
      <w:r w:rsidRPr="00735B67">
        <w:rPr>
          <w:rFonts w:ascii="Arial" w:hAnsi="Arial" w:cs="Arial"/>
        </w:rPr>
        <w:t>n Fiscal (SNCF)</w:t>
      </w:r>
      <w:r>
        <w:rPr>
          <w:rFonts w:ascii="Arial" w:hAnsi="Arial" w:cs="Arial"/>
        </w:rPr>
        <w:t xml:space="preserve"> y del Sistema Estatal de Coordinación Hacendaria (SECH)</w:t>
      </w:r>
      <w:r w:rsidRPr="00735B67">
        <w:rPr>
          <w:rFonts w:ascii="Arial" w:hAnsi="Arial" w:cs="Arial"/>
        </w:rPr>
        <w:t>, as</w:t>
      </w:r>
      <w:r w:rsidRPr="00735B67">
        <w:rPr>
          <w:rFonts w:ascii="Arial" w:hAnsi="Arial" w:cs="Arial" w:hint="eastAsia"/>
        </w:rPr>
        <w:t>í</w:t>
      </w:r>
      <w:r w:rsidRPr="00735B67">
        <w:rPr>
          <w:rFonts w:ascii="Arial" w:hAnsi="Arial" w:cs="Arial"/>
        </w:rPr>
        <w:t xml:space="preserve"> como en</w:t>
      </w:r>
      <w:r>
        <w:rPr>
          <w:rFonts w:ascii="Arial" w:hAnsi="Arial" w:cs="Arial"/>
        </w:rPr>
        <w:t xml:space="preserve"> </w:t>
      </w:r>
      <w:r w:rsidRPr="00735B67">
        <w:rPr>
          <w:rFonts w:ascii="Arial" w:hAnsi="Arial" w:cs="Arial"/>
        </w:rPr>
        <w:t xml:space="preserve">promover su </w:t>
      </w:r>
      <w:r>
        <w:rPr>
          <w:rFonts w:ascii="Arial" w:hAnsi="Arial" w:cs="Arial"/>
        </w:rPr>
        <w:t>fortalecimiento</w:t>
      </w:r>
      <w:r w:rsidRPr="00735B67">
        <w:rPr>
          <w:rFonts w:ascii="Arial" w:hAnsi="Arial" w:cs="Arial"/>
        </w:rPr>
        <w:t xml:space="preserve">. </w:t>
      </w:r>
      <w:r>
        <w:rPr>
          <w:rFonts w:ascii="Arial" w:hAnsi="Arial" w:cs="Arial"/>
        </w:rPr>
        <w:t>A</w:t>
      </w:r>
      <w:r w:rsidRPr="00735B67">
        <w:rPr>
          <w:rFonts w:ascii="Arial" w:hAnsi="Arial" w:cs="Arial"/>
        </w:rPr>
        <w:t>simismo</w:t>
      </w:r>
      <w:r>
        <w:rPr>
          <w:rFonts w:ascii="Arial" w:hAnsi="Arial" w:cs="Arial"/>
        </w:rPr>
        <w:t>,</w:t>
      </w:r>
      <w:r w:rsidRPr="00735B67">
        <w:rPr>
          <w:rFonts w:ascii="Arial" w:hAnsi="Arial" w:cs="Arial"/>
        </w:rPr>
        <w:t xml:space="preserve"> </w:t>
      </w:r>
      <w:r>
        <w:rPr>
          <w:rFonts w:ascii="Arial" w:hAnsi="Arial" w:cs="Arial"/>
        </w:rPr>
        <w:t>reforzar los</w:t>
      </w:r>
      <w:r w:rsidRPr="00735B67">
        <w:rPr>
          <w:rFonts w:ascii="Arial" w:hAnsi="Arial" w:cs="Arial"/>
        </w:rPr>
        <w:t xml:space="preserve"> v</w:t>
      </w:r>
      <w:r w:rsidRPr="00735B67">
        <w:rPr>
          <w:rFonts w:ascii="Arial" w:hAnsi="Arial" w:cs="Arial" w:hint="eastAsia"/>
        </w:rPr>
        <w:t>í</w:t>
      </w:r>
      <w:r w:rsidRPr="00735B67">
        <w:rPr>
          <w:rFonts w:ascii="Arial" w:hAnsi="Arial" w:cs="Arial"/>
        </w:rPr>
        <w:t>nculos de</w:t>
      </w:r>
      <w:r>
        <w:rPr>
          <w:rFonts w:ascii="Arial" w:hAnsi="Arial" w:cs="Arial"/>
        </w:rPr>
        <w:t xml:space="preserve"> </w:t>
      </w:r>
      <w:r w:rsidRPr="00735B67">
        <w:rPr>
          <w:rFonts w:ascii="Arial" w:hAnsi="Arial" w:cs="Arial"/>
        </w:rPr>
        <w:t>coordinaci</w:t>
      </w:r>
      <w:r w:rsidRPr="00735B67">
        <w:rPr>
          <w:rFonts w:ascii="Arial" w:hAnsi="Arial" w:cs="Arial" w:hint="eastAsia"/>
        </w:rPr>
        <w:t>ó</w:t>
      </w:r>
      <w:r w:rsidRPr="00735B67">
        <w:rPr>
          <w:rFonts w:ascii="Arial" w:hAnsi="Arial" w:cs="Arial"/>
        </w:rPr>
        <w:t xml:space="preserve">n </w:t>
      </w:r>
      <w:r>
        <w:rPr>
          <w:rFonts w:ascii="Arial" w:hAnsi="Arial" w:cs="Arial"/>
        </w:rPr>
        <w:t>entre</w:t>
      </w:r>
      <w:r w:rsidRPr="00735B67">
        <w:rPr>
          <w:rFonts w:ascii="Arial" w:hAnsi="Arial" w:cs="Arial"/>
        </w:rPr>
        <w:t xml:space="preserve"> los tres </w:t>
      </w:r>
      <w:r w:rsidRPr="00735B67">
        <w:rPr>
          <w:rFonts w:ascii="Arial" w:hAnsi="Arial" w:cs="Arial" w:hint="eastAsia"/>
        </w:rPr>
        <w:t>ó</w:t>
      </w:r>
      <w:r w:rsidRPr="00735B67">
        <w:rPr>
          <w:rFonts w:ascii="Arial" w:hAnsi="Arial" w:cs="Arial"/>
        </w:rPr>
        <w:t xml:space="preserve">rdenes de gobierno, incluyendo </w:t>
      </w:r>
      <w:r>
        <w:rPr>
          <w:rFonts w:ascii="Arial" w:hAnsi="Arial" w:cs="Arial"/>
        </w:rPr>
        <w:t xml:space="preserve">a </w:t>
      </w:r>
      <w:r w:rsidRPr="00735B67">
        <w:rPr>
          <w:rFonts w:ascii="Arial" w:hAnsi="Arial" w:cs="Arial"/>
        </w:rPr>
        <w:t xml:space="preserve">sus dependencias y entidades, para ejecutar </w:t>
      </w:r>
      <w:r>
        <w:rPr>
          <w:rFonts w:ascii="Arial" w:hAnsi="Arial" w:cs="Arial"/>
        </w:rPr>
        <w:t xml:space="preserve">las disposiciones </w:t>
      </w:r>
      <w:r w:rsidRPr="00735B67">
        <w:rPr>
          <w:rFonts w:ascii="Arial" w:hAnsi="Arial" w:cs="Arial"/>
        </w:rPr>
        <w:t>fiscal</w:t>
      </w:r>
      <w:r>
        <w:rPr>
          <w:rFonts w:ascii="Arial" w:hAnsi="Arial" w:cs="Arial"/>
        </w:rPr>
        <w:t>es</w:t>
      </w:r>
      <w:r w:rsidRPr="00735B67">
        <w:rPr>
          <w:rFonts w:ascii="Arial" w:hAnsi="Arial" w:cs="Arial"/>
        </w:rPr>
        <w:t xml:space="preserve"> y administrativas que favorezcan el incremento de la recaudaci</w:t>
      </w:r>
      <w:r w:rsidRPr="00735B67">
        <w:rPr>
          <w:rFonts w:ascii="Arial" w:hAnsi="Arial" w:cs="Arial" w:hint="eastAsia"/>
        </w:rPr>
        <w:t>ó</w:t>
      </w:r>
      <w:r w:rsidRPr="00735B67">
        <w:rPr>
          <w:rFonts w:ascii="Arial" w:hAnsi="Arial" w:cs="Arial"/>
        </w:rPr>
        <w:t>n.</w:t>
      </w:r>
    </w:p>
    <w:p w:rsidR="00404E4A" w:rsidRDefault="00404E4A" w:rsidP="0037578E">
      <w:pPr>
        <w:spacing w:line="360" w:lineRule="auto"/>
        <w:ind w:left="-11"/>
        <w:jc w:val="both"/>
        <w:rPr>
          <w:rFonts w:ascii="Arial" w:hAnsi="Arial" w:cs="Arial"/>
        </w:rPr>
      </w:pPr>
    </w:p>
    <w:p w:rsidR="0037578E" w:rsidRDefault="0037578E" w:rsidP="0037578E">
      <w:pPr>
        <w:spacing w:line="360" w:lineRule="auto"/>
        <w:ind w:left="-11"/>
        <w:jc w:val="both"/>
        <w:rPr>
          <w:rFonts w:ascii="Arial" w:hAnsi="Arial" w:cs="Arial"/>
        </w:rPr>
      </w:pPr>
      <w:r>
        <w:rPr>
          <w:rFonts w:ascii="Arial" w:hAnsi="Arial" w:cs="Arial"/>
        </w:rPr>
        <w:t xml:space="preserve">Por otra parte, las </w:t>
      </w:r>
      <w:r w:rsidRPr="00735B67">
        <w:rPr>
          <w:rFonts w:ascii="Arial" w:hAnsi="Arial" w:cs="Arial"/>
        </w:rPr>
        <w:t xml:space="preserve">relaciones intergubernamentales </w:t>
      </w:r>
      <w:r>
        <w:rPr>
          <w:rFonts w:ascii="Arial" w:hAnsi="Arial" w:cs="Arial"/>
        </w:rPr>
        <w:t xml:space="preserve">establecidas </w:t>
      </w:r>
      <w:r w:rsidRPr="00735B67">
        <w:rPr>
          <w:rFonts w:ascii="Arial" w:hAnsi="Arial" w:cs="Arial"/>
        </w:rPr>
        <w:t>dar</w:t>
      </w:r>
      <w:r w:rsidRPr="00735B67">
        <w:rPr>
          <w:rFonts w:ascii="Arial" w:hAnsi="Arial" w:cs="Arial" w:hint="eastAsia"/>
        </w:rPr>
        <w:t>á</w:t>
      </w:r>
      <w:r>
        <w:rPr>
          <w:rFonts w:ascii="Arial" w:hAnsi="Arial" w:cs="Arial"/>
        </w:rPr>
        <w:t>n</w:t>
      </w:r>
      <w:r w:rsidRPr="00735B67">
        <w:rPr>
          <w:rFonts w:ascii="Arial" w:hAnsi="Arial" w:cs="Arial"/>
        </w:rPr>
        <w:t xml:space="preserve"> cumplimiento a</w:t>
      </w:r>
      <w:r>
        <w:rPr>
          <w:rFonts w:ascii="Arial" w:hAnsi="Arial" w:cs="Arial"/>
        </w:rPr>
        <w:t xml:space="preserve"> </w:t>
      </w:r>
      <w:r w:rsidRPr="00735B67">
        <w:rPr>
          <w:rFonts w:ascii="Arial" w:hAnsi="Arial" w:cs="Arial"/>
        </w:rPr>
        <w:t>la</w:t>
      </w:r>
      <w:r>
        <w:rPr>
          <w:rFonts w:ascii="Arial" w:hAnsi="Arial" w:cs="Arial"/>
        </w:rPr>
        <w:t>s</w:t>
      </w:r>
      <w:r w:rsidRPr="00735B67">
        <w:rPr>
          <w:rFonts w:ascii="Arial" w:hAnsi="Arial" w:cs="Arial"/>
        </w:rPr>
        <w:t xml:space="preserve"> </w:t>
      </w:r>
      <w:r>
        <w:rPr>
          <w:rFonts w:ascii="Arial" w:hAnsi="Arial" w:cs="Arial"/>
        </w:rPr>
        <w:t xml:space="preserve">disposiciones establecidas en la </w:t>
      </w:r>
      <w:r w:rsidRPr="00735B67">
        <w:rPr>
          <w:rFonts w:ascii="Arial" w:hAnsi="Arial" w:cs="Arial"/>
        </w:rPr>
        <w:t>Ley de Coordinaci</w:t>
      </w:r>
      <w:r w:rsidRPr="00735B67">
        <w:rPr>
          <w:rFonts w:ascii="Arial" w:hAnsi="Arial" w:cs="Arial" w:hint="eastAsia"/>
        </w:rPr>
        <w:t>ó</w:t>
      </w:r>
      <w:r w:rsidRPr="00735B67">
        <w:rPr>
          <w:rFonts w:ascii="Arial" w:hAnsi="Arial" w:cs="Arial"/>
        </w:rPr>
        <w:t xml:space="preserve">n Fiscal, la Ley de Disciplina Financiera de </w:t>
      </w:r>
      <w:r>
        <w:rPr>
          <w:rFonts w:ascii="Arial" w:hAnsi="Arial" w:cs="Arial"/>
        </w:rPr>
        <w:t>las Entidades Federativas y los Municipios,</w:t>
      </w:r>
      <w:r w:rsidRPr="00735B67">
        <w:rPr>
          <w:rFonts w:ascii="Arial" w:hAnsi="Arial" w:cs="Arial"/>
        </w:rPr>
        <w:t xml:space="preserve"> la Ley General de Contabilidad Gubernamental y el Convenio de</w:t>
      </w:r>
      <w:r>
        <w:rPr>
          <w:rFonts w:ascii="Arial" w:hAnsi="Arial" w:cs="Arial"/>
        </w:rPr>
        <w:t xml:space="preserve"> </w:t>
      </w:r>
      <w:r w:rsidRPr="00735B67">
        <w:rPr>
          <w:rFonts w:ascii="Arial" w:hAnsi="Arial" w:cs="Arial"/>
        </w:rPr>
        <w:t>Colaboraci</w:t>
      </w:r>
      <w:r w:rsidRPr="00735B67">
        <w:rPr>
          <w:rFonts w:ascii="Arial" w:hAnsi="Arial" w:cs="Arial" w:hint="eastAsia"/>
        </w:rPr>
        <w:t>ó</w:t>
      </w:r>
      <w:r w:rsidRPr="00735B67">
        <w:rPr>
          <w:rFonts w:ascii="Arial" w:hAnsi="Arial" w:cs="Arial"/>
        </w:rPr>
        <w:t>n Administrativa en Materia Fiscal Federal, as</w:t>
      </w:r>
      <w:r w:rsidRPr="00735B67">
        <w:rPr>
          <w:rFonts w:ascii="Arial" w:hAnsi="Arial" w:cs="Arial" w:hint="eastAsia"/>
        </w:rPr>
        <w:t>í</w:t>
      </w:r>
      <w:r w:rsidRPr="00735B67">
        <w:rPr>
          <w:rFonts w:ascii="Arial" w:hAnsi="Arial" w:cs="Arial"/>
        </w:rPr>
        <w:t xml:space="preserve"> como a la </w:t>
      </w:r>
      <w:r>
        <w:rPr>
          <w:rFonts w:ascii="Arial" w:hAnsi="Arial" w:cs="Arial"/>
        </w:rPr>
        <w:lastRenderedPageBreak/>
        <w:t xml:space="preserve">normativa emanada </w:t>
      </w:r>
      <w:r w:rsidRPr="00735B67">
        <w:rPr>
          <w:rFonts w:ascii="Arial" w:hAnsi="Arial" w:cs="Arial"/>
        </w:rPr>
        <w:t>del Consejo Nacional de Armonizaci</w:t>
      </w:r>
      <w:r w:rsidRPr="00735B67">
        <w:rPr>
          <w:rFonts w:ascii="Arial" w:hAnsi="Arial" w:cs="Arial" w:hint="eastAsia"/>
        </w:rPr>
        <w:t>ó</w:t>
      </w:r>
      <w:r w:rsidRPr="00735B67">
        <w:rPr>
          <w:rFonts w:ascii="Arial" w:hAnsi="Arial" w:cs="Arial"/>
        </w:rPr>
        <w:t>n Contable (CONAC).</w:t>
      </w:r>
    </w:p>
    <w:p w:rsidR="0037578E" w:rsidRDefault="0037578E" w:rsidP="0037578E">
      <w:pPr>
        <w:spacing w:line="360" w:lineRule="auto"/>
        <w:ind w:left="-11"/>
        <w:jc w:val="both"/>
        <w:rPr>
          <w:rFonts w:ascii="Arial" w:hAnsi="Arial" w:cs="Arial"/>
        </w:rPr>
      </w:pPr>
    </w:p>
    <w:p w:rsidR="0037578E" w:rsidRDefault="0037578E" w:rsidP="0037578E">
      <w:pPr>
        <w:spacing w:line="360" w:lineRule="auto"/>
        <w:ind w:left="-11"/>
        <w:jc w:val="both"/>
        <w:rPr>
          <w:rFonts w:ascii="Arial" w:hAnsi="Arial" w:cs="Arial"/>
        </w:rPr>
      </w:pPr>
      <w:r>
        <w:rPr>
          <w:rFonts w:ascii="Arial" w:hAnsi="Arial" w:cs="Arial"/>
        </w:rPr>
        <w:t xml:space="preserve">Por lo que, las estrategias a seguir </w:t>
      </w:r>
      <w:r w:rsidR="00404E4A">
        <w:rPr>
          <w:rFonts w:ascii="Arial" w:hAnsi="Arial" w:cs="Arial"/>
        </w:rPr>
        <w:t>son las siguientes</w:t>
      </w:r>
      <w:r>
        <w:rPr>
          <w:rFonts w:ascii="Arial" w:hAnsi="Arial" w:cs="Arial"/>
        </w:rPr>
        <w:t>:</w:t>
      </w:r>
    </w:p>
    <w:p w:rsidR="0037578E" w:rsidRDefault="0037578E" w:rsidP="0037578E">
      <w:pPr>
        <w:spacing w:line="360" w:lineRule="auto"/>
        <w:ind w:left="-11"/>
        <w:jc w:val="both"/>
        <w:rPr>
          <w:rFonts w:ascii="Arial" w:hAnsi="Arial" w:cs="Arial"/>
        </w:rPr>
      </w:pP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Endeudamiento Cero</w:t>
      </w: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No creación de nuevos impuestos</w:t>
      </w: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Finanzas Estatales sanas</w:t>
      </w: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Cumplimiento de la normatividad emitida por el CONAC</w:t>
      </w: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Cumplimiento de los criterios del IMCO</w:t>
      </w: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Transparencia y Rendición de Cuentas</w:t>
      </w: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Simplificación de procesos y gobierno digital</w:t>
      </w: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Integración del Paquete Económico conforme a lo establecido en la Ley de Disciplina Financiera</w:t>
      </w: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Congruencia a los pronósticos de recaudación federal y estatal</w:t>
      </w:r>
    </w:p>
    <w:p w:rsidR="0037578E" w:rsidRDefault="0037578E" w:rsidP="00F36D7A">
      <w:pPr>
        <w:pStyle w:val="Prrafodelista"/>
        <w:numPr>
          <w:ilvl w:val="0"/>
          <w:numId w:val="4"/>
        </w:numPr>
        <w:spacing w:line="360" w:lineRule="auto"/>
        <w:jc w:val="both"/>
        <w:rPr>
          <w:rFonts w:ascii="Arial" w:hAnsi="Arial" w:cs="Arial"/>
        </w:rPr>
      </w:pPr>
      <w:r>
        <w:rPr>
          <w:rFonts w:ascii="Arial" w:hAnsi="Arial" w:cs="Arial"/>
        </w:rPr>
        <w:t>Riesgos fiscales, evolución y perspectivas económicas.</w:t>
      </w:r>
    </w:p>
    <w:p w:rsidR="0037578E" w:rsidRDefault="0037578E" w:rsidP="0037578E">
      <w:pPr>
        <w:spacing w:line="360" w:lineRule="auto"/>
        <w:ind w:left="-11"/>
        <w:jc w:val="both"/>
        <w:rPr>
          <w:rFonts w:ascii="Arial" w:hAnsi="Arial" w:cs="Arial"/>
        </w:rPr>
      </w:pPr>
    </w:p>
    <w:p w:rsidR="00404E4A" w:rsidRDefault="00404E4A" w:rsidP="00404E4A">
      <w:pPr>
        <w:spacing w:line="360" w:lineRule="auto"/>
        <w:ind w:left="-11"/>
        <w:jc w:val="both"/>
        <w:rPr>
          <w:rFonts w:ascii="Arial" w:hAnsi="Arial" w:cs="Arial"/>
        </w:rPr>
      </w:pPr>
      <w:r w:rsidRPr="00710A06">
        <w:rPr>
          <w:rFonts w:ascii="Arial" w:hAnsi="Arial" w:cs="Arial"/>
        </w:rPr>
        <w:t>Un gobierno moderno, capaz y eficiente no puede lograr todo esto sin la colaboración de la ciudadanía y un nuevo modelo de gobernanza fundado en esquemas bien articulados para incorporar las demandas, planteamientos y propuestas de los ciudadanos, así como de otros actores relevantes en la toma de decisiones públicas.</w:t>
      </w:r>
    </w:p>
    <w:p w:rsidR="00B8501C" w:rsidRDefault="00B8501C" w:rsidP="00765750">
      <w:pPr>
        <w:spacing w:line="360" w:lineRule="auto"/>
        <w:ind w:left="-11"/>
        <w:jc w:val="both"/>
        <w:rPr>
          <w:rFonts w:ascii="Arial" w:hAnsi="Arial" w:cs="Arial"/>
        </w:rPr>
      </w:pPr>
    </w:p>
    <w:p w:rsidR="007A5775" w:rsidRDefault="007A5775" w:rsidP="00765750">
      <w:pPr>
        <w:spacing w:line="360" w:lineRule="auto"/>
        <w:ind w:left="-11"/>
        <w:jc w:val="both"/>
        <w:rPr>
          <w:rFonts w:ascii="Arial" w:hAnsi="Arial" w:cs="Arial"/>
        </w:rPr>
      </w:pPr>
    </w:p>
    <w:p w:rsidR="00B8501C" w:rsidRPr="00B8501C" w:rsidRDefault="00B8501C" w:rsidP="00F36D7A">
      <w:pPr>
        <w:pStyle w:val="Prrafodelista"/>
        <w:numPr>
          <w:ilvl w:val="0"/>
          <w:numId w:val="15"/>
        </w:numPr>
        <w:spacing w:line="360" w:lineRule="auto"/>
        <w:ind w:left="567" w:hanging="578"/>
        <w:jc w:val="both"/>
        <w:rPr>
          <w:rFonts w:ascii="Arial" w:hAnsi="Arial" w:cs="Arial"/>
          <w:b/>
        </w:rPr>
      </w:pPr>
      <w:r w:rsidRPr="00B8501C">
        <w:rPr>
          <w:rFonts w:ascii="Arial" w:hAnsi="Arial" w:cs="Arial"/>
          <w:b/>
        </w:rPr>
        <w:lastRenderedPageBreak/>
        <w:t>EN MATERIA DE EGRESOS</w:t>
      </w:r>
    </w:p>
    <w:p w:rsidR="00B8501C" w:rsidRDefault="00B8501C" w:rsidP="00765750">
      <w:pPr>
        <w:spacing w:line="360" w:lineRule="auto"/>
        <w:ind w:left="-11"/>
        <w:jc w:val="both"/>
        <w:rPr>
          <w:rFonts w:ascii="Arial" w:hAnsi="Arial" w:cs="Arial"/>
        </w:rPr>
      </w:pPr>
    </w:p>
    <w:p w:rsidR="00B8501C" w:rsidRPr="007F5A62" w:rsidRDefault="00B8501C" w:rsidP="00765750">
      <w:pPr>
        <w:spacing w:line="360" w:lineRule="auto"/>
        <w:jc w:val="both"/>
        <w:rPr>
          <w:rFonts w:ascii="Arial" w:eastAsia="Calibri" w:hAnsi="Arial" w:cs="Arial"/>
          <w:b/>
        </w:rPr>
      </w:pPr>
      <w:r w:rsidRPr="007F5A62">
        <w:rPr>
          <w:rFonts w:ascii="Arial" w:eastAsia="Calibri" w:hAnsi="Arial" w:cs="Arial"/>
          <w:b/>
        </w:rPr>
        <w:t>CONSIDERACIONES GENERALES</w:t>
      </w:r>
    </w:p>
    <w:p w:rsidR="00765750"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El Presupuesto de Egresos es un instrumento jurídico elemental que tras una debida alineación conforme a las prioridades y estrategias contenidas en el Plan Estatal de Desarrollo 2017-2021, y en observancia a las disposiciones jurídicas, posibilita durante el ejercicio fiscal a través de la asignación de recursos, la consecución de programas y acciones basados en las políticas públicas diseñadas con la finalidad de coadyuvar en la consolidación de un Estado desarrollado económica y socialmente, que permita aprovechar sus ventajas competitivas para la promoción de mayores oportunidades, buscando un desarrollo ordenado y sostenible, y con ello mejorar la calidad de vida de los tlaxcaltecas</w:t>
      </w:r>
      <w:r>
        <w:rPr>
          <w:rFonts w:ascii="Arial" w:eastAsia="Calibri" w:hAnsi="Arial" w:cs="Arial"/>
        </w:rPr>
        <w:t>,</w:t>
      </w:r>
      <w:r w:rsidRPr="007F5A62">
        <w:rPr>
          <w:rFonts w:ascii="Arial" w:eastAsia="Calibri" w:hAnsi="Arial" w:cs="Arial"/>
        </w:rPr>
        <w:t xml:space="preserve"> en un entorno de paz y seguridad.</w:t>
      </w:r>
    </w:p>
    <w:p w:rsidR="00765750"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El Proyecto de Presupuesto de Egresos del Estado de Tlaxcala para el Ejercicio Fiscal 2019, contempla las erogaciones por concepto de gasto corriente e inversión de los Poderes Legislativo y Judicial, de las Dependencias y Entidades del Ejecutivo, de los Organismos Autónomos y de los Municipios</w:t>
      </w:r>
      <w:r>
        <w:rPr>
          <w:rFonts w:ascii="Arial" w:eastAsia="Calibri" w:hAnsi="Arial" w:cs="Arial"/>
        </w:rPr>
        <w:t>,</w:t>
      </w:r>
      <w:r w:rsidRPr="007F5A62">
        <w:rPr>
          <w:rFonts w:ascii="Arial" w:eastAsia="Calibri" w:hAnsi="Arial" w:cs="Arial"/>
        </w:rPr>
        <w:t xml:space="preserve"> únicamente en los que respecta al Fondo Estatal Participable y las Aportaciones del Ramo General 33.</w:t>
      </w:r>
    </w:p>
    <w:p w:rsidR="00765750"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lastRenderedPageBreak/>
        <w:t>El Paquete Económico Estatal para 2019 puesto a consideración del Congreso del Estado, refleja el compromiso del Ejecutivo de manejar con responsabilidad las finanzas públicas promoviendo la estabilidad económica.</w:t>
      </w: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Con la finalidad de seguir en la trayectoria de consolidación fiscal, el Gobierno del Estado propone la aplicación de acciones que permitan generar ahorros en el gasto público, tales como; la contención del gasto en servicios personales; la reducción en gastos operativos y el uso adecuado de materiales y suministros, entre otros.</w:t>
      </w:r>
    </w:p>
    <w:p w:rsidR="00765750"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En este tenor, la presente administración ha realizado la labor de integrar un Proyecto de Presupuesto de Egresos para el Ejercicio Fiscal 2019</w:t>
      </w:r>
      <w:r>
        <w:rPr>
          <w:rFonts w:ascii="Arial" w:eastAsia="Calibri" w:hAnsi="Arial" w:cs="Arial"/>
        </w:rPr>
        <w:t>,</w:t>
      </w:r>
      <w:r w:rsidRPr="007F5A62">
        <w:rPr>
          <w:rFonts w:ascii="Arial" w:eastAsia="Calibri" w:hAnsi="Arial" w:cs="Arial"/>
        </w:rPr>
        <w:t xml:space="preserve"> contribuyendo a un balance presupuestario sostenible, previendo una asignación de recursos públicos por una cantidad igual a la </w:t>
      </w:r>
      <w:r>
        <w:rPr>
          <w:rFonts w:ascii="Arial" w:eastAsia="Calibri" w:hAnsi="Arial" w:cs="Arial"/>
        </w:rPr>
        <w:t xml:space="preserve">contemplada </w:t>
      </w:r>
      <w:r w:rsidRPr="007F5A62">
        <w:rPr>
          <w:rFonts w:ascii="Arial" w:eastAsia="Calibri" w:hAnsi="Arial" w:cs="Arial"/>
        </w:rPr>
        <w:t xml:space="preserve">en la Iniciativa </w:t>
      </w:r>
      <w:r>
        <w:rPr>
          <w:rFonts w:ascii="Arial" w:eastAsia="Calibri" w:hAnsi="Arial" w:cs="Arial"/>
        </w:rPr>
        <w:t xml:space="preserve">del </w:t>
      </w:r>
      <w:r w:rsidRPr="007F5A62">
        <w:rPr>
          <w:rFonts w:ascii="Arial" w:eastAsia="Calibri" w:hAnsi="Arial" w:cs="Arial"/>
        </w:rPr>
        <w:t>Proyecto de</w:t>
      </w:r>
      <w:r>
        <w:rPr>
          <w:rFonts w:ascii="Arial" w:eastAsia="Calibri" w:hAnsi="Arial" w:cs="Arial"/>
        </w:rPr>
        <w:t xml:space="preserve"> la</w:t>
      </w:r>
      <w:r w:rsidRPr="007F5A62">
        <w:rPr>
          <w:rFonts w:ascii="Arial" w:eastAsia="Calibri" w:hAnsi="Arial" w:cs="Arial"/>
        </w:rPr>
        <w:t xml:space="preserve"> Ley de Ingresos del Estado de Tlaxcala</w:t>
      </w:r>
      <w:r>
        <w:rPr>
          <w:rFonts w:ascii="Arial" w:eastAsia="Calibri" w:hAnsi="Arial" w:cs="Arial"/>
        </w:rPr>
        <w:t>, conforme a lo establecido en los “Pre-Criterios 2019”, publicados por la Secretaria   de Hacienda y Crédito Público,</w:t>
      </w:r>
      <w:r w:rsidRPr="007F5A62">
        <w:rPr>
          <w:rFonts w:ascii="Arial" w:eastAsia="Calibri" w:hAnsi="Arial" w:cs="Arial"/>
        </w:rPr>
        <w:t xml:space="preserve"> considerán</w:t>
      </w:r>
      <w:r>
        <w:rPr>
          <w:rFonts w:ascii="Arial" w:eastAsia="Calibri" w:hAnsi="Arial" w:cs="Arial"/>
        </w:rPr>
        <w:t>dose</w:t>
      </w:r>
      <w:r w:rsidRPr="007F5A62">
        <w:rPr>
          <w:rFonts w:ascii="Arial" w:eastAsia="Calibri" w:hAnsi="Arial" w:cs="Arial"/>
        </w:rPr>
        <w:t xml:space="preserve"> un marco macroeconómico con estimaciones realistas y prudentes para las variables clave que determinan las finanzas públicas.</w:t>
      </w:r>
    </w:p>
    <w:p w:rsidR="00765750" w:rsidRDefault="00765750" w:rsidP="00765750">
      <w:pPr>
        <w:spacing w:line="360" w:lineRule="auto"/>
        <w:jc w:val="both"/>
        <w:rPr>
          <w:rFonts w:ascii="Arial" w:hAnsi="Arial" w:cs="Arial"/>
          <w:iCs/>
        </w:rPr>
      </w:pPr>
    </w:p>
    <w:p w:rsidR="00B8501C" w:rsidRPr="007F5A62" w:rsidRDefault="00B8501C" w:rsidP="00765750">
      <w:pPr>
        <w:spacing w:line="360" w:lineRule="auto"/>
        <w:jc w:val="both"/>
        <w:rPr>
          <w:rFonts w:ascii="Arial" w:hAnsi="Arial" w:cs="Arial"/>
          <w:lang w:val="es-ES_tradnl"/>
        </w:rPr>
      </w:pPr>
      <w:r w:rsidRPr="007F5A62">
        <w:rPr>
          <w:rFonts w:ascii="Arial" w:hAnsi="Arial" w:cs="Arial"/>
          <w:iCs/>
        </w:rPr>
        <w:t xml:space="preserve">Por otra parte, los servidores públicos al servicio del Gobierno del Estado, observarán su actuación con estricto apego a la ley, ética, honestidad, transparencia total y rendición de cuentas, </w:t>
      </w:r>
      <w:r w:rsidRPr="007F5A62">
        <w:rPr>
          <w:rFonts w:ascii="Arial" w:hAnsi="Arial" w:cs="Arial"/>
          <w:lang w:val="es-ES_tradnl"/>
        </w:rPr>
        <w:t xml:space="preserve">transparentando el origen y la aplicación de los recursos públicos, que permita rendir cuentas claras a la </w:t>
      </w:r>
      <w:r w:rsidRPr="007F5A62">
        <w:rPr>
          <w:rFonts w:ascii="Arial" w:hAnsi="Arial" w:cs="Arial"/>
          <w:lang w:val="es-ES_tradnl"/>
        </w:rPr>
        <w:lastRenderedPageBreak/>
        <w:t xml:space="preserve">sociedad tlaxcalteca, ya que la fiscalización superior es uno de los ejes más importantes de la política anticorrupción. </w:t>
      </w:r>
    </w:p>
    <w:p w:rsidR="00B8501C" w:rsidRPr="007F5A62" w:rsidRDefault="00B8501C" w:rsidP="00765750">
      <w:pPr>
        <w:spacing w:line="360" w:lineRule="auto"/>
        <w:jc w:val="both"/>
        <w:rPr>
          <w:rFonts w:ascii="Arial" w:hAnsi="Arial" w:cs="Arial"/>
          <w:iCs/>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El Proyecto de Presupuesto de Egresos 2019 que se somete a consideración de esta Legislatura, busca con acciones concretas multiplicar y sumar esfuerzos para elevar la calidad de vida de la población, mediante la implementación de acciones para abatir la pobreza y desigualdad, otorgando un mayor impulso a los rubros de salud, educación, empleo y seguridad pública.</w:t>
      </w:r>
    </w:p>
    <w:p w:rsidR="00765750"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El Paquete Económico 2019 del Estado de Tlaxcala se presenta bajo un escenario en el que la actividad económica crece a una tasa mayor a la esperada a principios de año a pesar de un entorno externo complejo. Las expectativas económicas para el cierre del año han mejorado y son alentadoras, resultado del desempeño favorable del mercado interno, la reactivación de la demanda externa y una mayor confianza sobre la solidez de la relación con nuestro principal socio comercial. La información disponible conduce a incrementar la estimación de crecimiento económico para 2018 de un rango entre 2.0 y 3.0 por ciento a un rango que va de 2.5 a 3.5 por ciento, consistente con las expectativas del sector privado para 2019.</w:t>
      </w:r>
    </w:p>
    <w:p w:rsidR="00765750"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 xml:space="preserve">Una economía flexible, apalancada en la implementación de las Reformas Estructurales a nivel Federal y la aplicación oportuna de medidas fiscales responsables han permitido al país adaptarse y remontar choques negativos </w:t>
      </w:r>
      <w:r w:rsidRPr="007F5A62">
        <w:rPr>
          <w:rFonts w:ascii="Arial" w:eastAsia="Calibri" w:hAnsi="Arial" w:cs="Arial"/>
        </w:rPr>
        <w:lastRenderedPageBreak/>
        <w:t>provenientes del exterior, que ha sido reconocida por analistas e inversionistas.</w:t>
      </w:r>
    </w:p>
    <w:p w:rsidR="00765750"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La evolución de las cifras de finanzas públicas permite anticipar el cumplimiento de las metas fiscales para este año sin hacer uso de los recursos provenientes del Remanente de Operación del Banco de México (ROBM). Las estimaciones para el cierre del año muestran Requerimientos Financieros del Sector Público (RFSP) de 2.5 por ciento del Producto Interno Bruto (PIB), sin incluir los ingresos por concepto del ROBM y 1.6 por ciento del PIB al considerarlo. Esta última cifra implica una mejora de 1.6 puntos porcentuales con respecto al observado en 2017. Dichas estimaciones son consistentes con un Saldo Histórico de los RFSP (SHRFSP) al cierre de 2018 de 45.5 por ciento y 45.2 por ciento como proporción del PIB, respectivamente. Ambas proyecciones son menores a la cifra de cierre de 2017, igual a 45.0 por ciento. Se estima que este año se obtendrá un superávit primario, el primero desde 2008 y equivalente a 0.9 por ciento del PIB sin el ROBM y 1.9 por ciento del PIB al incluirlo.</w:t>
      </w:r>
    </w:p>
    <w:p w:rsidR="00765750"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Las referidas Reformas Estructurales han complementado la conducción responsable de la política económica y ayudan a explicar el desempeño positivo que ha experimentado la economía de nuestro país en un entorno externo tan complejo, ya que detonan inversiones, fomentan la productividad y la competitividad y generan una estructura económica más flexible para enfrentar retos internos y externos.</w:t>
      </w: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lastRenderedPageBreak/>
        <w:t xml:space="preserve">En este contexto, la integración de la Iniciativa con Proyecto de Decreto de Presupuesto de Egresos del Estado de Tlaxcala para el Ejercicio Fiscal 2019 atiende el principio de equilibrio presupuestal entre los ingresos y egresos, tomando en cuenta los </w:t>
      </w:r>
      <w:r>
        <w:rPr>
          <w:rFonts w:ascii="Arial" w:eastAsia="Calibri" w:hAnsi="Arial" w:cs="Arial"/>
        </w:rPr>
        <w:t>“Pre-</w:t>
      </w:r>
      <w:r w:rsidRPr="007F5A62">
        <w:rPr>
          <w:rFonts w:ascii="Arial" w:eastAsia="Calibri" w:hAnsi="Arial" w:cs="Arial"/>
        </w:rPr>
        <w:t>Criterios</w:t>
      </w:r>
      <w:r>
        <w:rPr>
          <w:rFonts w:ascii="Arial" w:eastAsia="Calibri" w:hAnsi="Arial" w:cs="Arial"/>
        </w:rPr>
        <w:t xml:space="preserve"> 2</w:t>
      </w:r>
      <w:r w:rsidR="007A5775">
        <w:rPr>
          <w:rFonts w:ascii="Arial" w:eastAsia="Calibri" w:hAnsi="Arial" w:cs="Arial"/>
        </w:rPr>
        <w:t>019” publicados por la Secretarí</w:t>
      </w:r>
      <w:r>
        <w:rPr>
          <w:rFonts w:ascii="Arial" w:eastAsia="Calibri" w:hAnsi="Arial" w:cs="Arial"/>
        </w:rPr>
        <w:t>a de Hacienda y Crédito Público</w:t>
      </w:r>
      <w:r w:rsidRPr="007F5A62">
        <w:rPr>
          <w:rFonts w:ascii="Arial" w:eastAsia="Calibri" w:hAnsi="Arial" w:cs="Arial"/>
        </w:rPr>
        <w:t xml:space="preserve">, </w:t>
      </w:r>
      <w:r>
        <w:rPr>
          <w:rFonts w:ascii="Arial" w:eastAsia="Calibri" w:hAnsi="Arial" w:cs="Arial"/>
        </w:rPr>
        <w:t>considera</w:t>
      </w:r>
      <w:r w:rsidRPr="007F5A62">
        <w:rPr>
          <w:rFonts w:ascii="Arial" w:eastAsia="Calibri" w:hAnsi="Arial" w:cs="Arial"/>
        </w:rPr>
        <w:t xml:space="preserve"> un crecimiento económico real estimado entre 2.5 y 3.5% para 2019; una inflación esperada de 3.0%; un tipo de cambio promedio de 18.40 pesos por dólar y un precio del petróleo de la mezcla mexicana de exportación promedio de 51 dólares por barril (dpb), para efectos de estimación de la Ley de Ingresos de la Federación para el ejercicio fiscal 2019.  </w:t>
      </w:r>
    </w:p>
    <w:p w:rsidR="00AF6BAD" w:rsidRDefault="00AF6BAD" w:rsidP="00765750">
      <w:pPr>
        <w:spacing w:line="360" w:lineRule="auto"/>
        <w:jc w:val="both"/>
        <w:rPr>
          <w:rFonts w:ascii="Arial" w:eastAsia="Calibri" w:hAnsi="Arial" w:cs="Arial"/>
          <w:b/>
        </w:rPr>
      </w:pPr>
    </w:p>
    <w:p w:rsidR="00B8501C" w:rsidRPr="007F5A62" w:rsidRDefault="00B8501C" w:rsidP="00765750">
      <w:pPr>
        <w:spacing w:line="360" w:lineRule="auto"/>
        <w:jc w:val="both"/>
        <w:rPr>
          <w:rFonts w:ascii="Arial" w:eastAsia="Calibri" w:hAnsi="Arial" w:cs="Arial"/>
          <w:b/>
        </w:rPr>
      </w:pPr>
      <w:r w:rsidRPr="007F5A62">
        <w:rPr>
          <w:rFonts w:ascii="Arial" w:eastAsia="Calibri" w:hAnsi="Arial" w:cs="Arial"/>
          <w:b/>
        </w:rPr>
        <w:t>ENTORNO INTERNACIONAL</w:t>
      </w:r>
    </w:p>
    <w:p w:rsidR="00765750" w:rsidRDefault="00765750" w:rsidP="00765750">
      <w:pPr>
        <w:spacing w:line="360" w:lineRule="auto"/>
        <w:jc w:val="both"/>
        <w:rPr>
          <w:rFonts w:ascii="Arial" w:hAnsi="Arial" w:cs="Arial"/>
          <w:iCs/>
        </w:rPr>
      </w:pPr>
    </w:p>
    <w:p w:rsidR="00B8501C" w:rsidRPr="007F5A62" w:rsidRDefault="00B8501C" w:rsidP="00765750">
      <w:pPr>
        <w:spacing w:line="360" w:lineRule="auto"/>
        <w:jc w:val="both"/>
        <w:rPr>
          <w:rFonts w:ascii="Arial" w:hAnsi="Arial" w:cs="Arial"/>
          <w:iCs/>
        </w:rPr>
      </w:pPr>
      <w:r w:rsidRPr="007F5A62">
        <w:rPr>
          <w:rFonts w:ascii="Arial" w:hAnsi="Arial" w:cs="Arial"/>
          <w:iCs/>
        </w:rPr>
        <w:t>De acuerdo con el Fondo Monetario Internacional (FMI), se espera que el crecimiento global se mantenga en 2018 y 2019. En particular, se anticipa que la economía global sea de 3.7 por ciento. En su actualización de julio a los pronósticos de crecimiento de la economía mundial, el FMI realizó una revisión al desempeño esperado de las economías avanzadas y emergentes en 2018 y 2019 que no implicó modificaciones a las expectativas globales de crecimiento para dichos años presentadas en abril (World Economic Outlook). El panorama global indica que los riesgos para el crecimiento económico mundial parecen estar balanceados en el corto plazo, pero permanecen inclinados a la baja en el mediano plazo.</w:t>
      </w:r>
    </w:p>
    <w:p w:rsidR="00B8501C" w:rsidRPr="007F5A62" w:rsidRDefault="00B8501C" w:rsidP="00765750">
      <w:pPr>
        <w:spacing w:line="360" w:lineRule="auto"/>
        <w:jc w:val="both"/>
        <w:rPr>
          <w:rFonts w:ascii="Arial" w:hAnsi="Arial" w:cs="Arial"/>
          <w:iCs/>
        </w:rPr>
      </w:pPr>
      <w:r w:rsidRPr="007F5A62">
        <w:rPr>
          <w:rFonts w:ascii="Arial" w:hAnsi="Arial" w:cs="Arial"/>
          <w:iCs/>
        </w:rPr>
        <w:lastRenderedPageBreak/>
        <w:t>Para 2019 se espera que las economías avanzadas bajen su ritmo de crecimiento respecto a 2018 La expectativa de crecimiento en 2018 y 2019 para Estados Unidos se redujo, principalmente anticipando que la política fiscal en aquel país sea menos expansiva de lo que se asumía anteriormente. Por otro lado, la actividad de crecimiento de Reino Unido en el primer trimestre del 2018 creci</w:t>
      </w:r>
      <w:r>
        <w:rPr>
          <w:rFonts w:ascii="Arial" w:hAnsi="Arial" w:cs="Arial"/>
          <w:iCs/>
        </w:rPr>
        <w:t>ó</w:t>
      </w:r>
      <w:r w:rsidRPr="007F5A62">
        <w:rPr>
          <w:rFonts w:ascii="Arial" w:hAnsi="Arial" w:cs="Arial"/>
          <w:iCs/>
        </w:rPr>
        <w:t xml:space="preserve"> 1.4 </w:t>
      </w:r>
      <w:r>
        <w:rPr>
          <w:rFonts w:ascii="Arial" w:hAnsi="Arial" w:cs="Arial"/>
          <w:iCs/>
        </w:rPr>
        <w:t>%</w:t>
      </w:r>
      <w:r w:rsidRPr="007F5A62">
        <w:rPr>
          <w:rFonts w:ascii="Arial" w:hAnsi="Arial" w:cs="Arial"/>
          <w:iCs/>
        </w:rPr>
        <w:t xml:space="preserve"> con una expectativa de 1.5 pp. En contraste, para la mayoría de las economías de la Zona del Euro los pronósticos fueron revisados a la baja de 1.0 </w:t>
      </w:r>
      <w:r>
        <w:rPr>
          <w:rFonts w:ascii="Arial" w:hAnsi="Arial" w:cs="Arial"/>
          <w:iCs/>
        </w:rPr>
        <w:t>%</w:t>
      </w:r>
      <w:r w:rsidRPr="007F5A62">
        <w:rPr>
          <w:rFonts w:ascii="Arial" w:hAnsi="Arial" w:cs="Arial"/>
          <w:iCs/>
        </w:rPr>
        <w:t xml:space="preserve">, reflejando un desempeño de la demanda interna. </w:t>
      </w:r>
    </w:p>
    <w:p w:rsidR="00765750" w:rsidRDefault="00765750" w:rsidP="00765750">
      <w:pPr>
        <w:spacing w:line="360" w:lineRule="auto"/>
        <w:jc w:val="both"/>
        <w:rPr>
          <w:rFonts w:ascii="Arial" w:hAnsi="Arial" w:cs="Arial"/>
          <w:iCs/>
        </w:rPr>
      </w:pPr>
    </w:p>
    <w:p w:rsidR="00B8501C" w:rsidRDefault="00B8501C" w:rsidP="00765750">
      <w:pPr>
        <w:spacing w:line="360" w:lineRule="auto"/>
        <w:jc w:val="both"/>
        <w:rPr>
          <w:rFonts w:ascii="Arial" w:hAnsi="Arial" w:cs="Arial"/>
          <w:iCs/>
        </w:rPr>
      </w:pPr>
      <w:r w:rsidRPr="007F5A62">
        <w:rPr>
          <w:rFonts w:ascii="Arial" w:hAnsi="Arial" w:cs="Arial"/>
          <w:iCs/>
        </w:rPr>
        <w:t xml:space="preserve">En este contexto, el pronóstico de crecimiento de las economías emergentes se mantiene en su crecimiento para ambos años. En particular, se anticipa que el ritmo de la actividad económica de </w:t>
      </w:r>
      <w:r>
        <w:rPr>
          <w:rFonts w:ascii="Arial" w:hAnsi="Arial" w:cs="Arial"/>
          <w:iCs/>
        </w:rPr>
        <w:t>C</w:t>
      </w:r>
      <w:r w:rsidRPr="007F5A62">
        <w:rPr>
          <w:rFonts w:ascii="Arial" w:hAnsi="Arial" w:cs="Arial"/>
          <w:iCs/>
        </w:rPr>
        <w:t xml:space="preserve">hina va a la baja por una diferencia de 4.00 p.p., e India incrementa 1.0 </w:t>
      </w:r>
      <w:r>
        <w:rPr>
          <w:rFonts w:ascii="Arial" w:hAnsi="Arial" w:cs="Arial"/>
          <w:iCs/>
        </w:rPr>
        <w:t>%</w:t>
      </w:r>
      <w:r w:rsidRPr="007F5A62">
        <w:rPr>
          <w:rFonts w:ascii="Arial" w:hAnsi="Arial" w:cs="Arial"/>
          <w:iCs/>
        </w:rPr>
        <w:t xml:space="preserve"> de crecimiento.</w:t>
      </w:r>
      <w:r w:rsidR="00765750">
        <w:rPr>
          <w:rFonts w:ascii="Arial" w:hAnsi="Arial" w:cs="Arial"/>
          <w:iCs/>
        </w:rPr>
        <w:t xml:space="preserve"> </w:t>
      </w:r>
      <w:r w:rsidRPr="007F5A62">
        <w:rPr>
          <w:rFonts w:ascii="Arial" w:hAnsi="Arial" w:cs="Arial"/>
          <w:iCs/>
        </w:rPr>
        <w:t xml:space="preserve">En Latinoamérica se recupere gradualmente con Brasil y México alcanzando el final de sus periodos de recesión. El FMI estima que las economías emergentes pasen de crecer a un ritmo anual de 2.1 </w:t>
      </w:r>
      <w:r>
        <w:rPr>
          <w:rFonts w:ascii="Arial" w:hAnsi="Arial" w:cs="Arial"/>
          <w:iCs/>
        </w:rPr>
        <w:t>%</w:t>
      </w:r>
      <w:r w:rsidRPr="007F5A62">
        <w:rPr>
          <w:rFonts w:ascii="Arial" w:hAnsi="Arial" w:cs="Arial"/>
          <w:iCs/>
        </w:rPr>
        <w:t xml:space="preserve"> en 2017 a 2.2 </w:t>
      </w:r>
      <w:r>
        <w:rPr>
          <w:rFonts w:ascii="Arial" w:hAnsi="Arial" w:cs="Arial"/>
          <w:iCs/>
        </w:rPr>
        <w:t>%</w:t>
      </w:r>
      <w:r w:rsidRPr="007F5A62">
        <w:rPr>
          <w:rFonts w:ascii="Arial" w:hAnsi="Arial" w:cs="Arial"/>
          <w:iCs/>
        </w:rPr>
        <w:t xml:space="preserve"> en 2018 y 2.5 </w:t>
      </w:r>
      <w:r>
        <w:rPr>
          <w:rFonts w:ascii="Arial" w:hAnsi="Arial" w:cs="Arial"/>
          <w:iCs/>
        </w:rPr>
        <w:t>%</w:t>
      </w:r>
      <w:r w:rsidRPr="007F5A62">
        <w:rPr>
          <w:rFonts w:ascii="Arial" w:hAnsi="Arial" w:cs="Arial"/>
          <w:iCs/>
        </w:rPr>
        <w:t xml:space="preserve"> en 2019.</w:t>
      </w:r>
    </w:p>
    <w:p w:rsidR="00765750" w:rsidRPr="007F5A62" w:rsidRDefault="00765750" w:rsidP="00765750">
      <w:pPr>
        <w:spacing w:line="360" w:lineRule="auto"/>
        <w:jc w:val="both"/>
        <w:rPr>
          <w:rFonts w:ascii="Arial" w:hAnsi="Arial" w:cs="Arial"/>
          <w:iCs/>
        </w:rPr>
      </w:pPr>
    </w:p>
    <w:p w:rsidR="00B8501C" w:rsidRDefault="00B8501C" w:rsidP="00765750">
      <w:pPr>
        <w:spacing w:line="360" w:lineRule="auto"/>
        <w:jc w:val="both"/>
        <w:rPr>
          <w:rFonts w:ascii="Arial" w:hAnsi="Arial" w:cs="Arial"/>
          <w:iCs/>
        </w:rPr>
      </w:pPr>
      <w:r w:rsidRPr="007F5A62">
        <w:rPr>
          <w:rFonts w:ascii="Arial" w:hAnsi="Arial" w:cs="Arial"/>
          <w:iCs/>
        </w:rPr>
        <w:t>El escenario macroeconómico de mediano plazo está sujeto a riesgos que podrían modificar las trayectorias anticipadas. Dentro de los riesgos a la baja destacan:</w:t>
      </w:r>
    </w:p>
    <w:p w:rsidR="00765750" w:rsidRPr="007F5A62" w:rsidRDefault="00765750" w:rsidP="00765750">
      <w:pPr>
        <w:spacing w:line="360" w:lineRule="auto"/>
        <w:jc w:val="both"/>
        <w:rPr>
          <w:rFonts w:ascii="Arial" w:hAnsi="Arial" w:cs="Arial"/>
          <w:iCs/>
        </w:rPr>
      </w:pPr>
    </w:p>
    <w:p w:rsidR="00B8501C" w:rsidRDefault="00B8501C" w:rsidP="00F36D7A">
      <w:pPr>
        <w:numPr>
          <w:ilvl w:val="0"/>
          <w:numId w:val="20"/>
        </w:numPr>
        <w:spacing w:line="360" w:lineRule="auto"/>
        <w:jc w:val="both"/>
        <w:rPr>
          <w:rFonts w:ascii="Arial" w:hAnsi="Arial" w:cs="Arial"/>
          <w:iCs/>
        </w:rPr>
      </w:pPr>
      <w:r w:rsidRPr="007F5A62">
        <w:rPr>
          <w:rFonts w:ascii="Arial" w:hAnsi="Arial" w:cs="Arial"/>
          <w:iCs/>
        </w:rPr>
        <w:lastRenderedPageBreak/>
        <w:t>Resultado no favorable en la renegociación del Tratado de Libre Comercio de América el Norte (TLCAN). En caso de que al término de las rondas de negociación los intereses de México se vean afectados o de materializarse la salida de Estados Unidos del acuerdo, el resultado se reflejaría en una desaceleración del comercio y los flujos de inversión en sectores clave de la economía.</w:t>
      </w:r>
    </w:p>
    <w:p w:rsidR="00765750" w:rsidRPr="007F5A62" w:rsidRDefault="00765750" w:rsidP="00765750">
      <w:pPr>
        <w:spacing w:line="360" w:lineRule="auto"/>
        <w:ind w:left="720"/>
        <w:jc w:val="both"/>
        <w:rPr>
          <w:rFonts w:ascii="Arial" w:hAnsi="Arial" w:cs="Arial"/>
          <w:iCs/>
        </w:rPr>
      </w:pPr>
    </w:p>
    <w:p w:rsidR="00B8501C" w:rsidRDefault="00B8501C" w:rsidP="00F36D7A">
      <w:pPr>
        <w:numPr>
          <w:ilvl w:val="0"/>
          <w:numId w:val="20"/>
        </w:numPr>
        <w:spacing w:line="360" w:lineRule="auto"/>
        <w:jc w:val="both"/>
        <w:rPr>
          <w:rFonts w:ascii="Arial" w:hAnsi="Arial" w:cs="Arial"/>
          <w:iCs/>
        </w:rPr>
      </w:pPr>
      <w:r w:rsidRPr="007F5A62">
        <w:rPr>
          <w:rFonts w:ascii="Arial" w:hAnsi="Arial" w:cs="Arial"/>
          <w:iCs/>
        </w:rPr>
        <w:t>Un crecimiento económico de Estados Unidos menor que el previsto. En caso de materializarse un menor crecimiento de esa economía, las exportaciones de México aumentarían a tasas menores que las proyectadas.</w:t>
      </w:r>
    </w:p>
    <w:p w:rsidR="00765750" w:rsidRDefault="00765750" w:rsidP="00765750">
      <w:pPr>
        <w:pStyle w:val="Prrafodelista"/>
        <w:rPr>
          <w:rFonts w:ascii="Arial" w:hAnsi="Arial" w:cs="Arial"/>
          <w:iCs/>
        </w:rPr>
      </w:pPr>
    </w:p>
    <w:p w:rsidR="00B8501C" w:rsidRDefault="00B8501C" w:rsidP="00F36D7A">
      <w:pPr>
        <w:numPr>
          <w:ilvl w:val="0"/>
          <w:numId w:val="20"/>
        </w:numPr>
        <w:spacing w:line="360" w:lineRule="auto"/>
        <w:jc w:val="both"/>
        <w:rPr>
          <w:rFonts w:ascii="Arial" w:hAnsi="Arial" w:cs="Arial"/>
          <w:iCs/>
        </w:rPr>
      </w:pPr>
      <w:r w:rsidRPr="007F5A62">
        <w:rPr>
          <w:rFonts w:ascii="Arial" w:hAnsi="Arial" w:cs="Arial"/>
          <w:iCs/>
        </w:rPr>
        <w:t>Condiciones en los mercados financieros internacionales menos favorables. Este fenómeno se traduciría en condiciones más restrictivas de financiamiento para los sectores público y privado del país, y en un deterioro en la confianza de consumidores y empresas.</w:t>
      </w:r>
    </w:p>
    <w:p w:rsidR="00765750" w:rsidRDefault="00765750" w:rsidP="00765750">
      <w:pPr>
        <w:pStyle w:val="Prrafodelista"/>
        <w:rPr>
          <w:rFonts w:ascii="Arial" w:hAnsi="Arial" w:cs="Arial"/>
          <w:iCs/>
        </w:rPr>
      </w:pPr>
    </w:p>
    <w:p w:rsidR="00B8501C" w:rsidRPr="007F5A62" w:rsidRDefault="00B8501C" w:rsidP="00F36D7A">
      <w:pPr>
        <w:numPr>
          <w:ilvl w:val="0"/>
          <w:numId w:val="20"/>
        </w:numPr>
        <w:spacing w:line="360" w:lineRule="auto"/>
        <w:jc w:val="both"/>
        <w:rPr>
          <w:rFonts w:ascii="Arial" w:hAnsi="Arial" w:cs="Arial"/>
          <w:iCs/>
        </w:rPr>
      </w:pPr>
      <w:r w:rsidRPr="007F5A62">
        <w:rPr>
          <w:rFonts w:ascii="Arial" w:hAnsi="Arial" w:cs="Arial"/>
          <w:iCs/>
        </w:rPr>
        <w:t>Precios internacionales del petróleo deprimidos o un bajo dinamismo de la plataforma de producción de petróleo. Esta situación afectaría adversamente el nivel de ingresos petroleros, generando presiones a las finanzas públicas en el mediano plazo, así como a la tasa de crecimiento potencial de la economía.</w:t>
      </w:r>
    </w:p>
    <w:p w:rsidR="00AF6BAD" w:rsidRDefault="00AF6BAD" w:rsidP="00765750">
      <w:pPr>
        <w:spacing w:line="360" w:lineRule="auto"/>
        <w:jc w:val="both"/>
        <w:rPr>
          <w:rFonts w:ascii="Arial" w:eastAsia="Calibri" w:hAnsi="Arial" w:cs="Arial"/>
          <w:b/>
        </w:rPr>
      </w:pPr>
    </w:p>
    <w:p w:rsidR="00765750" w:rsidRDefault="00765750" w:rsidP="00765750">
      <w:pPr>
        <w:spacing w:line="360" w:lineRule="auto"/>
        <w:jc w:val="both"/>
        <w:rPr>
          <w:rFonts w:ascii="Arial" w:eastAsia="Calibri" w:hAnsi="Arial" w:cs="Arial"/>
          <w:b/>
        </w:rPr>
      </w:pPr>
    </w:p>
    <w:p w:rsidR="00765750" w:rsidRDefault="00765750" w:rsidP="00765750">
      <w:pPr>
        <w:spacing w:line="360" w:lineRule="auto"/>
        <w:jc w:val="both"/>
        <w:rPr>
          <w:rFonts w:ascii="Arial" w:eastAsia="Calibri" w:hAnsi="Arial" w:cs="Arial"/>
          <w:b/>
        </w:rPr>
      </w:pPr>
    </w:p>
    <w:p w:rsidR="00B8501C" w:rsidRPr="007F5A62" w:rsidRDefault="00B8501C" w:rsidP="00765750">
      <w:pPr>
        <w:spacing w:line="360" w:lineRule="auto"/>
        <w:jc w:val="both"/>
        <w:rPr>
          <w:rFonts w:ascii="Arial" w:eastAsia="Calibri" w:hAnsi="Arial" w:cs="Arial"/>
          <w:b/>
        </w:rPr>
      </w:pPr>
      <w:r w:rsidRPr="007F5A62">
        <w:rPr>
          <w:rFonts w:ascii="Arial" w:eastAsia="Calibri" w:hAnsi="Arial" w:cs="Arial"/>
          <w:b/>
        </w:rPr>
        <w:lastRenderedPageBreak/>
        <w:t>PANORAMA NACIONAL</w:t>
      </w:r>
    </w:p>
    <w:p w:rsidR="00765750" w:rsidRDefault="00765750" w:rsidP="00765750">
      <w:pPr>
        <w:spacing w:line="360" w:lineRule="auto"/>
        <w:jc w:val="both"/>
        <w:rPr>
          <w:rFonts w:ascii="Arial" w:hAnsi="Arial" w:cs="Arial"/>
        </w:rPr>
      </w:pPr>
    </w:p>
    <w:p w:rsidR="00B8501C" w:rsidRPr="007F5A62" w:rsidRDefault="00B8501C" w:rsidP="00765750">
      <w:pPr>
        <w:spacing w:line="360" w:lineRule="auto"/>
        <w:jc w:val="both"/>
        <w:rPr>
          <w:rFonts w:ascii="Arial" w:hAnsi="Arial" w:cs="Arial"/>
        </w:rPr>
      </w:pPr>
      <w:r w:rsidRPr="007F5A62">
        <w:rPr>
          <w:rFonts w:ascii="Arial" w:hAnsi="Arial" w:cs="Arial"/>
        </w:rPr>
        <w:t xml:space="preserve">Con base en los </w:t>
      </w:r>
      <w:r>
        <w:rPr>
          <w:rFonts w:ascii="Arial" w:hAnsi="Arial" w:cs="Arial"/>
        </w:rPr>
        <w:t>“Pre-</w:t>
      </w:r>
      <w:r w:rsidRPr="007F5A62">
        <w:rPr>
          <w:rFonts w:ascii="Arial" w:hAnsi="Arial" w:cs="Arial"/>
        </w:rPr>
        <w:t>Criterios 2019</w:t>
      </w:r>
      <w:r>
        <w:rPr>
          <w:rFonts w:ascii="Arial" w:hAnsi="Arial" w:cs="Arial"/>
        </w:rPr>
        <w:t>”</w:t>
      </w:r>
      <w:r w:rsidRPr="007F5A62">
        <w:rPr>
          <w:rFonts w:ascii="Arial" w:hAnsi="Arial" w:cs="Arial"/>
        </w:rPr>
        <w:t xml:space="preserve">, se toman </w:t>
      </w:r>
      <w:r>
        <w:rPr>
          <w:rFonts w:ascii="Arial" w:hAnsi="Arial" w:cs="Arial"/>
        </w:rPr>
        <w:t xml:space="preserve">de </w:t>
      </w:r>
      <w:r w:rsidRPr="007F5A62">
        <w:rPr>
          <w:rFonts w:ascii="Arial" w:hAnsi="Arial" w:cs="Arial"/>
        </w:rPr>
        <w:t>referencia</w:t>
      </w:r>
      <w:r>
        <w:rPr>
          <w:rFonts w:ascii="Arial" w:hAnsi="Arial" w:cs="Arial"/>
        </w:rPr>
        <w:t xml:space="preserve"> como expectativa de</w:t>
      </w:r>
      <w:r w:rsidRPr="007F5A62">
        <w:rPr>
          <w:rFonts w:ascii="Arial" w:hAnsi="Arial" w:cs="Arial"/>
        </w:rPr>
        <w:t xml:space="preserve"> crecimiento económico de entre 2.0 y 3.0%, el tipo de cambio promedio anual de 18.40 pesos por dólar, y un precio del barril de petróleo de 51.00 dólares, con una plataforma de exportación promedio de 2,035 barriles diarios. Se proyecta que el valor real de las exportaciones de bienes y servicios registre un incremento anual de 3.9%. Por otro lado, se prevé que la inversión y el consumo se incrementen a tasas anuales de 1.8 y 2.6%, respectivamente. Se anticipa que al cierre de 2019 la inflación se ubicará en un nivel consistente con el objetivo establecido por el Banco de México de 3.0% con un intervalo de variabilidad de más/menos un punto porcentual. Asimismo, se calcula que el déficit en la cuenta corriente de la balanza de pagos será de alrededor de 1.9% del PIB. Se proyecta que el flujo de inversión extranjera directa financiará totalmente el déficit en cuenta corriente.</w:t>
      </w:r>
    </w:p>
    <w:p w:rsidR="00765750" w:rsidRDefault="00765750" w:rsidP="00765750">
      <w:pPr>
        <w:spacing w:line="360" w:lineRule="auto"/>
        <w:jc w:val="both"/>
        <w:rPr>
          <w:rFonts w:ascii="Arial" w:hAnsi="Arial" w:cs="Arial"/>
        </w:rPr>
      </w:pPr>
    </w:p>
    <w:p w:rsidR="00B8501C" w:rsidRPr="007F5A62" w:rsidRDefault="00B8501C" w:rsidP="00765750">
      <w:pPr>
        <w:spacing w:line="360" w:lineRule="auto"/>
        <w:jc w:val="both"/>
        <w:rPr>
          <w:rFonts w:ascii="Arial" w:hAnsi="Arial" w:cs="Arial"/>
        </w:rPr>
      </w:pPr>
      <w:r w:rsidRPr="007F5A62">
        <w:rPr>
          <w:rFonts w:ascii="Arial" w:hAnsi="Arial" w:cs="Arial"/>
        </w:rPr>
        <w:t xml:space="preserve">A cuatro años de su implementación, los resultados de la Reforma Hacendaria han sido favorables. Entre 2013 y 2016 los ingresos tributarios aumentaron en 4.5 puntos porcentuales del PIB para alcanzar un máximo histórico de 13.9 </w:t>
      </w:r>
      <w:r>
        <w:rPr>
          <w:rFonts w:ascii="Arial" w:hAnsi="Arial" w:cs="Arial"/>
        </w:rPr>
        <w:t>%</w:t>
      </w:r>
      <w:r w:rsidRPr="007F5A62">
        <w:rPr>
          <w:rFonts w:ascii="Arial" w:hAnsi="Arial" w:cs="Arial"/>
        </w:rPr>
        <w:t xml:space="preserve"> del producto, lo cual permitió compensar la disminución de 4.3 puntos porcentuales del PIB en los ingresos petroleros durante el mismo periodo. Esto también significó un cambio en la composición de los ingresos hacia fuentes más estables y menos sujetas a riesgos provenientes </w:t>
      </w:r>
      <w:r w:rsidRPr="007F5A62">
        <w:rPr>
          <w:rFonts w:ascii="Arial" w:hAnsi="Arial" w:cs="Arial"/>
        </w:rPr>
        <w:lastRenderedPageBreak/>
        <w:t xml:space="preserve">del exterior. Mientras que en 2013 los ingresos petroleros representaron 35.5 </w:t>
      </w:r>
      <w:r>
        <w:rPr>
          <w:rFonts w:ascii="Arial" w:hAnsi="Arial" w:cs="Arial"/>
        </w:rPr>
        <w:t>%</w:t>
      </w:r>
      <w:r w:rsidRPr="007F5A62">
        <w:rPr>
          <w:rFonts w:ascii="Arial" w:hAnsi="Arial" w:cs="Arial"/>
        </w:rPr>
        <w:t xml:space="preserve"> del total de los ingresos del Sector Público, en 2016 representaron el 16.3 </w:t>
      </w:r>
      <w:r>
        <w:rPr>
          <w:rFonts w:ascii="Arial" w:hAnsi="Arial" w:cs="Arial"/>
        </w:rPr>
        <w:t>%</w:t>
      </w:r>
      <w:r w:rsidRPr="007F5A62">
        <w:rPr>
          <w:rFonts w:ascii="Arial" w:hAnsi="Arial" w:cs="Arial"/>
        </w:rPr>
        <w:t>, por lo que hoy las finanzas públicas son más sólidas.</w:t>
      </w:r>
    </w:p>
    <w:p w:rsidR="00765750" w:rsidRDefault="00765750" w:rsidP="00765750">
      <w:pPr>
        <w:spacing w:line="360" w:lineRule="auto"/>
        <w:jc w:val="both"/>
        <w:rPr>
          <w:rFonts w:ascii="Arial" w:hAnsi="Arial" w:cs="Arial"/>
        </w:rPr>
      </w:pPr>
    </w:p>
    <w:p w:rsidR="00B8501C" w:rsidRPr="007F5A62" w:rsidRDefault="00B8501C" w:rsidP="00765750">
      <w:pPr>
        <w:spacing w:line="360" w:lineRule="auto"/>
        <w:jc w:val="both"/>
        <w:rPr>
          <w:rFonts w:ascii="Arial" w:hAnsi="Arial" w:cs="Arial"/>
        </w:rPr>
      </w:pPr>
      <w:r w:rsidRPr="007F5A62">
        <w:rPr>
          <w:rFonts w:ascii="Arial" w:hAnsi="Arial" w:cs="Arial"/>
        </w:rPr>
        <w:t xml:space="preserve">Es importante resaltar que desde 2014 se ha dotado de certidumbre a los agentes económicos sobre el marco tributario prevaleciente hasta 2018, al tiempo que las finanzas públicas han seguido la trayectoria de consolidación fiscal comprometida en 2013. Esa estrategia ha contribuido a que nuestro país haya podido mitigar de la mejor manera posible los efectos de una elevada volatilidad e incertidumbre en el entorno económico global. </w:t>
      </w:r>
    </w:p>
    <w:p w:rsidR="00765750" w:rsidRDefault="00765750" w:rsidP="00765750">
      <w:pPr>
        <w:spacing w:line="360" w:lineRule="auto"/>
        <w:jc w:val="both"/>
        <w:rPr>
          <w:rFonts w:ascii="Arial" w:hAnsi="Arial" w:cs="Arial"/>
        </w:rPr>
      </w:pPr>
    </w:p>
    <w:p w:rsidR="00B8501C" w:rsidRPr="007F5A62" w:rsidRDefault="00B8501C" w:rsidP="00765750">
      <w:pPr>
        <w:spacing w:line="360" w:lineRule="auto"/>
        <w:jc w:val="both"/>
        <w:rPr>
          <w:rFonts w:ascii="Arial" w:hAnsi="Arial" w:cs="Arial"/>
        </w:rPr>
      </w:pPr>
      <w:r w:rsidRPr="007F5A62">
        <w:rPr>
          <w:rFonts w:ascii="Arial" w:hAnsi="Arial" w:cs="Arial"/>
        </w:rPr>
        <w:t xml:space="preserve">El entorno macroeconómico previsto para 2019 se encuentra sujeto a riesgos a la baja que podrían modificar las estimaciones anteriores, impactando de manera negativa la economía local, donde destacan los siguientes: </w:t>
      </w:r>
    </w:p>
    <w:p w:rsidR="00B8501C" w:rsidRDefault="00B8501C" w:rsidP="00F36D7A">
      <w:pPr>
        <w:numPr>
          <w:ilvl w:val="0"/>
          <w:numId w:val="19"/>
        </w:numPr>
        <w:spacing w:line="360" w:lineRule="auto"/>
        <w:jc w:val="both"/>
        <w:rPr>
          <w:rFonts w:ascii="Arial" w:hAnsi="Arial" w:cs="Arial"/>
        </w:rPr>
      </w:pPr>
      <w:r w:rsidRPr="007F5A62">
        <w:rPr>
          <w:rFonts w:ascii="Arial" w:hAnsi="Arial" w:cs="Arial"/>
        </w:rPr>
        <w:t xml:space="preserve">Una posposición de la renegociación del TLCAN o bien que se abandone el tratado por parte de alguno de los miembros; </w:t>
      </w:r>
    </w:p>
    <w:p w:rsidR="00765750" w:rsidRPr="007F5A62" w:rsidRDefault="00765750" w:rsidP="00765750">
      <w:pPr>
        <w:spacing w:line="360" w:lineRule="auto"/>
        <w:ind w:left="720"/>
        <w:jc w:val="both"/>
        <w:rPr>
          <w:rFonts w:ascii="Arial" w:hAnsi="Arial" w:cs="Arial"/>
        </w:rPr>
      </w:pPr>
    </w:p>
    <w:p w:rsidR="00B8501C" w:rsidRDefault="00B8501C" w:rsidP="00F36D7A">
      <w:pPr>
        <w:numPr>
          <w:ilvl w:val="0"/>
          <w:numId w:val="19"/>
        </w:numPr>
        <w:spacing w:line="360" w:lineRule="auto"/>
        <w:jc w:val="both"/>
        <w:rPr>
          <w:rFonts w:ascii="Arial" w:hAnsi="Arial" w:cs="Arial"/>
        </w:rPr>
      </w:pPr>
      <w:r w:rsidRPr="007F5A62">
        <w:rPr>
          <w:rFonts w:ascii="Arial" w:hAnsi="Arial" w:cs="Arial"/>
        </w:rPr>
        <w:t xml:space="preserve">Un menor dinamismo de la economía de Estados Unidos; </w:t>
      </w:r>
    </w:p>
    <w:p w:rsidR="00765750" w:rsidRDefault="00765750" w:rsidP="00765750">
      <w:pPr>
        <w:pStyle w:val="Prrafodelista"/>
        <w:rPr>
          <w:rFonts w:ascii="Arial" w:hAnsi="Arial" w:cs="Arial"/>
        </w:rPr>
      </w:pPr>
    </w:p>
    <w:p w:rsidR="00B8501C" w:rsidRDefault="00B8501C" w:rsidP="00F36D7A">
      <w:pPr>
        <w:numPr>
          <w:ilvl w:val="0"/>
          <w:numId w:val="19"/>
        </w:numPr>
        <w:spacing w:line="360" w:lineRule="auto"/>
        <w:jc w:val="both"/>
        <w:rPr>
          <w:rFonts w:ascii="Arial" w:hAnsi="Arial" w:cs="Arial"/>
        </w:rPr>
      </w:pPr>
      <w:r w:rsidRPr="007F5A62">
        <w:rPr>
          <w:rFonts w:ascii="Arial" w:hAnsi="Arial" w:cs="Arial"/>
        </w:rPr>
        <w:t xml:space="preserve">Un debilitamiento de la economía mundial; </w:t>
      </w:r>
    </w:p>
    <w:p w:rsidR="00765750" w:rsidRDefault="00765750" w:rsidP="00765750">
      <w:pPr>
        <w:pStyle w:val="Prrafodelista"/>
        <w:rPr>
          <w:rFonts w:ascii="Arial" w:hAnsi="Arial" w:cs="Arial"/>
        </w:rPr>
      </w:pPr>
    </w:p>
    <w:p w:rsidR="00B8501C" w:rsidRDefault="00B8501C" w:rsidP="00F36D7A">
      <w:pPr>
        <w:numPr>
          <w:ilvl w:val="0"/>
          <w:numId w:val="19"/>
        </w:numPr>
        <w:spacing w:line="360" w:lineRule="auto"/>
        <w:jc w:val="both"/>
        <w:rPr>
          <w:rFonts w:ascii="Arial" w:hAnsi="Arial" w:cs="Arial"/>
        </w:rPr>
      </w:pPr>
      <w:r w:rsidRPr="007F5A62">
        <w:rPr>
          <w:rFonts w:ascii="Arial" w:hAnsi="Arial" w:cs="Arial"/>
        </w:rPr>
        <w:t xml:space="preserve">Una elevada volatilidad en los mercados financieros internacionales; </w:t>
      </w:r>
    </w:p>
    <w:p w:rsidR="00765750" w:rsidRDefault="00765750" w:rsidP="00765750">
      <w:pPr>
        <w:pStyle w:val="Prrafodelista"/>
        <w:rPr>
          <w:rFonts w:ascii="Arial" w:hAnsi="Arial" w:cs="Arial"/>
        </w:rPr>
      </w:pPr>
    </w:p>
    <w:p w:rsidR="00B8501C" w:rsidRDefault="00B8501C" w:rsidP="00F36D7A">
      <w:pPr>
        <w:numPr>
          <w:ilvl w:val="0"/>
          <w:numId w:val="19"/>
        </w:numPr>
        <w:spacing w:line="360" w:lineRule="auto"/>
        <w:jc w:val="both"/>
        <w:rPr>
          <w:rFonts w:ascii="Arial" w:hAnsi="Arial" w:cs="Arial"/>
        </w:rPr>
      </w:pPr>
      <w:r w:rsidRPr="007F5A62">
        <w:rPr>
          <w:rFonts w:ascii="Arial" w:hAnsi="Arial" w:cs="Arial"/>
        </w:rPr>
        <w:t xml:space="preserve">Una plataforma de producción de petróleo menor a la prevista; y, </w:t>
      </w:r>
    </w:p>
    <w:p w:rsidR="00765750" w:rsidRDefault="00765750" w:rsidP="00765750">
      <w:pPr>
        <w:pStyle w:val="Prrafodelista"/>
        <w:rPr>
          <w:rFonts w:ascii="Arial" w:hAnsi="Arial" w:cs="Arial"/>
        </w:rPr>
      </w:pPr>
    </w:p>
    <w:p w:rsidR="00B8501C" w:rsidRPr="007F5A62" w:rsidRDefault="00B8501C" w:rsidP="00F36D7A">
      <w:pPr>
        <w:numPr>
          <w:ilvl w:val="0"/>
          <w:numId w:val="19"/>
        </w:numPr>
        <w:spacing w:line="360" w:lineRule="auto"/>
        <w:jc w:val="both"/>
        <w:rPr>
          <w:rFonts w:ascii="Arial" w:hAnsi="Arial" w:cs="Arial"/>
        </w:rPr>
      </w:pPr>
      <w:r w:rsidRPr="007F5A62">
        <w:rPr>
          <w:rFonts w:ascii="Arial" w:hAnsi="Arial" w:cs="Arial"/>
        </w:rPr>
        <w:t>Un incremento de las tensiones geopolíticas.</w:t>
      </w:r>
    </w:p>
    <w:p w:rsidR="00B8501C" w:rsidRPr="007F5A62" w:rsidRDefault="00B8501C" w:rsidP="00765750">
      <w:pPr>
        <w:spacing w:line="360" w:lineRule="auto"/>
        <w:jc w:val="both"/>
        <w:rPr>
          <w:rFonts w:ascii="Arial" w:hAnsi="Arial" w:cs="Arial"/>
        </w:rPr>
      </w:pPr>
      <w:r w:rsidRPr="007F5A62">
        <w:rPr>
          <w:rFonts w:ascii="Arial" w:hAnsi="Arial"/>
          <w:b/>
          <w:lang w:val="es-ES_tradnl"/>
        </w:rPr>
        <w:lastRenderedPageBreak/>
        <w:t>MODELO DE PRESUPUESTO</w:t>
      </w:r>
    </w:p>
    <w:p w:rsidR="00765750" w:rsidRDefault="00765750" w:rsidP="00765750">
      <w:pPr>
        <w:spacing w:line="360" w:lineRule="auto"/>
        <w:jc w:val="both"/>
        <w:rPr>
          <w:rFonts w:ascii="Arial" w:eastAsia="Calibri" w:hAnsi="Arial" w:cs="Arial"/>
        </w:rPr>
      </w:pPr>
    </w:p>
    <w:p w:rsidR="00B8501C" w:rsidRDefault="00AF6BAD" w:rsidP="00765750">
      <w:pPr>
        <w:spacing w:line="360" w:lineRule="auto"/>
        <w:jc w:val="both"/>
        <w:rPr>
          <w:rFonts w:ascii="Arial" w:eastAsia="Calibri" w:hAnsi="Arial" w:cs="Arial"/>
        </w:rPr>
      </w:pPr>
      <w:r>
        <w:rPr>
          <w:rFonts w:ascii="Arial" w:eastAsia="Calibri" w:hAnsi="Arial" w:cs="Arial"/>
        </w:rPr>
        <w:t>E</w:t>
      </w:r>
      <w:r w:rsidR="00B8501C" w:rsidRPr="007F5A62">
        <w:rPr>
          <w:rFonts w:ascii="Arial" w:eastAsia="Calibri" w:hAnsi="Arial" w:cs="Arial"/>
        </w:rPr>
        <w:t>l Proyecto</w:t>
      </w:r>
      <w:r w:rsidR="00B8501C">
        <w:rPr>
          <w:rFonts w:ascii="Arial" w:eastAsia="Calibri" w:hAnsi="Arial" w:cs="Arial"/>
        </w:rPr>
        <w:t xml:space="preserve"> </w:t>
      </w:r>
      <w:r w:rsidR="00765750">
        <w:rPr>
          <w:rFonts w:ascii="Arial" w:eastAsia="Calibri" w:hAnsi="Arial" w:cs="Arial"/>
        </w:rPr>
        <w:t xml:space="preserve">de Presupuesto </w:t>
      </w:r>
      <w:r w:rsidR="00B8501C" w:rsidRPr="007F5A62">
        <w:rPr>
          <w:rFonts w:ascii="Arial" w:eastAsia="Calibri" w:hAnsi="Arial" w:cs="Arial"/>
        </w:rPr>
        <w:t xml:space="preserve">se encuentra integrado con un enfoque </w:t>
      </w:r>
      <w:r>
        <w:rPr>
          <w:rFonts w:ascii="Arial" w:eastAsia="Calibri" w:hAnsi="Arial" w:cs="Arial"/>
        </w:rPr>
        <w:t>a</w:t>
      </w:r>
      <w:r w:rsidR="00B8501C" w:rsidRPr="007F5A62">
        <w:rPr>
          <w:rFonts w:ascii="Arial" w:eastAsia="Calibri" w:hAnsi="Arial" w:cs="Arial"/>
        </w:rPr>
        <w:t xml:space="preserve"> resultados, mediante el modelo de Presupuesto basado en Resultados (PbR), alineado con los objetivos, estrategias y metas programadas para el Ejercicio Fiscal de 2019 de conformidad con lo estipulado en la Ley General de Contabilidad Gubernamental, el Código Financiero para el Estado de Tlaxcala y sus Municipios, y el Plan Estatal de Desarrollo 2017-2021; y a su vez, con el Sistema de Evaluación del Desempeño (SED) que permitirá en el corto y mediano plazo poder identificar los aspectos susceptibles de mejora en los programas que se ejecuten con recursos públicos. </w:t>
      </w:r>
    </w:p>
    <w:p w:rsidR="00765750" w:rsidRPr="007F5A62"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Esta técnica presupuestaria se ha utilizado en la construcción e integración de la Estructura Programática 2019 y en el análisis funcional de la estructura organizacional, para determinar ajustes al gasto, instrumentar medidas de contención y ahorro, así como para determinar la elegibilidad de los proyectos de inversión con mayor rentabilidad social.</w:t>
      </w:r>
    </w:p>
    <w:p w:rsidR="00765750" w:rsidRDefault="00765750"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Se tomó como referencia el modelo de presupuesto del Instituto Mexicano para la Competitividad, A.C. (IMCO A.C.); encontrándose en la elaboración del presente algunas buenas prácticas, siendo las más relevantes la inclusión de la clasificación del gasto por sector y el Anexo de presupuesto para niños, niñas y adolescentes elaborado por el Fondo de las Naciones Unidas para la Infancia (UNICEF).</w:t>
      </w:r>
    </w:p>
    <w:p w:rsidR="00B8501C" w:rsidRPr="007F5A62" w:rsidRDefault="00B8501C" w:rsidP="00765750">
      <w:pPr>
        <w:spacing w:line="360" w:lineRule="auto"/>
        <w:jc w:val="center"/>
        <w:rPr>
          <w:rFonts w:ascii="Arial" w:eastAsia="Calibri" w:hAnsi="Arial" w:cs="Arial"/>
          <w:b/>
        </w:rPr>
      </w:pPr>
      <w:r w:rsidRPr="007F5A62">
        <w:rPr>
          <w:rFonts w:ascii="Arial" w:eastAsia="Calibri" w:hAnsi="Arial" w:cs="Arial"/>
          <w:b/>
        </w:rPr>
        <w:lastRenderedPageBreak/>
        <w:t>CUMPLIMIENTO DE CRITERIOS IMCO (2008 – 2017)</w:t>
      </w:r>
    </w:p>
    <w:p w:rsidR="00B8501C" w:rsidRPr="007F5A62" w:rsidRDefault="00B8501C" w:rsidP="00765750">
      <w:pPr>
        <w:spacing w:line="360" w:lineRule="auto"/>
        <w:jc w:val="center"/>
        <w:rPr>
          <w:rFonts w:ascii="Arial" w:eastAsia="Calibri" w:hAnsi="Arial" w:cs="Arial"/>
        </w:rPr>
      </w:pPr>
      <w:r w:rsidRPr="007F5A62">
        <w:rPr>
          <w:rFonts w:ascii="Arial" w:eastAsia="Calibri" w:hAnsi="Arial" w:cs="Arial"/>
          <w:noProof/>
          <w:lang w:val="es-MX" w:eastAsia="es-MX"/>
        </w:rPr>
        <w:drawing>
          <wp:inline distT="0" distB="0" distL="0" distR="0" wp14:anchorId="15F35111" wp14:editId="3279AC94">
            <wp:extent cx="5207375" cy="38112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39">
                      <a:extLst>
                        <a:ext uri="{28A0092B-C50C-407E-A947-70E740481C1C}">
                          <a14:useLocalDpi xmlns:a14="http://schemas.microsoft.com/office/drawing/2010/main" val="0"/>
                        </a:ext>
                      </a:extLst>
                    </a:blip>
                    <a:srcRect l="38029" t="40839" r="39677" b="23356"/>
                    <a:stretch/>
                  </pic:blipFill>
                  <pic:spPr bwMode="auto">
                    <a:xfrm>
                      <a:off x="0" y="0"/>
                      <a:ext cx="5447088" cy="3986663"/>
                    </a:xfrm>
                    <a:prstGeom prst="rect">
                      <a:avLst/>
                    </a:prstGeom>
                    <a:noFill/>
                    <a:ln>
                      <a:noFill/>
                    </a:ln>
                    <a:extLst>
                      <a:ext uri="{53640926-AAD7-44D8-BBD7-CCE9431645EC}">
                        <a14:shadowObscured xmlns:a14="http://schemas.microsoft.com/office/drawing/2010/main"/>
                      </a:ext>
                    </a:extLst>
                  </pic:spPr>
                </pic:pic>
              </a:graphicData>
            </a:graphic>
          </wp:inline>
        </w:drawing>
      </w:r>
    </w:p>
    <w:p w:rsidR="00765750" w:rsidRDefault="00765750" w:rsidP="00765750">
      <w:pPr>
        <w:spacing w:line="360" w:lineRule="auto"/>
        <w:jc w:val="both"/>
        <w:rPr>
          <w:rFonts w:ascii="Arial" w:hAnsi="Arial" w:cs="Arial"/>
          <w:iCs/>
        </w:rPr>
      </w:pPr>
    </w:p>
    <w:p w:rsidR="00B8501C" w:rsidRPr="007F5A62" w:rsidRDefault="00B8501C" w:rsidP="00765750">
      <w:pPr>
        <w:spacing w:line="360" w:lineRule="auto"/>
        <w:jc w:val="both"/>
        <w:rPr>
          <w:rFonts w:ascii="Arial" w:hAnsi="Arial" w:cs="Arial"/>
          <w:iCs/>
        </w:rPr>
      </w:pPr>
      <w:r w:rsidRPr="007F5A62">
        <w:rPr>
          <w:rFonts w:ascii="Arial" w:hAnsi="Arial" w:cs="Arial"/>
          <w:iCs/>
        </w:rPr>
        <w:t>El Proyecto de Presupuesto de Egresos del Estado de Tlaxcala para el Ejercicio Fiscal 2019 que se somete a la consideración de esta Legislatura, se estructura de acuerdo al Clasificador por Objeto del Gasto aprobado por el CONAC y en la Norma para armonizar la presentación de la información adicional del Proyecto del Presupuesto de Egresos.</w:t>
      </w:r>
    </w:p>
    <w:p w:rsidR="00AF6BAD" w:rsidRDefault="00AF6BAD"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 xml:space="preserve">De acuerdo a lo establecido en la Ley de Disciplina Financiera de las Entidades Federativas y los Municipios, y para contribuir a generar balances </w:t>
      </w:r>
      <w:r w:rsidRPr="007F5A62">
        <w:rPr>
          <w:rFonts w:ascii="Arial" w:eastAsia="Calibri" w:hAnsi="Arial" w:cs="Arial"/>
        </w:rPr>
        <w:lastRenderedPageBreak/>
        <w:t>presupuestarios sostenibles, se ha alineado la estructura programática y presupuestal, fortaleciendo programas presupuestarios apegados a políticas públicas establecidas en el Plan Estatal de Desarrollo 2017-2021, a través de objetivos y estrategias en beneficio de la población tlaxcalteca.</w:t>
      </w:r>
    </w:p>
    <w:p w:rsidR="00B8501C" w:rsidRPr="007F5A62" w:rsidRDefault="00B8501C" w:rsidP="00765750">
      <w:pPr>
        <w:spacing w:line="360" w:lineRule="auto"/>
        <w:jc w:val="center"/>
        <w:rPr>
          <w:rFonts w:ascii="Arial" w:hAnsi="Arial" w:cs="Arial"/>
          <w:b/>
          <w:iCs/>
        </w:rPr>
      </w:pPr>
    </w:p>
    <w:p w:rsidR="00B8501C" w:rsidRPr="007F5A62" w:rsidRDefault="00B8501C" w:rsidP="00765750">
      <w:pPr>
        <w:spacing w:line="360" w:lineRule="auto"/>
        <w:rPr>
          <w:rFonts w:ascii="Arial" w:hAnsi="Arial" w:cs="Arial"/>
          <w:b/>
          <w:iCs/>
        </w:rPr>
      </w:pPr>
      <w:r w:rsidRPr="007F5A62">
        <w:rPr>
          <w:rFonts w:ascii="Arial" w:hAnsi="Arial" w:cs="Arial"/>
          <w:b/>
          <w:iCs/>
        </w:rPr>
        <w:t>DISCIPLINA FINANCIERA</w:t>
      </w:r>
    </w:p>
    <w:p w:rsidR="00B8501C" w:rsidRPr="007F5A62" w:rsidRDefault="00B8501C" w:rsidP="00765750">
      <w:pPr>
        <w:spacing w:line="360" w:lineRule="auto"/>
        <w:jc w:val="center"/>
        <w:rPr>
          <w:rFonts w:ascii="Arial" w:hAnsi="Arial" w:cs="Arial"/>
          <w:b/>
          <w:iCs/>
        </w:rPr>
      </w:pPr>
    </w:p>
    <w:p w:rsidR="00B8501C" w:rsidRPr="007F5A62" w:rsidRDefault="00B8501C" w:rsidP="00765750">
      <w:pPr>
        <w:spacing w:line="360" w:lineRule="auto"/>
        <w:jc w:val="both"/>
        <w:rPr>
          <w:rFonts w:ascii="Arial" w:eastAsia="Calibri" w:hAnsi="Arial" w:cs="Arial"/>
          <w:b/>
        </w:rPr>
      </w:pPr>
      <w:r w:rsidRPr="007F5A62">
        <w:rPr>
          <w:rFonts w:ascii="Arial" w:eastAsia="Calibri" w:hAnsi="Arial" w:cs="Arial"/>
        </w:rPr>
        <w:t>El objetivo de la Disciplina Financiera es promover finanzas públicas locales sostenibles, a través de reglas de disciplina financiera, el uso responsable de la deuda pública, así como el fortalecimiento de la transparencia y rendición de cuentas, entre otras medidas.</w:t>
      </w:r>
    </w:p>
    <w:p w:rsidR="00AF6BAD" w:rsidRDefault="00AF6BAD"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En este sentido, aunado al compromiso asumido por la presente administración en el entendido de que los recursos financieros que dispone el Gobierno del Estado son escasos ante las crecientes necesidades sociales y públicas, toda vez que la principal fuente de recursos la constituyen las transferencias del Gobierno Federal, las cuales provienen de contribuciones federales encaminadas a racionalizar el gasto público y a la elaboración de presupuestos realistas en un ámbito de racionalidad, austeridad y disciplina presupuestal, alineadas a las políticas establecidas por el Gobierno Federal.</w:t>
      </w:r>
    </w:p>
    <w:p w:rsidR="00B8501C" w:rsidRDefault="00B8501C" w:rsidP="00765750">
      <w:pPr>
        <w:spacing w:line="360" w:lineRule="auto"/>
        <w:jc w:val="both"/>
        <w:rPr>
          <w:rFonts w:ascii="Arial" w:eastAsia="Calibri" w:hAnsi="Arial" w:cs="Arial"/>
        </w:rPr>
      </w:pPr>
      <w:r w:rsidRPr="007F5A62">
        <w:rPr>
          <w:rFonts w:ascii="Arial" w:eastAsia="Calibri" w:hAnsi="Arial" w:cs="Arial"/>
        </w:rPr>
        <w:t xml:space="preserve">Esta Administración busca fortalecer en el ejercicio del gasto los principios de racionalidad, austeridad y eficiencia; es por esto, que el Gobierno del Estado rige su política de gasto con base en la legalidad, transparencia, racionalidad y suficiencia presupuestal, con la finalidad de dar continuidad a los esfuerzos </w:t>
      </w:r>
      <w:r w:rsidRPr="007F5A62">
        <w:rPr>
          <w:rFonts w:ascii="Arial" w:eastAsia="Calibri" w:hAnsi="Arial" w:cs="Arial"/>
        </w:rPr>
        <w:lastRenderedPageBreak/>
        <w:t>encaminados en atender con oportunidad las demandas y necesidades de sus habitantes.</w:t>
      </w:r>
    </w:p>
    <w:p w:rsidR="00765750" w:rsidRPr="007F5A62" w:rsidRDefault="00765750" w:rsidP="00765750">
      <w:pPr>
        <w:spacing w:line="360" w:lineRule="auto"/>
        <w:jc w:val="both"/>
        <w:rPr>
          <w:rFonts w:ascii="Arial" w:eastAsia="Calibri" w:hAnsi="Arial" w:cs="Arial"/>
        </w:rPr>
      </w:pPr>
    </w:p>
    <w:p w:rsidR="00B8501C" w:rsidRDefault="00B8501C" w:rsidP="00765750">
      <w:pPr>
        <w:spacing w:line="360" w:lineRule="auto"/>
        <w:jc w:val="both"/>
        <w:rPr>
          <w:rFonts w:ascii="Arial" w:eastAsia="Calibri" w:hAnsi="Arial" w:cs="Arial"/>
        </w:rPr>
      </w:pPr>
      <w:r w:rsidRPr="007F5A62">
        <w:rPr>
          <w:rFonts w:ascii="Arial" w:eastAsia="Calibri" w:hAnsi="Arial" w:cs="Arial"/>
        </w:rPr>
        <w:t>En la elaboración del Proyecto de Presupuesto de Egresos, para evitar un desfasamiento del gasto en relación con los ingresos, que pudiese derivar en resultados deficitarios, los ejecutores de gasto en el ejercicio de sus respectivos presupuestos están obligados a considerar medidas para racionalizar el gasto destinado a las actividades administrativas y de apoyo, sin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detrimento de los resultados, y reorientarlos al gasto social. Con estas premisas se busca regular el ejercicio del gasto, permitiendo a las Dependencias y Entidades contar con una operación administrativa eficiente, acorde al marco normativo y a los sistemas de registro y control.</w:t>
      </w:r>
    </w:p>
    <w:p w:rsidR="00765750" w:rsidRPr="007F5A62" w:rsidRDefault="00765750" w:rsidP="00765750">
      <w:pPr>
        <w:spacing w:line="360" w:lineRule="auto"/>
        <w:jc w:val="both"/>
        <w:rPr>
          <w:rFonts w:ascii="Arial" w:eastAsia="Calibri" w:hAnsi="Arial" w:cs="Arial"/>
        </w:rPr>
      </w:pPr>
    </w:p>
    <w:p w:rsidR="00B8501C" w:rsidRDefault="00B8501C" w:rsidP="00765750">
      <w:pPr>
        <w:spacing w:line="360" w:lineRule="auto"/>
        <w:jc w:val="both"/>
        <w:rPr>
          <w:rFonts w:ascii="Arial" w:eastAsia="Calibri" w:hAnsi="Arial" w:cs="Arial"/>
        </w:rPr>
      </w:pPr>
      <w:r w:rsidRPr="007F5A62">
        <w:rPr>
          <w:rFonts w:ascii="Arial" w:eastAsia="Calibri" w:hAnsi="Arial" w:cs="Arial"/>
        </w:rPr>
        <w:t>Entre las acciones de disciplina presupuestaria en el ejercicio del gasto público propuestas, se considera la contención de los recursos destinados a servicios personales, la reducción del gasto corriente de operación, y la reorientación del presupuesto a programas prioritarios de educación, salud y empleo.</w:t>
      </w:r>
    </w:p>
    <w:p w:rsidR="00DC05D7" w:rsidRPr="007F5A62" w:rsidRDefault="00DC05D7" w:rsidP="00765750">
      <w:pPr>
        <w:spacing w:line="360" w:lineRule="auto"/>
        <w:jc w:val="both"/>
        <w:rPr>
          <w:rFonts w:ascii="Arial" w:eastAsia="Calibri" w:hAnsi="Arial" w:cs="Arial"/>
        </w:rPr>
      </w:pPr>
    </w:p>
    <w:p w:rsidR="00B8501C" w:rsidRPr="00DC05D7" w:rsidRDefault="00B8501C" w:rsidP="00765750">
      <w:pPr>
        <w:spacing w:line="360" w:lineRule="auto"/>
        <w:jc w:val="both"/>
        <w:rPr>
          <w:rFonts w:ascii="Arial" w:hAnsi="Arial" w:cs="Arial"/>
          <w:iCs/>
        </w:rPr>
      </w:pPr>
      <w:r w:rsidRPr="00DC05D7">
        <w:rPr>
          <w:rFonts w:ascii="Arial" w:hAnsi="Arial" w:cs="Arial"/>
          <w:iCs/>
        </w:rPr>
        <w:lastRenderedPageBreak/>
        <w:t xml:space="preserve">En este entendido, en cumplimiento a las disposiciones en materia de Disciplina Financiera, </w:t>
      </w:r>
      <w:r w:rsidR="00DC05D7">
        <w:rPr>
          <w:rFonts w:ascii="Arial" w:hAnsi="Arial" w:cs="Arial"/>
          <w:iCs/>
        </w:rPr>
        <w:t>el</w:t>
      </w:r>
      <w:r w:rsidRPr="00DC05D7">
        <w:rPr>
          <w:rFonts w:ascii="Arial" w:hAnsi="Arial" w:cs="Arial"/>
          <w:iCs/>
        </w:rPr>
        <w:t xml:space="preserve"> Proyecto de </w:t>
      </w:r>
      <w:r w:rsidR="00DC05D7">
        <w:rPr>
          <w:rFonts w:ascii="Arial" w:hAnsi="Arial" w:cs="Arial"/>
          <w:iCs/>
        </w:rPr>
        <w:t>Presupuesto</w:t>
      </w:r>
      <w:r w:rsidRPr="00DC05D7">
        <w:rPr>
          <w:rFonts w:ascii="Arial" w:hAnsi="Arial" w:cs="Arial"/>
          <w:iCs/>
        </w:rPr>
        <w:t xml:space="preserve"> contempla:</w:t>
      </w:r>
    </w:p>
    <w:p w:rsidR="00DC05D7" w:rsidRPr="00DC05D7" w:rsidRDefault="00DC05D7" w:rsidP="00765750">
      <w:pPr>
        <w:spacing w:line="360" w:lineRule="auto"/>
        <w:jc w:val="both"/>
        <w:rPr>
          <w:rFonts w:ascii="Arial" w:hAnsi="Arial" w:cs="Arial"/>
          <w:iCs/>
        </w:rPr>
      </w:pPr>
    </w:p>
    <w:p w:rsidR="00B8501C" w:rsidRDefault="00B8501C" w:rsidP="00F36D7A">
      <w:pPr>
        <w:numPr>
          <w:ilvl w:val="0"/>
          <w:numId w:val="17"/>
        </w:numPr>
        <w:spacing w:line="360" w:lineRule="auto"/>
        <w:jc w:val="both"/>
        <w:rPr>
          <w:rFonts w:ascii="Arial" w:eastAsia="Calibri" w:hAnsi="Arial" w:cs="Arial"/>
        </w:rPr>
      </w:pPr>
      <w:r w:rsidRPr="007F5A62">
        <w:rPr>
          <w:rFonts w:ascii="Arial" w:eastAsia="Calibri" w:hAnsi="Arial" w:cs="Arial"/>
        </w:rPr>
        <w:t>Los riesgos para las finanzas públicas estatales.</w:t>
      </w:r>
    </w:p>
    <w:p w:rsidR="00DC05D7" w:rsidRPr="007F5A62" w:rsidRDefault="00DC05D7" w:rsidP="00DC05D7">
      <w:pPr>
        <w:spacing w:line="360" w:lineRule="auto"/>
        <w:ind w:left="720"/>
        <w:jc w:val="both"/>
        <w:rPr>
          <w:rFonts w:ascii="Arial" w:eastAsia="Calibri" w:hAnsi="Arial" w:cs="Arial"/>
        </w:rPr>
      </w:pPr>
    </w:p>
    <w:p w:rsidR="00B8501C" w:rsidRDefault="00B8501C" w:rsidP="00F36D7A">
      <w:pPr>
        <w:numPr>
          <w:ilvl w:val="0"/>
          <w:numId w:val="17"/>
        </w:numPr>
        <w:spacing w:line="360" w:lineRule="auto"/>
        <w:jc w:val="both"/>
        <w:rPr>
          <w:rFonts w:ascii="Arial" w:eastAsia="Calibri" w:hAnsi="Arial" w:cs="Arial"/>
        </w:rPr>
      </w:pPr>
      <w:r w:rsidRPr="007F5A62">
        <w:rPr>
          <w:rFonts w:ascii="Arial" w:eastAsia="Calibri" w:hAnsi="Arial" w:cs="Arial"/>
        </w:rPr>
        <w:t>Los resultados presupuestarios de los últimos cinco años.</w:t>
      </w:r>
    </w:p>
    <w:p w:rsidR="00DC05D7" w:rsidRDefault="00DC05D7" w:rsidP="00DC05D7">
      <w:pPr>
        <w:pStyle w:val="Prrafodelista"/>
        <w:rPr>
          <w:rFonts w:ascii="Arial" w:eastAsia="Calibri" w:hAnsi="Arial" w:cs="Arial"/>
        </w:rPr>
      </w:pPr>
    </w:p>
    <w:p w:rsidR="00B8501C" w:rsidRPr="007F5A62" w:rsidRDefault="00B8501C" w:rsidP="00F36D7A">
      <w:pPr>
        <w:numPr>
          <w:ilvl w:val="0"/>
          <w:numId w:val="17"/>
        </w:numPr>
        <w:spacing w:line="360" w:lineRule="auto"/>
        <w:jc w:val="both"/>
        <w:rPr>
          <w:rFonts w:ascii="Arial" w:eastAsia="Calibri" w:hAnsi="Arial" w:cs="Arial"/>
        </w:rPr>
      </w:pPr>
      <w:r w:rsidRPr="007F5A62">
        <w:rPr>
          <w:rFonts w:ascii="Arial" w:eastAsia="Calibri" w:hAnsi="Arial" w:cs="Arial"/>
        </w:rPr>
        <w:t>Las proyecciones de egresos en materia presupuestal.</w:t>
      </w:r>
    </w:p>
    <w:p w:rsidR="00DC05D7" w:rsidRDefault="00DC05D7" w:rsidP="00765750">
      <w:pPr>
        <w:spacing w:line="360" w:lineRule="auto"/>
        <w:jc w:val="both"/>
        <w:rPr>
          <w:rFonts w:ascii="Arial" w:eastAsia="Calibri" w:hAnsi="Arial" w:cs="Arial"/>
        </w:rPr>
      </w:pPr>
    </w:p>
    <w:p w:rsidR="00B8501C" w:rsidRDefault="00B8501C" w:rsidP="00765750">
      <w:pPr>
        <w:spacing w:line="360" w:lineRule="auto"/>
        <w:jc w:val="both"/>
        <w:rPr>
          <w:rFonts w:ascii="Arial" w:eastAsia="Calibri" w:hAnsi="Arial" w:cs="Arial"/>
        </w:rPr>
      </w:pPr>
      <w:r w:rsidRPr="007F5A62">
        <w:rPr>
          <w:rFonts w:ascii="Arial" w:eastAsia="Calibri" w:hAnsi="Arial" w:cs="Arial"/>
        </w:rPr>
        <w:t xml:space="preserve">Asimismo, en </w:t>
      </w:r>
      <w:r w:rsidR="00DC05D7">
        <w:rPr>
          <w:rFonts w:ascii="Arial" w:eastAsia="Calibri" w:hAnsi="Arial" w:cs="Arial"/>
        </w:rPr>
        <w:t>el</w:t>
      </w:r>
      <w:r w:rsidRPr="007F5A62">
        <w:rPr>
          <w:rFonts w:ascii="Arial" w:eastAsia="Calibri" w:hAnsi="Arial" w:cs="Arial"/>
        </w:rPr>
        <w:t xml:space="preserve"> proyecto de Presupuesto de Egresos se prevén medidas y recursos para atender diversas situaciones que pudieran afectar las finanzas públicas, destacando las siguientes:</w:t>
      </w:r>
    </w:p>
    <w:p w:rsidR="00DC05D7" w:rsidRPr="007F5A62" w:rsidRDefault="00DC05D7" w:rsidP="00765750">
      <w:pPr>
        <w:spacing w:line="360" w:lineRule="auto"/>
        <w:jc w:val="both"/>
        <w:rPr>
          <w:rFonts w:ascii="Arial" w:eastAsia="Calibri" w:hAnsi="Arial" w:cs="Arial"/>
        </w:rPr>
      </w:pPr>
    </w:p>
    <w:p w:rsidR="00B8501C" w:rsidRDefault="00B8501C" w:rsidP="00F36D7A">
      <w:pPr>
        <w:numPr>
          <w:ilvl w:val="0"/>
          <w:numId w:val="16"/>
        </w:numPr>
        <w:spacing w:line="360" w:lineRule="auto"/>
        <w:jc w:val="both"/>
        <w:rPr>
          <w:rFonts w:ascii="Arial" w:eastAsia="Calibri" w:hAnsi="Arial" w:cs="Arial"/>
        </w:rPr>
      </w:pPr>
      <w:r w:rsidRPr="007F5A62">
        <w:rPr>
          <w:rFonts w:ascii="Arial" w:eastAsia="Calibri" w:hAnsi="Arial" w:cs="Arial"/>
          <w:b/>
        </w:rPr>
        <w:t>Pensiones.-</w:t>
      </w:r>
      <w:r w:rsidRPr="007F5A62">
        <w:rPr>
          <w:rFonts w:ascii="Arial" w:eastAsia="Calibri" w:hAnsi="Arial" w:cs="Arial"/>
        </w:rPr>
        <w:t xml:space="preserve"> Tema financiero que se desarrolla en el apartado de Riesgos Fiscales.</w:t>
      </w:r>
    </w:p>
    <w:p w:rsidR="00DC05D7" w:rsidRPr="007F5A62" w:rsidRDefault="00DC05D7" w:rsidP="00DC05D7">
      <w:pPr>
        <w:spacing w:line="360" w:lineRule="auto"/>
        <w:ind w:left="720"/>
        <w:jc w:val="both"/>
        <w:rPr>
          <w:rFonts w:ascii="Arial" w:eastAsia="Calibri" w:hAnsi="Arial" w:cs="Arial"/>
        </w:rPr>
      </w:pPr>
    </w:p>
    <w:p w:rsidR="00B8501C" w:rsidRDefault="00B8501C" w:rsidP="00F36D7A">
      <w:pPr>
        <w:numPr>
          <w:ilvl w:val="0"/>
          <w:numId w:val="16"/>
        </w:numPr>
        <w:spacing w:line="360" w:lineRule="auto"/>
        <w:ind w:left="714" w:hanging="357"/>
        <w:jc w:val="both"/>
        <w:rPr>
          <w:rFonts w:ascii="Arial" w:eastAsia="Calibri" w:hAnsi="Arial" w:cs="Arial"/>
        </w:rPr>
      </w:pPr>
      <w:r w:rsidRPr="007F5A62">
        <w:rPr>
          <w:rFonts w:ascii="Arial" w:eastAsia="Calibri" w:hAnsi="Arial" w:cs="Arial"/>
          <w:b/>
        </w:rPr>
        <w:t>Desastres naturales.-</w:t>
      </w:r>
      <w:r w:rsidRPr="007F5A62">
        <w:rPr>
          <w:rFonts w:ascii="Arial" w:eastAsia="Calibri" w:hAnsi="Arial" w:cs="Arial"/>
        </w:rPr>
        <w:t xml:space="preserve"> Se consideran recursos para el Fondo de Desastres Naturales, por un monto de 50 millones de pesos, para cubrir el costo de daños en infraestructura pública y atender a la población afectada. Los recursos se deberán depositar en el fideicomiso de administración y pago.</w:t>
      </w:r>
    </w:p>
    <w:p w:rsidR="00DC05D7" w:rsidRDefault="00DC05D7" w:rsidP="00DC05D7">
      <w:pPr>
        <w:pStyle w:val="Prrafodelista"/>
        <w:rPr>
          <w:rFonts w:ascii="Arial" w:eastAsia="Calibri" w:hAnsi="Arial" w:cs="Arial"/>
        </w:rPr>
      </w:pPr>
    </w:p>
    <w:p w:rsidR="00B8501C" w:rsidRDefault="00B8501C" w:rsidP="00F36D7A">
      <w:pPr>
        <w:numPr>
          <w:ilvl w:val="0"/>
          <w:numId w:val="16"/>
        </w:numPr>
        <w:spacing w:line="360" w:lineRule="auto"/>
        <w:ind w:left="714" w:hanging="357"/>
        <w:jc w:val="both"/>
        <w:rPr>
          <w:rFonts w:ascii="Arial" w:eastAsia="Calibri" w:hAnsi="Arial" w:cs="Arial"/>
        </w:rPr>
      </w:pPr>
      <w:r w:rsidRPr="007F5A62">
        <w:rPr>
          <w:rFonts w:ascii="Arial" w:eastAsia="Calibri" w:hAnsi="Arial" w:cs="Arial"/>
          <w:b/>
        </w:rPr>
        <w:t>Servicios personales.-</w:t>
      </w:r>
      <w:r w:rsidRPr="007F5A62">
        <w:rPr>
          <w:rFonts w:ascii="Arial" w:eastAsia="Calibri" w:hAnsi="Arial" w:cs="Arial"/>
        </w:rPr>
        <w:t xml:space="preserve"> Se incluye una sección específica correspondiente al gasto en servicios personales, el cual comprende las remuneraciones de los servidores públicos, desglosando las </w:t>
      </w:r>
      <w:r w:rsidRPr="007F5A62">
        <w:rPr>
          <w:rFonts w:ascii="Arial" w:eastAsia="Calibri" w:hAnsi="Arial" w:cs="Arial"/>
        </w:rPr>
        <w:lastRenderedPageBreak/>
        <w:t>percepciones ordinarias y extraordinarias, e incluyendo las erogaciones por concepto de obligaciones de carácter fiscal y de seguridad social inherentes a las mismas, así como un fondo para previsiones salariales y económicas destinado a cubrir los incrementos salariales, la creación de plazas y otras medidas económicas de índole laboral.</w:t>
      </w:r>
    </w:p>
    <w:p w:rsidR="00DC05D7" w:rsidRDefault="00DC05D7" w:rsidP="00DC05D7">
      <w:pPr>
        <w:pStyle w:val="Prrafodelista"/>
        <w:rPr>
          <w:rFonts w:ascii="Arial" w:eastAsia="Calibri" w:hAnsi="Arial" w:cs="Arial"/>
        </w:rPr>
      </w:pPr>
    </w:p>
    <w:p w:rsidR="00B8501C" w:rsidRDefault="00B8501C" w:rsidP="00F36D7A">
      <w:pPr>
        <w:numPr>
          <w:ilvl w:val="0"/>
          <w:numId w:val="16"/>
        </w:numPr>
        <w:spacing w:line="360" w:lineRule="auto"/>
        <w:ind w:left="714" w:hanging="357"/>
        <w:jc w:val="both"/>
        <w:rPr>
          <w:rFonts w:ascii="Arial" w:eastAsia="Calibri" w:hAnsi="Arial" w:cs="Arial"/>
        </w:rPr>
      </w:pPr>
      <w:r w:rsidRPr="007F5A62">
        <w:rPr>
          <w:rFonts w:ascii="Arial" w:eastAsia="Calibri" w:hAnsi="Arial" w:cs="Arial"/>
          <w:b/>
        </w:rPr>
        <w:t>ADEFAS.-</w:t>
      </w:r>
      <w:r w:rsidRPr="007F5A62">
        <w:rPr>
          <w:rFonts w:ascii="Arial" w:eastAsia="Calibri" w:hAnsi="Arial" w:cs="Arial"/>
        </w:rPr>
        <w:t xml:space="preserve"> En el caso de los </w:t>
      </w:r>
      <w:r w:rsidRPr="007F5A62">
        <w:rPr>
          <w:rFonts w:ascii="Arial" w:eastAsia="Calibri" w:hAnsi="Arial" w:cs="Arial"/>
          <w:b/>
        </w:rPr>
        <w:t>Adeudos de Ejercicios Fiscales Anteriores</w:t>
      </w:r>
      <w:r w:rsidRPr="007F5A62">
        <w:rPr>
          <w:rFonts w:ascii="Arial" w:eastAsia="Calibri" w:hAnsi="Arial" w:cs="Arial"/>
        </w:rPr>
        <w:t xml:space="preserve"> (ADEFAS), se establece un monto equivalente al 2% de los ingresos totales, para el pago de adeudos que al cierre del ejercicio de 2018 se encuentren pendientes de pago.</w:t>
      </w:r>
    </w:p>
    <w:p w:rsidR="00DC05D7" w:rsidRDefault="00DC05D7" w:rsidP="00DC05D7">
      <w:pPr>
        <w:pStyle w:val="Prrafodelista"/>
        <w:rPr>
          <w:rFonts w:ascii="Arial" w:eastAsia="Calibri" w:hAnsi="Arial" w:cs="Arial"/>
        </w:rPr>
      </w:pPr>
    </w:p>
    <w:p w:rsidR="00B8501C" w:rsidRDefault="00B8501C" w:rsidP="00F36D7A">
      <w:pPr>
        <w:numPr>
          <w:ilvl w:val="0"/>
          <w:numId w:val="16"/>
        </w:numPr>
        <w:spacing w:line="360" w:lineRule="auto"/>
        <w:jc w:val="both"/>
        <w:rPr>
          <w:rFonts w:ascii="Arial" w:eastAsia="Calibri" w:hAnsi="Arial" w:cs="Arial"/>
        </w:rPr>
      </w:pPr>
      <w:r w:rsidRPr="007F5A62">
        <w:rPr>
          <w:rFonts w:ascii="Arial" w:eastAsia="Calibri" w:hAnsi="Arial" w:cs="Arial"/>
          <w:b/>
        </w:rPr>
        <w:t>Excedentes presupuestarios.-</w:t>
      </w:r>
      <w:r w:rsidRPr="007F5A62">
        <w:rPr>
          <w:rFonts w:ascii="Arial" w:eastAsia="Calibri" w:hAnsi="Arial" w:cs="Arial"/>
        </w:rPr>
        <w:t xml:space="preserve">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 como sigue:</w:t>
      </w:r>
    </w:p>
    <w:p w:rsidR="00DC05D7" w:rsidRDefault="00DC05D7" w:rsidP="00DC05D7">
      <w:pPr>
        <w:pStyle w:val="Prrafodelista"/>
        <w:rPr>
          <w:rFonts w:ascii="Arial" w:eastAsia="Calibri" w:hAnsi="Arial" w:cs="Arial"/>
        </w:rPr>
      </w:pPr>
    </w:p>
    <w:p w:rsidR="00B8501C" w:rsidRDefault="00B8501C" w:rsidP="00F36D7A">
      <w:pPr>
        <w:numPr>
          <w:ilvl w:val="1"/>
          <w:numId w:val="18"/>
        </w:numPr>
        <w:spacing w:line="360" w:lineRule="auto"/>
        <w:ind w:left="1434" w:hanging="357"/>
        <w:jc w:val="both"/>
        <w:rPr>
          <w:rFonts w:ascii="Arial" w:eastAsia="Calibri" w:hAnsi="Arial" w:cs="Arial"/>
        </w:rPr>
      </w:pPr>
      <w:r w:rsidRPr="007F5A62">
        <w:rPr>
          <w:rFonts w:ascii="Arial" w:eastAsia="Calibri" w:hAnsi="Arial" w:cs="Arial"/>
        </w:rPr>
        <w:t xml:space="preserve">Cuando menos, el 50% deberá utilizarse para amortizar la deuda pública del Estado, ADEFAS, pasivos, obligaciones; y pago de sentencias definitivas emitidas por autoridad competente. </w:t>
      </w:r>
    </w:p>
    <w:p w:rsidR="00DC05D7" w:rsidRPr="007F5A62" w:rsidRDefault="00DC05D7" w:rsidP="00DC05D7">
      <w:pPr>
        <w:spacing w:line="360" w:lineRule="auto"/>
        <w:ind w:left="1434"/>
        <w:jc w:val="both"/>
        <w:rPr>
          <w:rFonts w:ascii="Arial" w:eastAsia="Calibri" w:hAnsi="Arial" w:cs="Arial"/>
        </w:rPr>
      </w:pPr>
    </w:p>
    <w:p w:rsidR="00B8501C" w:rsidRDefault="00B8501C" w:rsidP="00F36D7A">
      <w:pPr>
        <w:numPr>
          <w:ilvl w:val="1"/>
          <w:numId w:val="18"/>
        </w:numPr>
        <w:spacing w:line="360" w:lineRule="auto"/>
        <w:ind w:left="1434" w:hanging="357"/>
        <w:jc w:val="both"/>
        <w:rPr>
          <w:rFonts w:ascii="Arial" w:eastAsia="Calibri" w:hAnsi="Arial" w:cs="Arial"/>
        </w:rPr>
      </w:pPr>
      <w:r w:rsidRPr="007F5A62">
        <w:rPr>
          <w:rFonts w:ascii="Arial" w:eastAsia="Calibri" w:hAnsi="Arial" w:cs="Arial"/>
        </w:rPr>
        <w:lastRenderedPageBreak/>
        <w:t>Fondo de Contingencias, con la finalidad de compensar la caída de Ingresos de libre disposición de ejercicios subsecuentes.</w:t>
      </w:r>
    </w:p>
    <w:p w:rsidR="00DC05D7" w:rsidRPr="007F5A62" w:rsidRDefault="00DC05D7" w:rsidP="00DC05D7">
      <w:pPr>
        <w:spacing w:line="360" w:lineRule="auto"/>
        <w:ind w:left="1434"/>
        <w:jc w:val="both"/>
        <w:rPr>
          <w:rFonts w:ascii="Arial" w:eastAsia="Calibri" w:hAnsi="Arial" w:cs="Arial"/>
        </w:rPr>
      </w:pPr>
    </w:p>
    <w:p w:rsidR="00B8501C" w:rsidRDefault="00B8501C" w:rsidP="00F36D7A">
      <w:pPr>
        <w:numPr>
          <w:ilvl w:val="1"/>
          <w:numId w:val="18"/>
        </w:numPr>
        <w:spacing w:line="360" w:lineRule="auto"/>
        <w:ind w:left="1434" w:hanging="357"/>
        <w:jc w:val="both"/>
        <w:rPr>
          <w:rFonts w:ascii="Arial" w:eastAsia="Calibri" w:hAnsi="Arial" w:cs="Arial"/>
        </w:rPr>
      </w:pPr>
      <w:r w:rsidRPr="007F5A62">
        <w:rPr>
          <w:rFonts w:ascii="Arial" w:eastAsia="Calibri" w:hAnsi="Arial" w:cs="Arial"/>
        </w:rPr>
        <w:t>Aportaciones a Pensiones.</w:t>
      </w:r>
    </w:p>
    <w:p w:rsidR="00DC05D7" w:rsidRPr="007F5A62" w:rsidRDefault="00DC05D7" w:rsidP="00DC05D7">
      <w:pPr>
        <w:spacing w:line="360" w:lineRule="auto"/>
        <w:ind w:left="1434"/>
        <w:jc w:val="both"/>
        <w:rPr>
          <w:rFonts w:ascii="Arial" w:eastAsia="Calibri" w:hAnsi="Arial" w:cs="Arial"/>
        </w:rPr>
      </w:pPr>
    </w:p>
    <w:p w:rsidR="00B8501C" w:rsidRDefault="00B8501C" w:rsidP="00F36D7A">
      <w:pPr>
        <w:numPr>
          <w:ilvl w:val="1"/>
          <w:numId w:val="18"/>
        </w:numPr>
        <w:spacing w:line="360" w:lineRule="auto"/>
        <w:ind w:left="1434" w:hanging="357"/>
        <w:jc w:val="both"/>
        <w:rPr>
          <w:rFonts w:ascii="Arial" w:eastAsia="Calibri" w:hAnsi="Arial" w:cs="Arial"/>
        </w:rPr>
      </w:pPr>
      <w:r w:rsidRPr="007F5A62">
        <w:rPr>
          <w:rFonts w:ascii="Arial" w:eastAsia="Calibri" w:hAnsi="Arial" w:cs="Arial"/>
        </w:rPr>
        <w:t>Fondo de Desastres Naturales.</w:t>
      </w:r>
    </w:p>
    <w:p w:rsidR="00DC05D7" w:rsidRPr="007F5A62" w:rsidRDefault="00DC05D7" w:rsidP="00DC05D7">
      <w:pPr>
        <w:spacing w:line="360" w:lineRule="auto"/>
        <w:ind w:left="1434"/>
        <w:jc w:val="both"/>
        <w:rPr>
          <w:rFonts w:ascii="Arial" w:eastAsia="Calibri" w:hAnsi="Arial" w:cs="Arial"/>
        </w:rPr>
      </w:pPr>
    </w:p>
    <w:p w:rsidR="00B8501C" w:rsidRDefault="00B8501C" w:rsidP="00F36D7A">
      <w:pPr>
        <w:numPr>
          <w:ilvl w:val="1"/>
          <w:numId w:val="18"/>
        </w:numPr>
        <w:spacing w:line="360" w:lineRule="auto"/>
        <w:ind w:left="1434" w:hanging="357"/>
        <w:jc w:val="both"/>
        <w:rPr>
          <w:rFonts w:ascii="Arial" w:eastAsia="Calibri" w:hAnsi="Arial" w:cs="Arial"/>
        </w:rPr>
      </w:pPr>
      <w:r w:rsidRPr="007F5A62">
        <w:rPr>
          <w:rFonts w:ascii="Arial" w:eastAsia="Calibri" w:hAnsi="Arial" w:cs="Arial"/>
        </w:rPr>
        <w:t>En caso de que existan remanentes, de estos ingresos excedentes, se destinarán a inversión pública de infraestructura o programas sociales, a través de los fondos constituidos para tal efecto, a fin de que los recursos correspondientes se ejerzan a más tardar en el ejercicio inmediato siguiente.</w:t>
      </w:r>
    </w:p>
    <w:p w:rsidR="00DC05D7" w:rsidRPr="007F5A62" w:rsidRDefault="00DC05D7" w:rsidP="00DC05D7">
      <w:pPr>
        <w:spacing w:line="360" w:lineRule="auto"/>
        <w:ind w:left="1434"/>
        <w:jc w:val="both"/>
        <w:rPr>
          <w:rFonts w:ascii="Arial" w:eastAsia="Calibri" w:hAnsi="Arial" w:cs="Arial"/>
        </w:rPr>
      </w:pPr>
    </w:p>
    <w:p w:rsidR="00B8501C" w:rsidRPr="007F5A62" w:rsidRDefault="00B8501C" w:rsidP="00F36D7A">
      <w:pPr>
        <w:numPr>
          <w:ilvl w:val="1"/>
          <w:numId w:val="18"/>
        </w:numPr>
        <w:spacing w:line="360" w:lineRule="auto"/>
        <w:ind w:left="1434" w:hanging="357"/>
        <w:jc w:val="both"/>
        <w:rPr>
          <w:rFonts w:ascii="Arial" w:eastAsia="Calibri" w:hAnsi="Arial" w:cs="Arial"/>
        </w:rPr>
      </w:pPr>
      <w:r w:rsidRPr="007F5A62">
        <w:rPr>
          <w:rFonts w:ascii="Arial" w:eastAsia="Calibri" w:hAnsi="Arial" w:cs="Arial"/>
        </w:rPr>
        <w:t>Si la Entidad se encuentra en la clasificación como entidad con endeudamiento sostenible, según el Sistema de Alertas, podrá destinar los ingresos excedentes de libre disposición a los rubros mencionados anteriormente, sin restricción alguna.</w:t>
      </w:r>
    </w:p>
    <w:p w:rsidR="00B8501C" w:rsidRPr="007F5A62" w:rsidRDefault="00B8501C" w:rsidP="00765750">
      <w:pPr>
        <w:spacing w:line="360" w:lineRule="auto"/>
        <w:ind w:left="360"/>
        <w:jc w:val="both"/>
        <w:rPr>
          <w:rFonts w:ascii="Arial" w:eastAsia="Calibri" w:hAnsi="Arial" w:cs="Arial"/>
        </w:rPr>
      </w:pPr>
    </w:p>
    <w:p w:rsidR="00B8501C" w:rsidRPr="007F5A62" w:rsidRDefault="00B8501C" w:rsidP="00DC05D7">
      <w:pPr>
        <w:spacing w:line="360" w:lineRule="auto"/>
        <w:jc w:val="both"/>
        <w:rPr>
          <w:rFonts w:ascii="Arial" w:eastAsia="Calibri" w:hAnsi="Arial" w:cs="Arial"/>
        </w:rPr>
      </w:pPr>
      <w:r w:rsidRPr="007F5A62">
        <w:rPr>
          <w:rFonts w:ascii="Arial" w:eastAsia="Calibri" w:hAnsi="Arial" w:cs="Arial"/>
        </w:rPr>
        <w:t xml:space="preserve">Los Municipios y demás entes públicos se apegarán a la misma regla, conforme lo previsto en el Código Financiero </w:t>
      </w:r>
      <w:r>
        <w:rPr>
          <w:rFonts w:ascii="Arial" w:eastAsia="Calibri" w:hAnsi="Arial" w:cs="Arial"/>
        </w:rPr>
        <w:t>para el</w:t>
      </w:r>
      <w:r w:rsidRPr="007F5A62">
        <w:rPr>
          <w:rFonts w:ascii="Arial" w:eastAsia="Calibri" w:hAnsi="Arial" w:cs="Arial"/>
        </w:rPr>
        <w:t xml:space="preserve"> Estado de Tlaxcala y sus Municipios.</w:t>
      </w:r>
    </w:p>
    <w:p w:rsidR="00B8501C" w:rsidRPr="007F5A62" w:rsidRDefault="00B8501C" w:rsidP="00765750">
      <w:pPr>
        <w:spacing w:line="360" w:lineRule="auto"/>
        <w:jc w:val="both"/>
        <w:rPr>
          <w:rFonts w:ascii="Arial" w:hAnsi="Arial" w:cs="Arial"/>
          <w:b/>
          <w:iCs/>
        </w:rPr>
      </w:pPr>
    </w:p>
    <w:p w:rsidR="00B8501C" w:rsidRPr="00DC05D7" w:rsidRDefault="00B8501C" w:rsidP="00765750">
      <w:pPr>
        <w:spacing w:line="360" w:lineRule="auto"/>
        <w:jc w:val="both"/>
        <w:rPr>
          <w:rFonts w:ascii="Arial" w:hAnsi="Arial" w:cs="Arial"/>
          <w:iCs/>
        </w:rPr>
      </w:pPr>
      <w:r w:rsidRPr="00DC05D7">
        <w:rPr>
          <w:rFonts w:ascii="Arial" w:hAnsi="Arial" w:cs="Arial"/>
          <w:iCs/>
        </w:rPr>
        <w:t>Para efectos de lo anterior, es importante puntualizar lo siguiente:</w:t>
      </w:r>
    </w:p>
    <w:p w:rsidR="00B8501C" w:rsidRPr="007F5A62" w:rsidRDefault="00B8501C" w:rsidP="00765750">
      <w:pPr>
        <w:spacing w:line="360" w:lineRule="auto"/>
        <w:jc w:val="both"/>
        <w:rPr>
          <w:rFonts w:ascii="Arial" w:hAnsi="Arial" w:cs="Arial"/>
          <w:b/>
          <w:iCs/>
        </w:rPr>
      </w:pPr>
    </w:p>
    <w:p w:rsidR="00B8501C" w:rsidRPr="007F5A62" w:rsidRDefault="00B8501C" w:rsidP="00765750">
      <w:pPr>
        <w:spacing w:line="360" w:lineRule="auto"/>
        <w:jc w:val="both"/>
        <w:rPr>
          <w:rFonts w:ascii="Arial" w:eastAsia="Calibri" w:hAnsi="Arial" w:cs="Arial"/>
          <w:b/>
          <w:bCs/>
        </w:rPr>
      </w:pPr>
      <w:r w:rsidRPr="007F5A62">
        <w:rPr>
          <w:rFonts w:ascii="Arial" w:eastAsia="Calibri" w:hAnsi="Arial" w:cs="Arial"/>
          <w:b/>
          <w:bCs/>
        </w:rPr>
        <w:lastRenderedPageBreak/>
        <w:t>PERSPECTIVAS ECONÓMICAS Y FISCALES DEL ESTADO DE TLAXCALA 2019-2024.</w:t>
      </w:r>
    </w:p>
    <w:p w:rsidR="00DC05D7" w:rsidRDefault="00DC05D7" w:rsidP="00765750">
      <w:pPr>
        <w:spacing w:line="360" w:lineRule="auto"/>
        <w:jc w:val="both"/>
        <w:rPr>
          <w:rFonts w:ascii="Arial" w:eastAsia="Calibri" w:hAnsi="Arial" w:cs="Arial"/>
        </w:rPr>
      </w:pPr>
    </w:p>
    <w:p w:rsidR="00B8501C" w:rsidRDefault="00B8501C" w:rsidP="00765750">
      <w:pPr>
        <w:spacing w:line="360" w:lineRule="auto"/>
        <w:jc w:val="both"/>
        <w:rPr>
          <w:rFonts w:ascii="Arial" w:eastAsia="Calibri" w:hAnsi="Arial" w:cs="Arial"/>
        </w:rPr>
      </w:pPr>
      <w:r w:rsidRPr="007F5A62">
        <w:rPr>
          <w:rFonts w:ascii="Arial" w:eastAsia="Calibri" w:hAnsi="Arial" w:cs="Arial"/>
        </w:rPr>
        <w:t xml:space="preserve">El Gobierno del Estado, siguiendo las políticas establecidas en los últimos años por el Gobierno Federal ha trabajado de manera continua para fortalecer los ingresos, mejorar la eficiencia del gasto e impulsar la responsabilidad fiscal, la transparencia presupuestal y la rendición de cuentas. </w:t>
      </w:r>
    </w:p>
    <w:p w:rsidR="00DC05D7" w:rsidRPr="007F5A62" w:rsidRDefault="00DC05D7"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Se prevé que en 2019 las exportaciones no petroleras de México registren una aceleración respecto a 2018. Esto se traduciría en un mayor crecimiento de la producción de manufacturas y de los servicios más relacionados con el comercio exterior. Asimismo, se anticipa que la plataforma de producción de petróleo en 2019 comience a recuperarse de la tendencia decreciente que registra desde 2005.</w:t>
      </w:r>
    </w:p>
    <w:p w:rsidR="00DC05D7" w:rsidRDefault="00DC05D7"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 xml:space="preserve">Por otro lado, se estima un fortalecimiento de la demanda interna, apoyado en la creación de empleos formales, la expansión del crédito, un aumento de los salarios, la convergencia de la inflación al objetivo del Banco de México de 3.0 </w:t>
      </w:r>
      <w:r>
        <w:rPr>
          <w:rFonts w:ascii="Arial" w:eastAsia="Calibri" w:hAnsi="Arial" w:cs="Arial"/>
        </w:rPr>
        <w:t>%</w:t>
      </w:r>
      <w:r w:rsidRPr="007F5A62">
        <w:rPr>
          <w:rFonts w:ascii="Arial" w:eastAsia="Calibri" w:hAnsi="Arial" w:cs="Arial"/>
        </w:rPr>
        <w:t xml:space="preserve"> con un rango de un punto porcentual, y una mejoría paulatina de la confianza de los consumidores y las empresas. Por tanto, también se anticipa un mayor crecimiento de los sectores de la construcción y los servicios menos vinculados con el sector externo.</w:t>
      </w:r>
    </w:p>
    <w:p w:rsidR="00DC05D7" w:rsidRDefault="00DC05D7"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lastRenderedPageBreak/>
        <w:t>Asimismo, se prevé que el dinamismo del consumo y la inversión también estarán apuntalados por los efectos de la implementación de las Reformas Estructurales. En particular, se anticipa que las rondas de licitaciones del sector energético continúen impulsando una mayor inversión y que comiencen a contribuir a una mayor producción de petróleo y gas. De acuerdo con la encuesta a los especialistas en economía del sector privado publicada por el Banco de México en 2018, se disminuye en 27.5 mmd el ingreso de la inversión extranjera directa, en 2019 sigue a la baja en 26.7</w:t>
      </w:r>
      <w:r>
        <w:rPr>
          <w:rFonts w:ascii="Arial" w:eastAsia="Calibri" w:hAnsi="Arial" w:cs="Arial"/>
        </w:rPr>
        <w:t xml:space="preserve"> </w:t>
      </w:r>
      <w:r w:rsidRPr="007F5A62">
        <w:rPr>
          <w:rFonts w:ascii="Arial" w:eastAsia="Calibri" w:hAnsi="Arial" w:cs="Arial"/>
        </w:rPr>
        <w:t xml:space="preserve">mmd. Considerando los factores anteriores y los efectos asociados a las Reformas Estructurales, se estima que durante 2018 el valor real del PIB de México registre un crecimiento anual de entre 2.0 y 3.0 </w:t>
      </w:r>
      <w:r>
        <w:rPr>
          <w:rFonts w:ascii="Arial" w:eastAsia="Calibri" w:hAnsi="Arial" w:cs="Arial"/>
        </w:rPr>
        <w:t>%</w:t>
      </w:r>
      <w:r w:rsidRPr="007F5A62">
        <w:rPr>
          <w:rFonts w:ascii="Arial" w:eastAsia="Calibri" w:hAnsi="Arial" w:cs="Arial"/>
        </w:rPr>
        <w:t xml:space="preserve">. Para efectos de las estimaciones de finanzas públicas, se plantea utilizar un crecimiento puntual del PIB para 2019 de 3.0 </w:t>
      </w:r>
      <w:r>
        <w:rPr>
          <w:rFonts w:ascii="Arial" w:eastAsia="Calibri" w:hAnsi="Arial" w:cs="Arial"/>
        </w:rPr>
        <w:t>%</w:t>
      </w:r>
      <w:r w:rsidRPr="007F5A62">
        <w:rPr>
          <w:rFonts w:ascii="Arial" w:eastAsia="Calibri" w:hAnsi="Arial" w:cs="Arial"/>
        </w:rPr>
        <w:t>.</w:t>
      </w:r>
    </w:p>
    <w:p w:rsidR="00DC05D7" w:rsidRDefault="00DC05D7"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t xml:space="preserve">El marco macroeconómico de mediano plazo contempla los efectos positivos de la agenda de Reformas Estructurales que se han implementado durante la presente administración federal. Asimismo, el escenario de mediano plazo se elaboró considerando una serie de trayectorias futuras para indicadores internacionales que podrían afectarlo, tales como: 1) la evolución de la economía de Estados Unidos; 2) las tasas de interés internacionales; 3) el entorno en los mercados internacionales de capital; y 4) los precios del petróleo y del gas natural a nivel mundial. </w:t>
      </w:r>
    </w:p>
    <w:p w:rsidR="00DC05D7" w:rsidRDefault="00DC05D7" w:rsidP="00765750">
      <w:pPr>
        <w:spacing w:line="360" w:lineRule="auto"/>
        <w:jc w:val="both"/>
        <w:rPr>
          <w:rFonts w:ascii="Arial" w:eastAsia="Calibri" w:hAnsi="Arial" w:cs="Arial"/>
        </w:rPr>
      </w:pPr>
    </w:p>
    <w:p w:rsidR="00B8501C" w:rsidRPr="007F5A62" w:rsidRDefault="00B8501C" w:rsidP="00765750">
      <w:pPr>
        <w:spacing w:line="360" w:lineRule="auto"/>
        <w:jc w:val="both"/>
        <w:rPr>
          <w:rFonts w:ascii="Arial" w:eastAsia="Calibri" w:hAnsi="Arial" w:cs="Arial"/>
        </w:rPr>
      </w:pPr>
      <w:r w:rsidRPr="007F5A62">
        <w:rPr>
          <w:rFonts w:ascii="Arial" w:eastAsia="Calibri" w:hAnsi="Arial" w:cs="Arial"/>
        </w:rPr>
        <w:lastRenderedPageBreak/>
        <w:t xml:space="preserve">Se estima que durante 2019 el PIB de México tenga un crecimiento anual de entre 2.5 y 3.5 </w:t>
      </w:r>
      <w:r>
        <w:rPr>
          <w:rFonts w:ascii="Arial" w:eastAsia="Calibri" w:hAnsi="Arial" w:cs="Arial"/>
        </w:rPr>
        <w:t>%</w:t>
      </w:r>
      <w:r w:rsidRPr="007F5A62">
        <w:rPr>
          <w:rFonts w:ascii="Arial" w:eastAsia="Calibri" w:hAnsi="Arial" w:cs="Arial"/>
        </w:rPr>
        <w:t xml:space="preserve">, para 2020 su crecimiento sea entre 3.0 y 4.0 </w:t>
      </w:r>
      <w:r>
        <w:rPr>
          <w:rFonts w:ascii="Arial" w:eastAsia="Calibri" w:hAnsi="Arial" w:cs="Arial"/>
        </w:rPr>
        <w:t>%</w:t>
      </w:r>
      <w:r w:rsidRPr="007F5A62">
        <w:rPr>
          <w:rFonts w:ascii="Arial" w:eastAsia="Calibri" w:hAnsi="Arial" w:cs="Arial"/>
        </w:rPr>
        <w:t xml:space="preserve">, mientras que en el periodo 2021-2024 éste se ubicaría en un rango de 3.5 a 4.5 </w:t>
      </w:r>
      <w:r>
        <w:rPr>
          <w:rFonts w:ascii="Arial" w:eastAsia="Calibri" w:hAnsi="Arial" w:cs="Arial"/>
        </w:rPr>
        <w:t>%</w:t>
      </w:r>
      <w:r w:rsidRPr="007F5A62">
        <w:rPr>
          <w:rFonts w:ascii="Arial" w:eastAsia="Calibri" w:hAnsi="Arial" w:cs="Arial"/>
        </w:rPr>
        <w:t xml:space="preserve">. Para efectos de las estimaciones de finanzas públicas se plantea utilizar un crecimiento puntual del PIB para el periodo 2019 y 2020 de 3.0 y 3.5 </w:t>
      </w:r>
      <w:r>
        <w:rPr>
          <w:rFonts w:ascii="Arial" w:eastAsia="Calibri" w:hAnsi="Arial" w:cs="Arial"/>
        </w:rPr>
        <w:t>%</w:t>
      </w:r>
      <w:r w:rsidRPr="007F5A62">
        <w:rPr>
          <w:rFonts w:ascii="Arial" w:eastAsia="Calibri" w:hAnsi="Arial" w:cs="Arial"/>
        </w:rPr>
        <w:t xml:space="preserve">, respectivamente, y para los años 2021 al 2024 un crecimiento de 3.5 </w:t>
      </w:r>
      <w:r>
        <w:rPr>
          <w:rFonts w:ascii="Arial" w:eastAsia="Calibri" w:hAnsi="Arial" w:cs="Arial"/>
        </w:rPr>
        <w:t>%</w:t>
      </w:r>
      <w:r w:rsidRPr="007F5A62">
        <w:rPr>
          <w:rFonts w:ascii="Arial" w:eastAsia="Calibri" w:hAnsi="Arial" w:cs="Arial"/>
        </w:rPr>
        <w:t>.</w:t>
      </w:r>
    </w:p>
    <w:p w:rsidR="00DC05D7" w:rsidRDefault="00DC05D7" w:rsidP="00765750">
      <w:pPr>
        <w:spacing w:line="360" w:lineRule="auto"/>
        <w:jc w:val="both"/>
        <w:rPr>
          <w:rFonts w:ascii="Arial" w:eastAsia="Calibri" w:hAnsi="Arial" w:cs="Arial"/>
        </w:rPr>
      </w:pPr>
    </w:p>
    <w:p w:rsidR="00B8501C" w:rsidRDefault="00B8501C" w:rsidP="00765750">
      <w:pPr>
        <w:spacing w:line="360" w:lineRule="auto"/>
        <w:jc w:val="both"/>
        <w:rPr>
          <w:rFonts w:ascii="Arial" w:eastAsia="Calibri" w:hAnsi="Arial" w:cs="Arial"/>
        </w:rPr>
      </w:pPr>
      <w:r w:rsidRPr="007F5A62">
        <w:rPr>
          <w:rFonts w:ascii="Arial" w:eastAsia="Calibri" w:hAnsi="Arial" w:cs="Arial"/>
        </w:rPr>
        <w:t xml:space="preserve">En el siguiente cuadro se presentan las </w:t>
      </w:r>
      <w:r w:rsidR="003D457A">
        <w:rPr>
          <w:rFonts w:ascii="Arial" w:eastAsia="Calibri" w:hAnsi="Arial" w:cs="Arial"/>
        </w:rPr>
        <w:t>proyecciones de egresos</w:t>
      </w:r>
      <w:r w:rsidRPr="007F5A62">
        <w:rPr>
          <w:rFonts w:ascii="Arial" w:eastAsia="Calibri" w:hAnsi="Arial" w:cs="Arial"/>
        </w:rPr>
        <w:t xml:space="preserve"> </w:t>
      </w:r>
      <w:r w:rsidR="003D457A">
        <w:rPr>
          <w:rFonts w:ascii="Arial" w:eastAsia="Calibri" w:hAnsi="Arial" w:cs="Arial"/>
        </w:rPr>
        <w:t>a</w:t>
      </w:r>
      <w:r w:rsidRPr="007F5A62">
        <w:rPr>
          <w:rFonts w:ascii="Arial" w:eastAsia="Calibri" w:hAnsi="Arial" w:cs="Arial"/>
        </w:rPr>
        <w:t xml:space="preserve"> mediano plazo para el Estado de Tlaxcala, tomando como referencia los </w:t>
      </w:r>
      <w:r>
        <w:rPr>
          <w:rFonts w:ascii="Arial" w:eastAsia="Calibri" w:hAnsi="Arial" w:cs="Arial"/>
        </w:rPr>
        <w:t>“Pre-</w:t>
      </w:r>
      <w:r w:rsidRPr="007F5A62">
        <w:rPr>
          <w:rFonts w:ascii="Arial" w:eastAsia="Calibri" w:hAnsi="Arial" w:cs="Arial"/>
        </w:rPr>
        <w:t>Criterios</w:t>
      </w:r>
      <w:r>
        <w:rPr>
          <w:rFonts w:ascii="Arial" w:eastAsia="Calibri" w:hAnsi="Arial" w:cs="Arial"/>
        </w:rPr>
        <w:t xml:space="preserve"> 2019” publicados por la Secretaria de Hacienda y Crédito Público</w:t>
      </w:r>
      <w:r w:rsidRPr="007F5A62">
        <w:rPr>
          <w:rFonts w:ascii="Arial" w:eastAsia="Calibri" w:hAnsi="Arial" w:cs="Arial"/>
        </w:rPr>
        <w:t>.</w:t>
      </w:r>
    </w:p>
    <w:p w:rsidR="00DC05D7" w:rsidRPr="007F5A62" w:rsidRDefault="00DC05D7" w:rsidP="00765750">
      <w:pPr>
        <w:spacing w:line="360" w:lineRule="auto"/>
        <w:jc w:val="both"/>
        <w:rPr>
          <w:rFonts w:ascii="Arial" w:eastAsia="Calibri" w:hAnsi="Arial" w:cs="Arial"/>
        </w:rPr>
      </w:pPr>
    </w:p>
    <w:tbl>
      <w:tblPr>
        <w:tblW w:w="8237" w:type="dxa"/>
        <w:tblInd w:w="55" w:type="dxa"/>
        <w:tblCellMar>
          <w:left w:w="70" w:type="dxa"/>
          <w:right w:w="70" w:type="dxa"/>
        </w:tblCellMar>
        <w:tblLook w:val="04A0" w:firstRow="1" w:lastRow="0" w:firstColumn="1" w:lastColumn="0" w:noHBand="0" w:noVBand="1"/>
      </w:tblPr>
      <w:tblGrid>
        <w:gridCol w:w="2425"/>
        <w:gridCol w:w="992"/>
        <w:gridCol w:w="993"/>
        <w:gridCol w:w="1134"/>
        <w:gridCol w:w="992"/>
        <w:gridCol w:w="850"/>
        <w:gridCol w:w="851"/>
      </w:tblGrid>
      <w:tr w:rsidR="00B8501C" w:rsidRPr="007F5A62" w:rsidTr="00B8501C">
        <w:trPr>
          <w:trHeight w:val="300"/>
        </w:trPr>
        <w:tc>
          <w:tcPr>
            <w:tcW w:w="8237" w:type="dxa"/>
            <w:gridSpan w:val="7"/>
            <w:tcBorders>
              <w:top w:val="single" w:sz="8" w:space="0" w:color="auto"/>
              <w:left w:val="single" w:sz="8" w:space="0" w:color="auto"/>
              <w:bottom w:val="nil"/>
              <w:right w:val="single" w:sz="8" w:space="0" w:color="000000"/>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GOBIERNO DEL ESTADO DE TLAXCALA</w:t>
            </w:r>
          </w:p>
        </w:tc>
      </w:tr>
      <w:tr w:rsidR="00B8501C" w:rsidRPr="007F5A62" w:rsidTr="00B8501C">
        <w:trPr>
          <w:trHeight w:val="300"/>
        </w:trPr>
        <w:tc>
          <w:tcPr>
            <w:tcW w:w="8237" w:type="dxa"/>
            <w:gridSpan w:val="7"/>
            <w:tcBorders>
              <w:top w:val="nil"/>
              <w:left w:val="single" w:sz="8" w:space="0" w:color="auto"/>
              <w:bottom w:val="nil"/>
              <w:right w:val="single" w:sz="8" w:space="0" w:color="000000"/>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Proyección de Egresos - LDF</w:t>
            </w:r>
          </w:p>
        </w:tc>
      </w:tr>
      <w:tr w:rsidR="00B8501C" w:rsidRPr="007F5A62" w:rsidTr="00B8501C">
        <w:trPr>
          <w:trHeight w:val="300"/>
        </w:trPr>
        <w:tc>
          <w:tcPr>
            <w:tcW w:w="8237" w:type="dxa"/>
            <w:gridSpan w:val="7"/>
            <w:tcBorders>
              <w:top w:val="nil"/>
              <w:left w:val="single" w:sz="8" w:space="0" w:color="auto"/>
              <w:bottom w:val="nil"/>
              <w:right w:val="single" w:sz="8" w:space="0" w:color="000000"/>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(PESOS)</w:t>
            </w:r>
          </w:p>
        </w:tc>
      </w:tr>
      <w:tr w:rsidR="00B8501C" w:rsidRPr="007F5A62" w:rsidTr="00B8501C">
        <w:trPr>
          <w:trHeight w:val="315"/>
        </w:trPr>
        <w:tc>
          <w:tcPr>
            <w:tcW w:w="8237" w:type="dxa"/>
            <w:gridSpan w:val="7"/>
            <w:tcBorders>
              <w:top w:val="nil"/>
              <w:left w:val="single" w:sz="8" w:space="0" w:color="auto"/>
              <w:bottom w:val="single" w:sz="8" w:space="0" w:color="auto"/>
              <w:right w:val="single" w:sz="8" w:space="0" w:color="000000"/>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(CIFRAS NOMINALES)</w:t>
            </w:r>
          </w:p>
        </w:tc>
      </w:tr>
      <w:tr w:rsidR="00B8501C" w:rsidRPr="007F5A62" w:rsidTr="00B8501C">
        <w:trPr>
          <w:trHeight w:val="315"/>
        </w:trPr>
        <w:tc>
          <w:tcPr>
            <w:tcW w:w="2425" w:type="dxa"/>
            <w:tcBorders>
              <w:top w:val="nil"/>
              <w:left w:val="single" w:sz="8" w:space="0" w:color="auto"/>
              <w:bottom w:val="single" w:sz="8" w:space="0" w:color="auto"/>
              <w:right w:val="single" w:sz="8" w:space="0" w:color="auto"/>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Concepto (b)</w:t>
            </w:r>
          </w:p>
        </w:tc>
        <w:tc>
          <w:tcPr>
            <w:tcW w:w="992" w:type="dxa"/>
            <w:tcBorders>
              <w:top w:val="nil"/>
              <w:left w:val="nil"/>
              <w:bottom w:val="single" w:sz="8" w:space="0" w:color="auto"/>
              <w:right w:val="single" w:sz="8" w:space="0" w:color="auto"/>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2019</w:t>
            </w:r>
          </w:p>
        </w:tc>
        <w:tc>
          <w:tcPr>
            <w:tcW w:w="993" w:type="dxa"/>
            <w:tcBorders>
              <w:top w:val="nil"/>
              <w:left w:val="nil"/>
              <w:bottom w:val="single" w:sz="8" w:space="0" w:color="auto"/>
              <w:right w:val="single" w:sz="8" w:space="0" w:color="auto"/>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2020</w:t>
            </w:r>
          </w:p>
        </w:tc>
        <w:tc>
          <w:tcPr>
            <w:tcW w:w="1134" w:type="dxa"/>
            <w:tcBorders>
              <w:top w:val="nil"/>
              <w:left w:val="nil"/>
              <w:bottom w:val="single" w:sz="8" w:space="0" w:color="auto"/>
              <w:right w:val="single" w:sz="8" w:space="0" w:color="auto"/>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2021</w:t>
            </w:r>
          </w:p>
        </w:tc>
        <w:tc>
          <w:tcPr>
            <w:tcW w:w="992" w:type="dxa"/>
            <w:tcBorders>
              <w:top w:val="nil"/>
              <w:left w:val="nil"/>
              <w:bottom w:val="single" w:sz="8" w:space="0" w:color="auto"/>
              <w:right w:val="single" w:sz="8" w:space="0" w:color="auto"/>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2022</w:t>
            </w:r>
          </w:p>
        </w:tc>
        <w:tc>
          <w:tcPr>
            <w:tcW w:w="850" w:type="dxa"/>
            <w:tcBorders>
              <w:top w:val="nil"/>
              <w:left w:val="nil"/>
              <w:bottom w:val="single" w:sz="8" w:space="0" w:color="auto"/>
              <w:right w:val="single" w:sz="8" w:space="0" w:color="auto"/>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2023</w:t>
            </w:r>
          </w:p>
        </w:tc>
        <w:tc>
          <w:tcPr>
            <w:tcW w:w="851" w:type="dxa"/>
            <w:tcBorders>
              <w:top w:val="nil"/>
              <w:left w:val="nil"/>
              <w:bottom w:val="single" w:sz="8" w:space="0" w:color="auto"/>
              <w:right w:val="single" w:sz="8" w:space="0" w:color="auto"/>
            </w:tcBorders>
            <w:shd w:val="clear" w:color="000000" w:fill="D9D9D9"/>
            <w:noWrap/>
            <w:vAlign w:val="center"/>
            <w:hideMark/>
          </w:tcPr>
          <w:p w:rsidR="00B8501C" w:rsidRPr="007F5A62" w:rsidRDefault="00B8501C" w:rsidP="00B8501C">
            <w:pPr>
              <w:jc w:val="center"/>
              <w:rPr>
                <w:rFonts w:ascii="Arial" w:hAnsi="Arial" w:cs="Arial"/>
                <w:b/>
                <w:bCs/>
                <w:sz w:val="12"/>
                <w:szCs w:val="12"/>
                <w:lang w:eastAsia="es-MX"/>
              </w:rPr>
            </w:pPr>
            <w:r w:rsidRPr="007F5A62">
              <w:rPr>
                <w:rFonts w:ascii="Arial" w:hAnsi="Arial" w:cs="Arial"/>
                <w:b/>
                <w:bCs/>
                <w:sz w:val="12"/>
                <w:szCs w:val="12"/>
                <w:lang w:eastAsia="es-MX"/>
              </w:rPr>
              <w:t>2024</w:t>
            </w:r>
          </w:p>
        </w:tc>
      </w:tr>
      <w:tr w:rsidR="00B8501C" w:rsidRPr="007F5A62" w:rsidTr="00B8501C">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b/>
                <w:bCs/>
                <w:sz w:val="12"/>
                <w:szCs w:val="12"/>
                <w:lang w:eastAsia="es-MX"/>
              </w:rPr>
            </w:pPr>
            <w:r w:rsidRPr="007F5A62">
              <w:rPr>
                <w:rFonts w:ascii="Arial" w:hAnsi="Arial" w:cs="Arial"/>
                <w:b/>
                <w:bCs/>
                <w:sz w:val="12"/>
                <w:szCs w:val="12"/>
                <w:lang w:eastAsia="es-MX"/>
              </w:rPr>
              <w:t>1.</w:t>
            </w:r>
            <w:r w:rsidRPr="007F5A62">
              <w:rPr>
                <w:b/>
                <w:bCs/>
                <w:sz w:val="12"/>
                <w:szCs w:val="12"/>
                <w:lang w:eastAsia="es-MX"/>
              </w:rPr>
              <w:t xml:space="preserve">  </w:t>
            </w:r>
            <w:r w:rsidRPr="007F5A62">
              <w:rPr>
                <w:rFonts w:ascii="Arial" w:hAnsi="Arial" w:cs="Arial"/>
                <w:b/>
                <w:bCs/>
                <w:sz w:val="12"/>
                <w:szCs w:val="12"/>
                <w:lang w:eastAsia="es-MX"/>
              </w:rPr>
              <w:t>Gasto No Etiquetado</w:t>
            </w:r>
            <w:r w:rsidRPr="007F5A62">
              <w:rPr>
                <w:rFonts w:ascii="Arial" w:hAnsi="Arial" w:cs="Arial"/>
                <w:sz w:val="12"/>
                <w:szCs w:val="12"/>
                <w:lang w:eastAsia="es-MX"/>
              </w:rPr>
              <w:t xml:space="preserve"> </w:t>
            </w:r>
            <w:r w:rsidRPr="007F5A62">
              <w:rPr>
                <w:rFonts w:ascii="Arial" w:hAnsi="Arial" w:cs="Arial"/>
                <w:b/>
                <w:bCs/>
                <w:sz w:val="12"/>
                <w:szCs w:val="12"/>
                <w:lang w:eastAsia="es-MX"/>
              </w:rPr>
              <w:t>(1=A+B+C+D+E+F+G+H+I)</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8,961,274,449</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9,274,919,055</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9,645,915,817</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10,031,752,450</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10,433,022,548</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10,850,343,450</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A.</w:t>
            </w:r>
            <w:r w:rsidRPr="007F5A62">
              <w:rPr>
                <w:sz w:val="12"/>
                <w:szCs w:val="12"/>
                <w:lang w:eastAsia="es-MX"/>
              </w:rPr>
              <w:t xml:space="preserve">     </w:t>
            </w:r>
            <w:r w:rsidRPr="007F5A62">
              <w:rPr>
                <w:rFonts w:ascii="Arial" w:hAnsi="Arial" w:cs="Arial"/>
                <w:sz w:val="12"/>
                <w:szCs w:val="12"/>
                <w:lang w:eastAsia="es-MX"/>
              </w:rPr>
              <w:t>Servicios Personales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2,447,473,304</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2,533,134,869</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2,634,460,264</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2,739,838,674</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2,849,432,221</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2,963,409,510</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B.</w:t>
            </w:r>
            <w:r w:rsidRPr="007F5A62">
              <w:rPr>
                <w:sz w:val="12"/>
                <w:szCs w:val="12"/>
                <w:lang w:eastAsia="es-MX"/>
              </w:rPr>
              <w:t xml:space="preserve">     </w:t>
            </w:r>
            <w:r w:rsidRPr="007F5A62">
              <w:rPr>
                <w:rFonts w:ascii="Arial" w:hAnsi="Arial" w:cs="Arial"/>
                <w:sz w:val="12"/>
                <w:szCs w:val="12"/>
                <w:lang w:eastAsia="es-MX"/>
              </w:rPr>
              <w:t>Materiales y Suministros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191,234,874</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197,928,094</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205,845,218</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214,079,027</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222,642,188</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231,547,875</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C.</w:t>
            </w:r>
            <w:r w:rsidRPr="007F5A62">
              <w:rPr>
                <w:sz w:val="12"/>
                <w:szCs w:val="12"/>
                <w:lang w:eastAsia="es-MX"/>
              </w:rPr>
              <w:t xml:space="preserve">    </w:t>
            </w:r>
            <w:r w:rsidRPr="007F5A62">
              <w:rPr>
                <w:rFonts w:ascii="Arial" w:hAnsi="Arial" w:cs="Arial"/>
                <w:sz w:val="12"/>
                <w:szCs w:val="12"/>
                <w:lang w:eastAsia="es-MX"/>
              </w:rPr>
              <w:t>Servicios Generales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243,777,167</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252,309,368</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262,401,742</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272,897,812</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283,813,724</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295,166,273</w:t>
            </w:r>
          </w:p>
        </w:tc>
      </w:tr>
      <w:tr w:rsidR="00B8501C" w:rsidRPr="007F5A62" w:rsidTr="00B8501C">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D.</w:t>
            </w:r>
            <w:r w:rsidRPr="007F5A62">
              <w:rPr>
                <w:sz w:val="12"/>
                <w:szCs w:val="12"/>
                <w:lang w:eastAsia="es-MX"/>
              </w:rPr>
              <w:t xml:space="preserve">    </w:t>
            </w:r>
            <w:r w:rsidRPr="007F5A62">
              <w:rPr>
                <w:rFonts w:ascii="Arial" w:hAnsi="Arial" w:cs="Arial"/>
                <w:sz w:val="12"/>
                <w:szCs w:val="12"/>
                <w:lang w:eastAsia="es-MX"/>
              </w:rPr>
              <w:t>Transferencias, Asignaciones, Subsidios y Otras Ayudas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3,717,921,385</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3,848,048,633</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4,001,970,579</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4,162,049,402</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4,328,531,378</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4,501,672,633</w:t>
            </w:r>
          </w:p>
        </w:tc>
      </w:tr>
      <w:tr w:rsidR="00B8501C" w:rsidRPr="007F5A62" w:rsidTr="00B8501C">
        <w:trPr>
          <w:trHeight w:val="510"/>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E.</w:t>
            </w:r>
            <w:r w:rsidRPr="007F5A62">
              <w:rPr>
                <w:sz w:val="12"/>
                <w:szCs w:val="12"/>
                <w:lang w:eastAsia="es-MX"/>
              </w:rPr>
              <w:t xml:space="preserve">     </w:t>
            </w:r>
            <w:r w:rsidRPr="007F5A62">
              <w:rPr>
                <w:rFonts w:ascii="Arial" w:hAnsi="Arial" w:cs="Arial"/>
                <w:sz w:val="12"/>
                <w:szCs w:val="12"/>
                <w:lang w:eastAsia="es-MX"/>
              </w:rPr>
              <w:t>Bienes Muebles, Inmuebles e Intangibles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10,376,506</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10,739,683</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11,169,271</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11,616,041</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12,080,683</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12,563,910</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F.</w:t>
            </w:r>
            <w:r w:rsidRPr="007F5A62">
              <w:rPr>
                <w:sz w:val="12"/>
                <w:szCs w:val="12"/>
                <w:lang w:eastAsia="es-MX"/>
              </w:rPr>
              <w:t xml:space="preserve">     </w:t>
            </w:r>
            <w:r w:rsidRPr="007F5A62">
              <w:rPr>
                <w:rFonts w:ascii="Arial" w:hAnsi="Arial" w:cs="Arial"/>
                <w:sz w:val="12"/>
                <w:szCs w:val="12"/>
                <w:lang w:eastAsia="es-MX"/>
              </w:rPr>
              <w:t>Inversión Pública</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454,279,000</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470,178,765</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488,985,916</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508,545,352</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528,887,166</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550,042,653</w:t>
            </w:r>
          </w:p>
        </w:tc>
      </w:tr>
      <w:tr w:rsidR="00B8501C" w:rsidRPr="007F5A62" w:rsidTr="00B8501C">
        <w:trPr>
          <w:trHeight w:val="510"/>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G.</w:t>
            </w:r>
            <w:r w:rsidRPr="007F5A62">
              <w:rPr>
                <w:sz w:val="12"/>
                <w:szCs w:val="12"/>
                <w:lang w:eastAsia="es-MX"/>
              </w:rPr>
              <w:t xml:space="preserve">    </w:t>
            </w:r>
            <w:r w:rsidRPr="007F5A62">
              <w:rPr>
                <w:rFonts w:ascii="Arial" w:hAnsi="Arial" w:cs="Arial"/>
                <w:sz w:val="12"/>
                <w:szCs w:val="12"/>
                <w:lang w:eastAsia="es-MX"/>
              </w:rPr>
              <w:t>Inversiones Financieras y Otras Provisiones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lastRenderedPageBreak/>
              <w:t>H.</w:t>
            </w:r>
            <w:r w:rsidRPr="007F5A62">
              <w:rPr>
                <w:sz w:val="12"/>
                <w:szCs w:val="12"/>
                <w:lang w:eastAsia="es-MX"/>
              </w:rPr>
              <w:t xml:space="preserve">    </w:t>
            </w:r>
            <w:r w:rsidRPr="007F5A62">
              <w:rPr>
                <w:rFonts w:ascii="Arial" w:hAnsi="Arial" w:cs="Arial"/>
                <w:sz w:val="12"/>
                <w:szCs w:val="12"/>
                <w:lang w:eastAsia="es-MX"/>
              </w:rPr>
              <w:t xml:space="preserve">Participaciones y Aportaciones </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1,896,212,215</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1,962,579,642</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2,041,082,828</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2,122,726,141</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2,207,635,187</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2,295,940,594</w:t>
            </w:r>
          </w:p>
        </w:tc>
      </w:tr>
      <w:tr w:rsidR="00B8501C" w:rsidRPr="007F5A62" w:rsidTr="00B8501C">
        <w:trPr>
          <w:trHeight w:val="31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I.</w:t>
            </w:r>
            <w:r w:rsidRPr="007F5A62">
              <w:rPr>
                <w:sz w:val="12"/>
                <w:szCs w:val="12"/>
                <w:lang w:eastAsia="es-MX"/>
              </w:rPr>
              <w:t xml:space="preserve">      </w:t>
            </w:r>
            <w:r w:rsidRPr="007F5A62">
              <w:rPr>
                <w:rFonts w:ascii="Arial" w:hAnsi="Arial" w:cs="Arial"/>
                <w:sz w:val="12"/>
                <w:szCs w:val="12"/>
                <w:lang w:eastAsia="es-MX"/>
              </w:rPr>
              <w:t>Deuda Pública</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r>
      <w:tr w:rsidR="00B8501C" w:rsidRPr="007F5A62" w:rsidTr="00B8501C">
        <w:trPr>
          <w:trHeight w:val="31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 </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rPr>
                <w:rFonts w:ascii="Arial" w:hAnsi="Arial" w:cs="Arial"/>
                <w:sz w:val="10"/>
                <w:szCs w:val="10"/>
                <w:lang w:eastAsia="es-MX"/>
              </w:rPr>
            </w:pPr>
            <w:r w:rsidRPr="007F5A62">
              <w:rPr>
                <w:rFonts w:ascii="Arial" w:hAnsi="Arial" w:cs="Arial"/>
                <w:sz w:val="10"/>
                <w:szCs w:val="10"/>
                <w:lang w:eastAsia="es-MX"/>
              </w:rPr>
              <w:t> </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r>
      <w:tr w:rsidR="00B8501C" w:rsidRPr="007F5A62" w:rsidTr="00B8501C">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b/>
                <w:bCs/>
                <w:sz w:val="12"/>
                <w:szCs w:val="12"/>
                <w:lang w:eastAsia="es-MX"/>
              </w:rPr>
            </w:pPr>
            <w:r w:rsidRPr="007F5A62">
              <w:rPr>
                <w:rFonts w:ascii="Arial" w:hAnsi="Arial" w:cs="Arial"/>
                <w:b/>
                <w:bCs/>
                <w:sz w:val="12"/>
                <w:szCs w:val="12"/>
                <w:lang w:eastAsia="es-MX"/>
              </w:rPr>
              <w:t>2.</w:t>
            </w:r>
            <w:r w:rsidRPr="007F5A62">
              <w:rPr>
                <w:b/>
                <w:bCs/>
                <w:sz w:val="12"/>
                <w:szCs w:val="12"/>
                <w:lang w:eastAsia="es-MX"/>
              </w:rPr>
              <w:t xml:space="preserve">  </w:t>
            </w:r>
            <w:r w:rsidRPr="007F5A62">
              <w:rPr>
                <w:rFonts w:ascii="Arial" w:hAnsi="Arial" w:cs="Arial"/>
                <w:b/>
                <w:bCs/>
                <w:sz w:val="12"/>
                <w:szCs w:val="12"/>
                <w:lang w:eastAsia="es-MX"/>
              </w:rPr>
              <w:t>Gasto Etiquetado (2=A+B+C+D+E+F+G+H+I)</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9,743,835,139</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10,084,869,369</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10,488,264,144</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10,907,794,710</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11,344,106,498</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11,797,870,758</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A.</w:t>
            </w:r>
            <w:r w:rsidRPr="007F5A62">
              <w:rPr>
                <w:sz w:val="12"/>
                <w:szCs w:val="12"/>
                <w:lang w:eastAsia="es-MX"/>
              </w:rPr>
              <w:t xml:space="preserve">     </w:t>
            </w:r>
            <w:r w:rsidRPr="007F5A62">
              <w:rPr>
                <w:rFonts w:ascii="Arial" w:hAnsi="Arial" w:cs="Arial"/>
                <w:sz w:val="12"/>
                <w:szCs w:val="12"/>
                <w:lang w:eastAsia="es-MX"/>
              </w:rPr>
              <w:t>Servicios Personales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B.</w:t>
            </w:r>
            <w:r w:rsidRPr="007F5A62">
              <w:rPr>
                <w:sz w:val="12"/>
                <w:szCs w:val="12"/>
                <w:lang w:eastAsia="es-MX"/>
              </w:rPr>
              <w:t xml:space="preserve">     </w:t>
            </w:r>
            <w:r w:rsidRPr="007F5A62">
              <w:rPr>
                <w:rFonts w:ascii="Arial" w:hAnsi="Arial" w:cs="Arial"/>
                <w:sz w:val="12"/>
                <w:szCs w:val="12"/>
                <w:lang w:eastAsia="es-MX"/>
              </w:rPr>
              <w:t>Materiales y Suministros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C.</w:t>
            </w:r>
            <w:r w:rsidRPr="007F5A62">
              <w:rPr>
                <w:sz w:val="12"/>
                <w:szCs w:val="12"/>
                <w:lang w:eastAsia="es-MX"/>
              </w:rPr>
              <w:t xml:space="preserve">    </w:t>
            </w:r>
            <w:r w:rsidRPr="007F5A62">
              <w:rPr>
                <w:rFonts w:ascii="Arial" w:hAnsi="Arial" w:cs="Arial"/>
                <w:sz w:val="12"/>
                <w:szCs w:val="12"/>
                <w:lang w:eastAsia="es-MX"/>
              </w:rPr>
              <w:t>Servicios Generales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r>
      <w:tr w:rsidR="00B8501C" w:rsidRPr="007F5A62" w:rsidTr="00B8501C">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D.</w:t>
            </w:r>
            <w:r w:rsidRPr="007F5A62">
              <w:rPr>
                <w:sz w:val="12"/>
                <w:szCs w:val="12"/>
                <w:lang w:eastAsia="es-MX"/>
              </w:rPr>
              <w:t xml:space="preserve">    </w:t>
            </w:r>
            <w:r w:rsidRPr="007F5A62">
              <w:rPr>
                <w:rFonts w:ascii="Arial" w:hAnsi="Arial" w:cs="Arial"/>
                <w:sz w:val="12"/>
                <w:szCs w:val="12"/>
                <w:lang w:eastAsia="es-MX"/>
              </w:rPr>
              <w:t>Transferencias, Asignaciones, Subsidios y Otras Ayudas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7,786,878,158</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8,059,418,894</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8,381,795,650</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8,717,067,476</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9,065,750,175</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9,428,380,182</w:t>
            </w:r>
          </w:p>
        </w:tc>
      </w:tr>
      <w:tr w:rsidR="00B8501C" w:rsidRPr="007F5A62" w:rsidTr="00B8501C">
        <w:trPr>
          <w:trHeight w:val="510"/>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E.</w:t>
            </w:r>
            <w:r w:rsidRPr="007F5A62">
              <w:rPr>
                <w:sz w:val="12"/>
                <w:szCs w:val="12"/>
                <w:lang w:eastAsia="es-MX"/>
              </w:rPr>
              <w:t xml:space="preserve">     </w:t>
            </w:r>
            <w:r w:rsidRPr="007F5A62">
              <w:rPr>
                <w:rFonts w:ascii="Arial" w:hAnsi="Arial" w:cs="Arial"/>
                <w:sz w:val="12"/>
                <w:szCs w:val="12"/>
                <w:lang w:eastAsia="es-MX"/>
              </w:rPr>
              <w:t>Bienes Muebles, Inmuebles e Intangibles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F.</w:t>
            </w:r>
            <w:r w:rsidRPr="007F5A62">
              <w:rPr>
                <w:sz w:val="12"/>
                <w:szCs w:val="12"/>
                <w:lang w:eastAsia="es-MX"/>
              </w:rPr>
              <w:t xml:space="preserve">     </w:t>
            </w:r>
            <w:r w:rsidRPr="007F5A62">
              <w:rPr>
                <w:rFonts w:ascii="Arial" w:hAnsi="Arial" w:cs="Arial"/>
                <w:sz w:val="12"/>
                <w:szCs w:val="12"/>
                <w:lang w:eastAsia="es-MX"/>
              </w:rPr>
              <w:t>Inversión Pública</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533,003,119</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551,658,228</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573,724,557</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596,673,539</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620,540,481</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645,362,100</w:t>
            </w:r>
          </w:p>
        </w:tc>
      </w:tr>
      <w:tr w:rsidR="00B8501C" w:rsidRPr="007F5A62" w:rsidTr="00B8501C">
        <w:trPr>
          <w:trHeight w:val="510"/>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G.</w:t>
            </w:r>
            <w:r w:rsidRPr="007F5A62">
              <w:rPr>
                <w:sz w:val="12"/>
                <w:szCs w:val="12"/>
                <w:lang w:eastAsia="es-MX"/>
              </w:rPr>
              <w:t xml:space="preserve">    </w:t>
            </w:r>
            <w:r w:rsidRPr="007F5A62">
              <w:rPr>
                <w:rFonts w:ascii="Arial" w:hAnsi="Arial" w:cs="Arial"/>
                <w:sz w:val="12"/>
                <w:szCs w:val="12"/>
                <w:lang w:eastAsia="es-MX"/>
              </w:rPr>
              <w:t>Inversiones Financieras y Otras Provisiones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r>
      <w:tr w:rsidR="00B8501C" w:rsidRPr="007F5A62" w:rsidTr="00B8501C">
        <w:trPr>
          <w:trHeight w:val="34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H.</w:t>
            </w:r>
            <w:r w:rsidRPr="007F5A62">
              <w:rPr>
                <w:sz w:val="12"/>
                <w:szCs w:val="12"/>
                <w:lang w:eastAsia="es-MX"/>
              </w:rPr>
              <w:t xml:space="preserve">    </w:t>
            </w:r>
            <w:r w:rsidRPr="007F5A62">
              <w:rPr>
                <w:rFonts w:ascii="Arial" w:hAnsi="Arial" w:cs="Arial"/>
                <w:sz w:val="12"/>
                <w:szCs w:val="12"/>
                <w:lang w:eastAsia="es-MX"/>
              </w:rPr>
              <w:t>Participaciones y Aportaciones</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1,423,953,862</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1,473,792,248</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1,532,743,937</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1,594,053,695</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1,657,815,843</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1,724,128,476</w:t>
            </w:r>
          </w:p>
        </w:tc>
      </w:tr>
      <w:tr w:rsidR="00B8501C" w:rsidRPr="007F5A62" w:rsidTr="00B8501C">
        <w:trPr>
          <w:trHeight w:val="31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I.</w:t>
            </w:r>
            <w:r w:rsidRPr="007F5A62">
              <w:rPr>
                <w:sz w:val="12"/>
                <w:szCs w:val="12"/>
                <w:lang w:eastAsia="es-MX"/>
              </w:rPr>
              <w:t xml:space="preserve">      </w:t>
            </w:r>
            <w:r w:rsidRPr="007F5A62">
              <w:rPr>
                <w:rFonts w:ascii="Arial" w:hAnsi="Arial" w:cs="Arial"/>
                <w:sz w:val="12"/>
                <w:szCs w:val="12"/>
                <w:lang w:eastAsia="es-MX"/>
              </w:rPr>
              <w:t>Deuda Pública</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0 </w:t>
            </w:r>
          </w:p>
        </w:tc>
      </w:tr>
      <w:tr w:rsidR="00B8501C" w:rsidRPr="007F5A62" w:rsidTr="00B8501C">
        <w:trPr>
          <w:trHeight w:val="31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sz w:val="12"/>
                <w:szCs w:val="12"/>
                <w:lang w:eastAsia="es-MX"/>
              </w:rPr>
            </w:pPr>
            <w:r w:rsidRPr="007F5A62">
              <w:rPr>
                <w:rFonts w:ascii="Arial" w:hAnsi="Arial" w:cs="Arial"/>
                <w:sz w:val="12"/>
                <w:szCs w:val="12"/>
                <w:lang w:eastAsia="es-MX"/>
              </w:rPr>
              <w:t> </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rPr>
                <w:rFonts w:ascii="Arial" w:hAnsi="Arial" w:cs="Arial"/>
                <w:sz w:val="10"/>
                <w:szCs w:val="10"/>
                <w:lang w:eastAsia="es-MX"/>
              </w:rPr>
            </w:pPr>
            <w:r w:rsidRPr="007F5A62">
              <w:rPr>
                <w:rFonts w:ascii="Arial" w:hAnsi="Arial" w:cs="Arial"/>
                <w:sz w:val="10"/>
                <w:szCs w:val="10"/>
                <w:lang w:eastAsia="es-MX"/>
              </w:rPr>
              <w:t> </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sz w:val="10"/>
                <w:szCs w:val="10"/>
                <w:lang w:eastAsia="es-MX"/>
              </w:rPr>
            </w:pPr>
            <w:r w:rsidRPr="007F5A62">
              <w:rPr>
                <w:rFonts w:ascii="Arial" w:hAnsi="Arial" w:cs="Arial"/>
                <w:sz w:val="10"/>
                <w:szCs w:val="10"/>
                <w:lang w:eastAsia="es-MX"/>
              </w:rPr>
              <w:t> </w:t>
            </w:r>
          </w:p>
        </w:tc>
      </w:tr>
      <w:tr w:rsidR="00B8501C" w:rsidRPr="007F5A62" w:rsidTr="00B8501C">
        <w:trPr>
          <w:trHeight w:val="675"/>
        </w:trPr>
        <w:tc>
          <w:tcPr>
            <w:tcW w:w="2425" w:type="dxa"/>
            <w:tcBorders>
              <w:top w:val="nil"/>
              <w:left w:val="single" w:sz="8" w:space="0" w:color="auto"/>
              <w:bottom w:val="single" w:sz="8" w:space="0" w:color="auto"/>
              <w:right w:val="single" w:sz="8" w:space="0" w:color="auto"/>
            </w:tcBorders>
            <w:shd w:val="clear" w:color="auto" w:fill="auto"/>
            <w:noWrap/>
            <w:vAlign w:val="center"/>
            <w:hideMark/>
          </w:tcPr>
          <w:p w:rsidR="00B8501C" w:rsidRPr="007F5A62" w:rsidRDefault="00B8501C" w:rsidP="00B8501C">
            <w:pPr>
              <w:jc w:val="both"/>
              <w:rPr>
                <w:rFonts w:ascii="Arial" w:hAnsi="Arial" w:cs="Arial"/>
                <w:b/>
                <w:bCs/>
                <w:sz w:val="12"/>
                <w:szCs w:val="12"/>
                <w:lang w:eastAsia="es-MX"/>
              </w:rPr>
            </w:pPr>
            <w:r w:rsidRPr="007F5A62">
              <w:rPr>
                <w:rFonts w:ascii="Arial" w:hAnsi="Arial" w:cs="Arial"/>
                <w:b/>
                <w:bCs/>
                <w:sz w:val="12"/>
                <w:szCs w:val="12"/>
                <w:lang w:eastAsia="es-MX"/>
              </w:rPr>
              <w:t>3.</w:t>
            </w:r>
            <w:r w:rsidRPr="007F5A62">
              <w:rPr>
                <w:b/>
                <w:bCs/>
                <w:sz w:val="12"/>
                <w:szCs w:val="12"/>
                <w:lang w:eastAsia="es-MX"/>
              </w:rPr>
              <w:t xml:space="preserve">  </w:t>
            </w:r>
            <w:r w:rsidRPr="007F5A62">
              <w:rPr>
                <w:rFonts w:ascii="Arial" w:hAnsi="Arial" w:cs="Arial"/>
                <w:b/>
                <w:bCs/>
                <w:sz w:val="12"/>
                <w:szCs w:val="12"/>
                <w:lang w:eastAsia="es-MX"/>
              </w:rPr>
              <w:t>Total del Resultado de Egresos (3=1+2)</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18,705,109,589</w:t>
            </w:r>
          </w:p>
        </w:tc>
        <w:tc>
          <w:tcPr>
            <w:tcW w:w="993"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19,359,788,425</w:t>
            </w:r>
          </w:p>
        </w:tc>
        <w:tc>
          <w:tcPr>
            <w:tcW w:w="1134"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20,134,179,962</w:t>
            </w:r>
          </w:p>
        </w:tc>
        <w:tc>
          <w:tcPr>
            <w:tcW w:w="992"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20,939,547,160</w:t>
            </w:r>
          </w:p>
        </w:tc>
        <w:tc>
          <w:tcPr>
            <w:tcW w:w="850"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21,777,129,046</w:t>
            </w:r>
          </w:p>
        </w:tc>
        <w:tc>
          <w:tcPr>
            <w:tcW w:w="851" w:type="dxa"/>
            <w:tcBorders>
              <w:top w:val="nil"/>
              <w:left w:val="nil"/>
              <w:bottom w:val="single" w:sz="8" w:space="0" w:color="auto"/>
              <w:right w:val="single" w:sz="8" w:space="0" w:color="auto"/>
            </w:tcBorders>
            <w:shd w:val="clear" w:color="auto" w:fill="auto"/>
            <w:noWrap/>
            <w:vAlign w:val="center"/>
            <w:hideMark/>
          </w:tcPr>
          <w:p w:rsidR="00B8501C" w:rsidRPr="007F5A62" w:rsidRDefault="00B8501C" w:rsidP="00B8501C">
            <w:pPr>
              <w:jc w:val="right"/>
              <w:rPr>
                <w:rFonts w:ascii="Arial" w:hAnsi="Arial" w:cs="Arial"/>
                <w:b/>
                <w:bCs/>
                <w:sz w:val="10"/>
                <w:szCs w:val="10"/>
                <w:lang w:eastAsia="es-MX"/>
              </w:rPr>
            </w:pPr>
            <w:r w:rsidRPr="007F5A62">
              <w:rPr>
                <w:rFonts w:ascii="Arial" w:hAnsi="Arial" w:cs="Arial"/>
                <w:b/>
                <w:bCs/>
                <w:sz w:val="10"/>
                <w:szCs w:val="10"/>
                <w:lang w:eastAsia="es-MX"/>
              </w:rPr>
              <w:t>22,648,214,208</w:t>
            </w:r>
          </w:p>
        </w:tc>
      </w:tr>
    </w:tbl>
    <w:p w:rsidR="00B8501C" w:rsidRDefault="00B8501C" w:rsidP="005F66CD">
      <w:pPr>
        <w:spacing w:line="360" w:lineRule="auto"/>
        <w:jc w:val="both"/>
        <w:rPr>
          <w:rFonts w:ascii="Arial" w:eastAsia="Calibri" w:hAnsi="Arial" w:cs="Arial"/>
        </w:rPr>
      </w:pPr>
    </w:p>
    <w:tbl>
      <w:tblPr>
        <w:tblW w:w="9211" w:type="dxa"/>
        <w:jc w:val="center"/>
        <w:tblCellMar>
          <w:left w:w="70" w:type="dxa"/>
          <w:right w:w="70" w:type="dxa"/>
        </w:tblCellMar>
        <w:tblLook w:val="04A0" w:firstRow="1" w:lastRow="0" w:firstColumn="1" w:lastColumn="0" w:noHBand="0" w:noVBand="1"/>
      </w:tblPr>
      <w:tblGrid>
        <w:gridCol w:w="1747"/>
        <w:gridCol w:w="7464"/>
      </w:tblGrid>
      <w:tr w:rsidR="00B8501C" w:rsidRPr="007F5A62" w:rsidTr="00B8501C">
        <w:trPr>
          <w:trHeight w:val="681"/>
          <w:jc w:val="center"/>
        </w:trPr>
        <w:tc>
          <w:tcPr>
            <w:tcW w:w="9211" w:type="dxa"/>
            <w:gridSpan w:val="2"/>
            <w:tcBorders>
              <w:top w:val="nil"/>
              <w:left w:val="single" w:sz="4" w:space="0" w:color="A6A6A6"/>
              <w:bottom w:val="single" w:sz="4" w:space="0" w:color="A6A6A6"/>
              <w:right w:val="nil"/>
            </w:tcBorders>
            <w:shd w:val="clear" w:color="000000" w:fill="CCCCCC"/>
            <w:vAlign w:val="center"/>
            <w:hideMark/>
          </w:tcPr>
          <w:p w:rsidR="00B8501C" w:rsidRPr="007F5A62" w:rsidRDefault="00B8501C" w:rsidP="00B8501C">
            <w:pPr>
              <w:spacing w:line="360" w:lineRule="auto"/>
              <w:jc w:val="center"/>
              <w:rPr>
                <w:rFonts w:ascii="Arial" w:hAnsi="Arial" w:cs="Arial"/>
                <w:b/>
                <w:bCs/>
                <w:lang w:eastAsia="es-MX"/>
              </w:rPr>
            </w:pPr>
            <w:r w:rsidRPr="007F5A62">
              <w:rPr>
                <w:rFonts w:ascii="Arial" w:hAnsi="Arial" w:cs="Arial"/>
                <w:b/>
                <w:bCs/>
                <w:lang w:eastAsia="es-MX"/>
              </w:rPr>
              <w:t>GOBIERNO DEL ESTADO DE TLAXCALA SUPUESTOS DE FINANZAS PÚBLICAS DE MEDIANO PLAZO 2019-2024</w:t>
            </w:r>
          </w:p>
        </w:tc>
      </w:tr>
      <w:tr w:rsidR="00B8501C" w:rsidRPr="007F5A62" w:rsidTr="00B8501C">
        <w:trPr>
          <w:trHeight w:val="211"/>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center"/>
              <w:rPr>
                <w:rFonts w:ascii="Arial" w:hAnsi="Arial" w:cs="Arial"/>
                <w:b/>
                <w:lang w:eastAsia="es-MX"/>
              </w:rPr>
            </w:pPr>
            <w:r w:rsidRPr="007F5A62">
              <w:rPr>
                <w:rFonts w:ascii="Arial" w:hAnsi="Arial" w:cs="Arial"/>
                <w:b/>
                <w:lang w:eastAsia="es-MX"/>
              </w:rPr>
              <w:t>Concepto</w:t>
            </w:r>
          </w:p>
        </w:tc>
        <w:tc>
          <w:tcPr>
            <w:tcW w:w="7464"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center"/>
              <w:rPr>
                <w:rFonts w:ascii="Arial" w:hAnsi="Arial" w:cs="Arial"/>
                <w:b/>
                <w:lang w:eastAsia="es-MX"/>
              </w:rPr>
            </w:pPr>
            <w:r w:rsidRPr="007F5A62">
              <w:rPr>
                <w:rFonts w:ascii="Arial" w:hAnsi="Arial" w:cs="Arial"/>
                <w:b/>
                <w:lang w:eastAsia="es-MX"/>
              </w:rPr>
              <w:t>Supuestos</w:t>
            </w:r>
          </w:p>
        </w:tc>
      </w:tr>
      <w:tr w:rsidR="00B8501C" w:rsidRPr="007F5A62" w:rsidTr="00B8501C">
        <w:trPr>
          <w:trHeight w:val="211"/>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center"/>
              <w:rPr>
                <w:rFonts w:ascii="Arial" w:hAnsi="Arial" w:cs="Arial"/>
                <w:b/>
                <w:lang w:eastAsia="es-MX"/>
              </w:rPr>
            </w:pPr>
          </w:p>
        </w:tc>
        <w:tc>
          <w:tcPr>
            <w:tcW w:w="7464"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center"/>
              <w:rPr>
                <w:rFonts w:ascii="Arial" w:hAnsi="Arial" w:cs="Arial"/>
                <w:b/>
                <w:lang w:eastAsia="es-MX"/>
              </w:rPr>
            </w:pPr>
            <w:r w:rsidRPr="007F5A62">
              <w:rPr>
                <w:rFonts w:ascii="Arial" w:hAnsi="Arial" w:cs="Arial"/>
                <w:b/>
                <w:lang w:eastAsia="es-MX"/>
              </w:rPr>
              <w:t>Uso de recursos</w:t>
            </w:r>
          </w:p>
        </w:tc>
      </w:tr>
      <w:tr w:rsidR="00B8501C" w:rsidRPr="007F5A62" w:rsidTr="00B8501C">
        <w:trPr>
          <w:trHeight w:val="649"/>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Gasto neto total</w:t>
            </w:r>
          </w:p>
        </w:tc>
        <w:tc>
          <w:tcPr>
            <w:tcW w:w="7464"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Es igual a las fuentes de financiamiento (ingresos) ubicándose en alrededor de un 3.5% de incremento anual entre 2019 y 2024.</w:t>
            </w:r>
          </w:p>
        </w:tc>
      </w:tr>
      <w:tr w:rsidR="00B8501C" w:rsidRPr="007F5A62" w:rsidTr="00B8501C">
        <w:trPr>
          <w:trHeight w:val="823"/>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lastRenderedPageBreak/>
              <w:t>Gasto etiquetado</w:t>
            </w:r>
          </w:p>
        </w:tc>
        <w:tc>
          <w:tcPr>
            <w:tcW w:w="7464"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Son los gastos que realizan las Entidades Federativas y los Municipios generados de  las Transferencias que les asigna la Federación</w:t>
            </w:r>
          </w:p>
        </w:tc>
      </w:tr>
      <w:tr w:rsidR="00B8501C" w:rsidRPr="007F5A62" w:rsidTr="00B8501C">
        <w:trPr>
          <w:trHeight w:val="676"/>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Gasto no etiquetado</w:t>
            </w:r>
          </w:p>
        </w:tc>
        <w:tc>
          <w:tcPr>
            <w:tcW w:w="7464"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Son los gastos que realizan las Entidades Federativas y los Municipios generados de  sus Ingresos locales y las participaciones federales, así como los Financiamientos y cualquier otro recurso que no esté destinado a un fin específico</w:t>
            </w:r>
          </w:p>
        </w:tc>
      </w:tr>
      <w:tr w:rsidR="00B8501C" w:rsidRPr="007F5A62" w:rsidTr="00B8501C">
        <w:trPr>
          <w:trHeight w:val="949"/>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Servicios personales</w:t>
            </w:r>
          </w:p>
        </w:tc>
        <w:tc>
          <w:tcPr>
            <w:tcW w:w="7464"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Se incrementan en función de lo establecido en la Ley de Disciplina Financiera de las Entidades Federativas y los Municipios</w:t>
            </w:r>
          </w:p>
        </w:tc>
      </w:tr>
      <w:tr w:rsidR="00B8501C" w:rsidRPr="007F5A62" w:rsidTr="00B8501C">
        <w:trPr>
          <w:trHeight w:val="977"/>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Pensiones y Jubilaciones</w:t>
            </w:r>
          </w:p>
        </w:tc>
        <w:tc>
          <w:tcPr>
            <w:tcW w:w="7464"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 xml:space="preserve">Son los gastos destinados para el pago a pensionistas y jubilados o a sus familiares, que cubren el Gobierno del Estado a través de la Dirección de Pensiones Civiles.  </w:t>
            </w:r>
          </w:p>
        </w:tc>
      </w:tr>
      <w:tr w:rsidR="00B8501C" w:rsidRPr="007F5A62" w:rsidTr="00B8501C">
        <w:trPr>
          <w:trHeight w:val="990"/>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Inversión física</w:t>
            </w:r>
          </w:p>
        </w:tc>
        <w:tc>
          <w:tcPr>
            <w:tcW w:w="7464"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Son los gastos destinados a la inversión de capital y las transferencias a los otros componentes institucionales del sistema económico, con cargo a la Inversión Pública.</w:t>
            </w:r>
          </w:p>
        </w:tc>
      </w:tr>
      <w:tr w:rsidR="00B8501C" w:rsidRPr="007F5A62" w:rsidTr="00B8501C">
        <w:trPr>
          <w:trHeight w:val="1013"/>
          <w:jc w:val="center"/>
        </w:trPr>
        <w:tc>
          <w:tcPr>
            <w:tcW w:w="17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Inversión financiera</w:t>
            </w:r>
          </w:p>
        </w:tc>
        <w:tc>
          <w:tcPr>
            <w:tcW w:w="7464"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B8501C">
            <w:pPr>
              <w:spacing w:line="360" w:lineRule="auto"/>
              <w:jc w:val="both"/>
              <w:rPr>
                <w:rFonts w:ascii="Arial" w:hAnsi="Arial" w:cs="Arial"/>
                <w:lang w:eastAsia="es-MX"/>
              </w:rPr>
            </w:pPr>
            <w:r w:rsidRPr="007F5A62">
              <w:rPr>
                <w:rFonts w:ascii="Arial" w:hAnsi="Arial" w:cs="Arial"/>
                <w:lang w:eastAsia="es-MX"/>
              </w:rPr>
              <w:t>Gastos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tc>
      </w:tr>
    </w:tbl>
    <w:p w:rsidR="00B8501C" w:rsidRDefault="00B8501C" w:rsidP="00B8501C">
      <w:pPr>
        <w:spacing w:after="200" w:line="360" w:lineRule="auto"/>
        <w:jc w:val="both"/>
        <w:rPr>
          <w:rFonts w:ascii="Arial" w:hAnsi="Arial" w:cs="Arial"/>
          <w:iCs/>
        </w:rPr>
      </w:pPr>
    </w:p>
    <w:p w:rsidR="005F66CD" w:rsidRDefault="005F66CD" w:rsidP="00B8501C">
      <w:pPr>
        <w:spacing w:after="200" w:line="360" w:lineRule="auto"/>
        <w:jc w:val="both"/>
        <w:rPr>
          <w:rFonts w:ascii="Arial" w:hAnsi="Arial" w:cs="Arial"/>
          <w:iCs/>
        </w:rPr>
      </w:pPr>
    </w:p>
    <w:p w:rsidR="00B8501C" w:rsidRPr="007F5A62" w:rsidRDefault="00B8501C" w:rsidP="005F66CD">
      <w:pPr>
        <w:spacing w:line="360" w:lineRule="auto"/>
        <w:jc w:val="both"/>
        <w:rPr>
          <w:rFonts w:ascii="Arial" w:eastAsia="Calibri" w:hAnsi="Arial" w:cs="Arial"/>
          <w:b/>
          <w:bCs/>
        </w:rPr>
      </w:pPr>
      <w:r w:rsidRPr="007F5A62">
        <w:rPr>
          <w:rFonts w:ascii="Arial" w:eastAsia="Calibri" w:hAnsi="Arial" w:cs="Arial"/>
          <w:b/>
          <w:bCs/>
        </w:rPr>
        <w:lastRenderedPageBreak/>
        <w:t>RIESGOS FISCALES.</w:t>
      </w:r>
    </w:p>
    <w:p w:rsidR="005F66CD" w:rsidRDefault="005F66CD"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 xml:space="preserve">Los riesgos fiscales de largo plazo para las finanzas públicas del Estado de Tlaxcala, se pueden definir como obligaciones no transitorias, cuya dinámica depende entre otros, del desempeño de las variables macroeconómicas en el corto plazo. </w:t>
      </w:r>
    </w:p>
    <w:p w:rsidR="005F66CD" w:rsidRDefault="005F66CD"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El escenario macroeconómico de mediano plazo está sujeto a riesgos que podrían modificar las trayectorias anticipadas. Dentro de los riesgos a la baja destacan:</w:t>
      </w:r>
    </w:p>
    <w:p w:rsidR="00B8501C" w:rsidRPr="007F5A62" w:rsidRDefault="00B8501C" w:rsidP="005F66CD">
      <w:pPr>
        <w:spacing w:line="360" w:lineRule="auto"/>
        <w:jc w:val="both"/>
        <w:rPr>
          <w:rFonts w:ascii="Arial" w:eastAsia="Calibri" w:hAnsi="Arial" w:cs="Arial"/>
        </w:rPr>
      </w:pPr>
    </w:p>
    <w:p w:rsidR="00B8501C" w:rsidRPr="007F5A62" w:rsidRDefault="00B8501C" w:rsidP="00F36D7A">
      <w:pPr>
        <w:numPr>
          <w:ilvl w:val="0"/>
          <w:numId w:val="24"/>
        </w:numPr>
        <w:spacing w:line="360" w:lineRule="auto"/>
        <w:jc w:val="both"/>
        <w:rPr>
          <w:rFonts w:ascii="Arial" w:eastAsia="Calibri" w:hAnsi="Arial" w:cs="Arial"/>
        </w:rPr>
      </w:pPr>
      <w:r w:rsidRPr="007F5A62">
        <w:rPr>
          <w:rFonts w:ascii="Arial" w:eastAsia="Calibri" w:hAnsi="Arial" w:cs="Arial"/>
        </w:rPr>
        <w:t>El resultado de la firma relativa a la modernización del Tratado de Libre Comercio de América del Norte.</w:t>
      </w:r>
    </w:p>
    <w:p w:rsidR="00B8501C" w:rsidRPr="007F5A62" w:rsidRDefault="00B8501C" w:rsidP="005F66CD">
      <w:pPr>
        <w:spacing w:line="360" w:lineRule="auto"/>
        <w:ind w:left="720"/>
        <w:jc w:val="both"/>
        <w:rPr>
          <w:rFonts w:ascii="Arial" w:eastAsia="Calibri" w:hAnsi="Arial" w:cs="Arial"/>
        </w:rPr>
      </w:pPr>
    </w:p>
    <w:p w:rsidR="00B8501C" w:rsidRPr="007F5A62" w:rsidRDefault="00B8501C" w:rsidP="00F36D7A">
      <w:pPr>
        <w:numPr>
          <w:ilvl w:val="0"/>
          <w:numId w:val="24"/>
        </w:numPr>
        <w:spacing w:line="360" w:lineRule="auto"/>
        <w:jc w:val="both"/>
        <w:rPr>
          <w:rFonts w:ascii="Arial" w:eastAsia="Calibri" w:hAnsi="Arial" w:cs="Arial"/>
        </w:rPr>
      </w:pPr>
      <w:r w:rsidRPr="007F5A62">
        <w:rPr>
          <w:rFonts w:ascii="Arial" w:eastAsia="Calibri" w:hAnsi="Arial" w:cs="Arial"/>
        </w:rPr>
        <w:t>De manera relacionada, un dinamismo menor al anticipado en la economía mundial, y de México en particular, el cual podría derivarse, por ejemplo, de la implementación de políticas proteccionistas que obstaculicen el comercio internacional.</w:t>
      </w:r>
    </w:p>
    <w:p w:rsidR="00B8501C" w:rsidRPr="007F5A62" w:rsidRDefault="00B8501C" w:rsidP="005F66CD">
      <w:pPr>
        <w:spacing w:line="360" w:lineRule="auto"/>
        <w:jc w:val="both"/>
        <w:rPr>
          <w:rFonts w:ascii="Arial" w:eastAsia="Calibri" w:hAnsi="Arial" w:cs="Arial"/>
        </w:rPr>
      </w:pPr>
    </w:p>
    <w:p w:rsidR="00B8501C" w:rsidRPr="007F5A62" w:rsidRDefault="00B8501C" w:rsidP="00F36D7A">
      <w:pPr>
        <w:numPr>
          <w:ilvl w:val="0"/>
          <w:numId w:val="24"/>
        </w:numPr>
        <w:spacing w:line="360" w:lineRule="auto"/>
        <w:jc w:val="both"/>
        <w:rPr>
          <w:rFonts w:ascii="Arial" w:eastAsia="Calibri" w:hAnsi="Arial" w:cs="Arial"/>
        </w:rPr>
      </w:pPr>
      <w:r w:rsidRPr="007F5A62">
        <w:rPr>
          <w:rFonts w:ascii="Arial" w:eastAsia="Calibri" w:hAnsi="Arial" w:cs="Arial"/>
        </w:rPr>
        <w:t>Un crecimiento de la inversión en México más lento que lo anticipado.</w:t>
      </w:r>
    </w:p>
    <w:p w:rsidR="00B8501C" w:rsidRPr="007F5A62" w:rsidRDefault="00B8501C" w:rsidP="005F66CD">
      <w:pPr>
        <w:spacing w:line="360" w:lineRule="auto"/>
        <w:jc w:val="both"/>
        <w:rPr>
          <w:rFonts w:ascii="Arial" w:eastAsia="Calibri" w:hAnsi="Arial" w:cs="Arial"/>
        </w:rPr>
      </w:pPr>
    </w:p>
    <w:p w:rsidR="00B8501C" w:rsidRPr="007F5A62" w:rsidRDefault="00B8501C" w:rsidP="00F36D7A">
      <w:pPr>
        <w:numPr>
          <w:ilvl w:val="0"/>
          <w:numId w:val="24"/>
        </w:numPr>
        <w:spacing w:line="360" w:lineRule="auto"/>
        <w:jc w:val="both"/>
        <w:rPr>
          <w:rFonts w:ascii="Arial" w:eastAsia="Calibri" w:hAnsi="Arial" w:cs="Arial"/>
        </w:rPr>
      </w:pPr>
      <w:r w:rsidRPr="007F5A62">
        <w:rPr>
          <w:rFonts w:ascii="Arial" w:eastAsia="Calibri" w:hAnsi="Arial" w:cs="Arial"/>
        </w:rPr>
        <w:t xml:space="preserve">Mayor volatilidad en los mercados financieros internacionales que implique una disminución de los flujos de capitales a los países emergentes. Esto podría suceder, por ejemplo, en caso de que el </w:t>
      </w:r>
      <w:r w:rsidRPr="007F5A62">
        <w:rPr>
          <w:rFonts w:ascii="Arial" w:eastAsia="Calibri" w:hAnsi="Arial" w:cs="Arial"/>
        </w:rPr>
        <w:lastRenderedPageBreak/>
        <w:t>proceso de normalización de la política monetaria en Estados Unidos sea más rápido que lo anticipado.</w:t>
      </w:r>
    </w:p>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b/>
        </w:rPr>
      </w:pPr>
      <w:r w:rsidRPr="007F5A62">
        <w:rPr>
          <w:rFonts w:ascii="Arial" w:eastAsia="Calibri" w:hAnsi="Arial" w:cs="Arial"/>
        </w:rPr>
        <w:t>En consecuencia, el diseño e implementación de la política fiscal debe considerar los riesgos de mediano y largo plazos. A continuación se presentan los principales factores estatales que podrían tener un impacto en las finanzas públicas y las acciones que se han tomado para evitar que se conviertan en un riesgo para las finanzas públicas del Estado.</w:t>
      </w:r>
    </w:p>
    <w:p w:rsidR="00B8501C" w:rsidRPr="007F5A62" w:rsidRDefault="00B8501C" w:rsidP="005F66CD">
      <w:pPr>
        <w:spacing w:line="360" w:lineRule="auto"/>
        <w:jc w:val="both"/>
        <w:rPr>
          <w:rFonts w:ascii="Arial" w:eastAsia="Calibri" w:hAnsi="Arial" w:cs="Arial"/>
          <w:b/>
        </w:rPr>
      </w:pPr>
    </w:p>
    <w:p w:rsidR="00B8501C" w:rsidRPr="007F5A62" w:rsidRDefault="00B8501C" w:rsidP="005F66CD">
      <w:pPr>
        <w:spacing w:line="360" w:lineRule="auto"/>
        <w:jc w:val="both"/>
        <w:rPr>
          <w:rFonts w:ascii="Arial" w:eastAsia="Calibri" w:hAnsi="Arial" w:cs="Arial"/>
          <w:b/>
        </w:rPr>
      </w:pPr>
      <w:r w:rsidRPr="007F5A62">
        <w:rPr>
          <w:rFonts w:ascii="Arial" w:eastAsia="Calibri" w:hAnsi="Arial" w:cs="Arial"/>
          <w:b/>
        </w:rPr>
        <w:t>Pensiones y Jubilaciones</w:t>
      </w:r>
    </w:p>
    <w:p w:rsidR="00B8501C" w:rsidRPr="007F5A62" w:rsidRDefault="00B8501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Los sistemas de pensiones tienen como objetivo proteger el flujo de ingresos de un trabajador y su familia. El flujo de ingresos presente o futuro de una familia puede verse interrumpido por la materialización de los siguientes riesgos: la edad avanzada, la cesantía en edad avanzada, la muerte prematura y los accidentes y las enfermedades que causan la invalidez o incapacidad de seguir trabajando.</w:t>
      </w:r>
    </w:p>
    <w:p w:rsidR="005F66CD" w:rsidRPr="007F5A62" w:rsidRDefault="005F66CD"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La reforma estructural aprobada por el Congreso, permitió las mejoras siguientes:</w:t>
      </w:r>
    </w:p>
    <w:p w:rsidR="005F66CD" w:rsidRPr="007F5A62" w:rsidRDefault="005F66CD" w:rsidP="005F66CD">
      <w:pPr>
        <w:spacing w:line="360" w:lineRule="auto"/>
        <w:jc w:val="both"/>
        <w:rPr>
          <w:rFonts w:ascii="Arial" w:eastAsia="Calibri" w:hAnsi="Arial" w:cs="Arial"/>
        </w:rPr>
      </w:pPr>
    </w:p>
    <w:p w:rsidR="00B8501C" w:rsidRDefault="00B8501C" w:rsidP="00F36D7A">
      <w:pPr>
        <w:numPr>
          <w:ilvl w:val="0"/>
          <w:numId w:val="25"/>
        </w:numPr>
        <w:spacing w:line="360" w:lineRule="auto"/>
        <w:jc w:val="both"/>
        <w:rPr>
          <w:rFonts w:ascii="Arial" w:eastAsia="Calibri" w:hAnsi="Arial" w:cs="Arial"/>
        </w:rPr>
      </w:pPr>
      <w:r w:rsidRPr="007F5A62">
        <w:rPr>
          <w:rFonts w:ascii="Arial" w:eastAsia="Calibri" w:hAnsi="Arial" w:cs="Arial"/>
        </w:rPr>
        <w:t>Se incrementaron las aportaciones de jubilados y pensionados pasando de 3 % a 6 %, manteniendo los mismos derechos qu</w:t>
      </w:r>
      <w:r w:rsidR="005F66CD">
        <w:rPr>
          <w:rFonts w:ascii="Arial" w:eastAsia="Calibri" w:hAnsi="Arial" w:cs="Arial"/>
        </w:rPr>
        <w:t>e la Ley anterior les brindaba.</w:t>
      </w:r>
    </w:p>
    <w:p w:rsidR="00B8501C" w:rsidRDefault="00B8501C" w:rsidP="00F36D7A">
      <w:pPr>
        <w:numPr>
          <w:ilvl w:val="0"/>
          <w:numId w:val="25"/>
        </w:numPr>
        <w:spacing w:line="360" w:lineRule="auto"/>
        <w:jc w:val="both"/>
        <w:rPr>
          <w:rFonts w:ascii="Arial" w:eastAsia="Calibri" w:hAnsi="Arial" w:cs="Arial"/>
        </w:rPr>
      </w:pPr>
      <w:r w:rsidRPr="007F5A62">
        <w:rPr>
          <w:rFonts w:ascii="Arial" w:eastAsia="Calibri" w:hAnsi="Arial" w:cs="Arial"/>
        </w:rPr>
        <w:lastRenderedPageBreak/>
        <w:t xml:space="preserve">A los servidores públicos activos se les duplicó su aportación del 6 % al 12 % del salario base. </w:t>
      </w:r>
    </w:p>
    <w:p w:rsidR="005F66CD" w:rsidRPr="007F5A62" w:rsidRDefault="005F66CD" w:rsidP="005F66CD">
      <w:pPr>
        <w:spacing w:line="360" w:lineRule="auto"/>
        <w:ind w:left="720"/>
        <w:jc w:val="both"/>
        <w:rPr>
          <w:rFonts w:ascii="Arial" w:eastAsia="Calibri" w:hAnsi="Arial" w:cs="Arial"/>
        </w:rPr>
      </w:pPr>
    </w:p>
    <w:p w:rsidR="00B8501C" w:rsidRDefault="00B8501C" w:rsidP="00F36D7A">
      <w:pPr>
        <w:numPr>
          <w:ilvl w:val="0"/>
          <w:numId w:val="25"/>
        </w:numPr>
        <w:spacing w:line="360" w:lineRule="auto"/>
        <w:jc w:val="both"/>
        <w:rPr>
          <w:rFonts w:ascii="Arial" w:eastAsia="Calibri" w:hAnsi="Arial" w:cs="Arial"/>
        </w:rPr>
      </w:pPr>
      <w:r w:rsidRPr="007F5A62">
        <w:rPr>
          <w:rFonts w:ascii="Arial" w:eastAsia="Calibri" w:hAnsi="Arial" w:cs="Arial"/>
        </w:rPr>
        <w:t>La aportación del Gobierno se duplicó pasando del 9 % al 18 % del salario base. En el esquema anterior, el gobierno aportaba $0.50 más de aportación que el servidor público, es decir por cada peso que aportaba el trabajador el gobierno aportaba $1.50. En el esquema actual el gobierno aporta $1.00 más que el servidor público, es decir por cada $2.00 aportados por el trabajador, el gobierno aporta $3.00.</w:t>
      </w:r>
    </w:p>
    <w:p w:rsidR="005F66CD" w:rsidRDefault="005F66CD" w:rsidP="005F66CD">
      <w:pPr>
        <w:pStyle w:val="Prrafodelista"/>
        <w:rPr>
          <w:rFonts w:ascii="Arial" w:eastAsia="Calibri" w:hAnsi="Arial" w:cs="Arial"/>
        </w:rPr>
      </w:pPr>
    </w:p>
    <w:p w:rsidR="00B8501C" w:rsidRDefault="00B8501C" w:rsidP="00F36D7A">
      <w:pPr>
        <w:numPr>
          <w:ilvl w:val="0"/>
          <w:numId w:val="25"/>
        </w:numPr>
        <w:spacing w:line="360" w:lineRule="auto"/>
        <w:jc w:val="both"/>
        <w:rPr>
          <w:rFonts w:ascii="Arial" w:eastAsia="Calibri" w:hAnsi="Arial" w:cs="Arial"/>
        </w:rPr>
      </w:pPr>
      <w:r w:rsidRPr="007F5A62">
        <w:rPr>
          <w:rFonts w:ascii="Arial" w:eastAsia="Calibri" w:hAnsi="Arial" w:cs="Arial"/>
        </w:rPr>
        <w:t>Para los servidores públicos de nuevo ingreso el esquema de afiliación es el de cuentas individuales. En cuanto a la edad para jubilarse, se establece incrementarla de manera gradual; es decir, para el 2013 y 2014 se consideró a los 53 años de edad y 28 años de servicio y para 2015 y 2016 se aumentó un año, es decir 54 años de edad y 28 años de servicio y así sucesivamente dos años calendario, por un año de edad, hasta el 2024 en donde hombres y mujeres llegarán a 58 años de edad y 28 años de aportación.</w:t>
      </w:r>
    </w:p>
    <w:p w:rsidR="005F66CD" w:rsidRDefault="005F66CD" w:rsidP="005F66CD">
      <w:pPr>
        <w:pStyle w:val="Prrafodelista"/>
        <w:rPr>
          <w:rFonts w:ascii="Arial" w:eastAsia="Calibri" w:hAnsi="Arial" w:cs="Arial"/>
        </w:rPr>
      </w:pPr>
    </w:p>
    <w:p w:rsidR="00B8501C" w:rsidRPr="007F5A62" w:rsidRDefault="00B8501C" w:rsidP="00F36D7A">
      <w:pPr>
        <w:numPr>
          <w:ilvl w:val="0"/>
          <w:numId w:val="25"/>
        </w:numPr>
        <w:spacing w:line="360" w:lineRule="auto"/>
        <w:jc w:val="both"/>
        <w:rPr>
          <w:rFonts w:ascii="Arial" w:eastAsia="Calibri" w:hAnsi="Arial" w:cs="Arial"/>
        </w:rPr>
      </w:pPr>
      <w:r w:rsidRPr="007F5A62">
        <w:rPr>
          <w:rFonts w:ascii="Arial" w:eastAsia="Calibri" w:hAnsi="Arial" w:cs="Arial"/>
        </w:rPr>
        <w:t>Los servidores públicos serán sujetos del Libro A de este ordenamiento, excepto en el caso de que los servidores públicos opten por el Régimen Permanente de Ahorro Personal, siempre y cuando manifiesten su voluntad libre e informada y por escrito a la Institución de ser sujeto al Libro B, dentro del plazo de seis meses siguientes a la entrada en vigor de la Ley de Pensiones.</w:t>
      </w:r>
    </w:p>
    <w:p w:rsidR="00B8501C" w:rsidRDefault="00B8501C" w:rsidP="005F66CD">
      <w:pPr>
        <w:spacing w:line="360" w:lineRule="auto"/>
        <w:jc w:val="both"/>
        <w:rPr>
          <w:rFonts w:ascii="Arial" w:eastAsia="Calibri" w:hAnsi="Arial" w:cs="Arial"/>
        </w:rPr>
      </w:pPr>
      <w:r w:rsidRPr="007F5A62">
        <w:rPr>
          <w:rFonts w:ascii="Arial" w:eastAsia="Calibri" w:hAnsi="Arial" w:cs="Arial"/>
        </w:rPr>
        <w:lastRenderedPageBreak/>
        <w:t>Con lo anterior, se dio estabilidad y viabilidad económica a la institución, dado que, si sólo se hubieran aumentado las aportaciones, estas hubiesen sido suficientes sólo para financiar las jubilaciones de los inactivos, pero no para pagar a los nuevos jubilados, por lo que, en el mediano plazo no hubiera sido sustentable financieramente; por ello en un horizonte de largo plazo, fue necesario aumentar la edad promedio de jubilación y establecer cuentas individuales para los nuevos afiliados.</w:t>
      </w:r>
    </w:p>
    <w:p w:rsidR="005F66CD" w:rsidRPr="007F5A62" w:rsidRDefault="005F66CD"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rsidR="005F66CD" w:rsidRPr="007F5A62" w:rsidRDefault="005F66CD"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Adicionalmente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rsidR="005F66CD" w:rsidRPr="007F5A62" w:rsidRDefault="005F66CD"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Con estas reformas, se redujo el pasivo de pensiones no fondeado de un estimado de 22,000 mdp a 9,413 mdp, que en términos porcentuales corresponden del 134% al 47% de los ingresos totales del organismo.</w:t>
      </w:r>
    </w:p>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b/>
        </w:rPr>
      </w:pPr>
      <w:r w:rsidRPr="007F5A62">
        <w:rPr>
          <w:rFonts w:ascii="Arial" w:eastAsia="Calibri" w:hAnsi="Arial" w:cs="Arial"/>
          <w:b/>
        </w:rPr>
        <w:lastRenderedPageBreak/>
        <w:t>Deuda Pública</w:t>
      </w: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Tlaxcala es ejemplo de que el manejo de la deuda pública puede realizarse bajo los principios de disciplina y responsabilidad fiscal, al ubicar en un 0 % como porcentaje del PIB Estatal en nivel de endeudamiento del Estado, ya que el mantenimiento de finanzas públicas sanas es prioridad de esta administración; sin embargo, considerando el deterioro de los resultados fiscales a nivel nacional podría conducir al requerimiento de recursos para proyectos de infraestructura, por lo que no se desestima en el mediano plazo, la posibilidad de contratación de deuda para el financiamiento del gasto público.</w:t>
      </w:r>
    </w:p>
    <w:p w:rsidR="005F66CD" w:rsidRDefault="005F66CD" w:rsidP="005F66CD">
      <w:pPr>
        <w:spacing w:line="360" w:lineRule="auto"/>
        <w:jc w:val="both"/>
        <w:rPr>
          <w:rFonts w:ascii="Arial" w:eastAsia="Calibri" w:hAnsi="Arial" w:cs="Arial"/>
          <w:b/>
        </w:rPr>
      </w:pPr>
    </w:p>
    <w:p w:rsidR="00B8501C" w:rsidRPr="007F5A62" w:rsidRDefault="00B8501C" w:rsidP="005F66CD">
      <w:pPr>
        <w:spacing w:line="360" w:lineRule="auto"/>
        <w:jc w:val="both"/>
        <w:rPr>
          <w:rFonts w:ascii="Arial" w:eastAsia="Calibri" w:hAnsi="Arial" w:cs="Arial"/>
          <w:b/>
        </w:rPr>
      </w:pPr>
      <w:r w:rsidRPr="007F5A62">
        <w:rPr>
          <w:rFonts w:ascii="Arial" w:eastAsia="Calibri" w:hAnsi="Arial" w:cs="Arial"/>
          <w:b/>
        </w:rPr>
        <w:t>Menor crecimiento económico</w:t>
      </w:r>
    </w:p>
    <w:p w:rsidR="005F66CD" w:rsidRDefault="005F66CD"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El Estado de Tlaxcala tiene una población de 1.3 millones de habitantes y es la Entidad más pequeña en términos de producción económica. La economía del estado es débil en comparación con otros estados mexicanos, lo cual limita la capacidad de generar ingresos desde la base tributaria regional. En 2012 el PIB per cápita era equivalente al 53.4 % de la media nacional, muy por debajo de la media registrada y en 2013 los ingresos propios representaron el 3.1 % del total de ingresos muy por debajo de la mediana del resto de los estados, por lo que un cambio estructural en la dinámica económica y los niveles de riqueza de Tlaxcala podrían generar menores niveles de ingresos propios y una menor flexibilidad financiera, pudiendo ejercer presión en la estabilidad económica del Estado.</w:t>
      </w: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lastRenderedPageBreak/>
        <w:t>Para contener este riesgo, el Gobierno del Estado incluye una mayor promoción de la inversión pública y privada así como del turismo, la incorporación de causantes informales, intensificar la fiscalización y el cobro de impuestos, para fomentar la economía e incrementar la recaudación.</w:t>
      </w:r>
    </w:p>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b/>
          <w:bCs/>
        </w:rPr>
      </w:pPr>
      <w:r w:rsidRPr="007F5A62">
        <w:rPr>
          <w:rFonts w:ascii="Arial" w:eastAsia="Calibri" w:hAnsi="Arial" w:cs="Arial"/>
          <w:b/>
          <w:bCs/>
        </w:rPr>
        <w:t>EVOLUCIÓN DE LAS FINANZAS PÚBLICAS 2013-2018</w:t>
      </w:r>
    </w:p>
    <w:p w:rsidR="00B8501C" w:rsidRPr="007F5A62" w:rsidRDefault="00B8501C" w:rsidP="005F66CD">
      <w:pPr>
        <w:spacing w:line="360" w:lineRule="auto"/>
        <w:jc w:val="both"/>
        <w:rPr>
          <w:rFonts w:ascii="Arial" w:eastAsia="Calibri" w:hAnsi="Arial" w:cs="Arial"/>
          <w:b/>
          <w:bCs/>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La evolución de las finanzas públicas del Estado obedece a la dinámica de los ingresos estatales totales, los cuales a su vez son determinados por el comportamiento de la Recaudación Federal Participable (RFP); esta situación que no es privativa del Estado de Tlaxcala, sino que se presenta en la gran mayoría de las entidades de la República, debido a las condiciones de los Convenios de Coordinación Fiscal y a las potestades tributarias que se otorgan a los estados para evitar la doble tributación, propicia que las finanzas públicas estatales sean sensibles ante el comportamiento de la economía nacional e internacional, tal y como se observa en la gráfica siguiente:</w:t>
      </w:r>
    </w:p>
    <w:p w:rsidR="00B8501C" w:rsidRPr="007F5A62" w:rsidRDefault="00B8501C" w:rsidP="005F66CD">
      <w:pPr>
        <w:spacing w:line="360" w:lineRule="auto"/>
        <w:jc w:val="both"/>
        <w:rPr>
          <w:rFonts w:ascii="Arial" w:eastAsia="Calibri" w:hAnsi="Arial" w:cs="Arial"/>
          <w:sz w:val="12"/>
        </w:rPr>
      </w:pPr>
      <w:r w:rsidRPr="007F5A62">
        <w:rPr>
          <w:rFonts w:ascii="Arial" w:eastAsia="Calibri" w:hAnsi="Arial" w:cs="Arial"/>
          <w:noProof/>
          <w:lang w:val="es-MX" w:eastAsia="es-MX"/>
        </w:rPr>
        <w:lastRenderedPageBreak/>
        <w:drawing>
          <wp:inline distT="0" distB="0" distL="0" distR="0" wp14:anchorId="00DE7479" wp14:editId="7126FD1A">
            <wp:extent cx="5124450" cy="2695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2695575"/>
                    </a:xfrm>
                    <a:prstGeom prst="rect">
                      <a:avLst/>
                    </a:prstGeom>
                    <a:noFill/>
                    <a:ln>
                      <a:noFill/>
                    </a:ln>
                  </pic:spPr>
                </pic:pic>
              </a:graphicData>
            </a:graphic>
          </wp:inline>
        </w:drawing>
      </w:r>
      <w:r w:rsidRPr="007F5A62">
        <w:rPr>
          <w:rFonts w:ascii="Arial" w:eastAsia="Calibri" w:hAnsi="Arial" w:cs="Arial"/>
          <w:b/>
          <w:sz w:val="14"/>
        </w:rPr>
        <w:t xml:space="preserve"> Fuente: </w:t>
      </w:r>
      <w:r w:rsidRPr="007F5A62">
        <w:rPr>
          <w:rFonts w:ascii="Arial" w:eastAsia="Calibri" w:hAnsi="Arial" w:cs="Arial"/>
          <w:sz w:val="12"/>
        </w:rPr>
        <w:t>www.DOF.gob.mx Ley de Ingresos de la Federación Ejercicios Fiscales 2012-2018, Pre-Criterios Generales de Política Económica 2019.</w:t>
      </w:r>
    </w:p>
    <w:p w:rsidR="00B8501C" w:rsidRPr="007F5A62" w:rsidRDefault="00B8501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 xml:space="preserve">Durante el periodo 2013-2018, los ingresos provenientes de la Federación registraron un incremento real moderado, debido principalmente a los resultados positivos de la economía nacional y de las medidas adoptadas a través de la Reforma Hacendaria,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 implementando entre otras medidas la aplicación de Criterios de Racionalidad, Austeridad y Disciplina Presupuestal por parte de las </w:t>
      </w:r>
      <w:r w:rsidRPr="007F5A62">
        <w:rPr>
          <w:rFonts w:ascii="Arial" w:eastAsia="Calibri" w:hAnsi="Arial" w:cs="Arial"/>
        </w:rPr>
        <w:lastRenderedPageBreak/>
        <w:t>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rsidR="005F66CD" w:rsidRPr="007F5A62" w:rsidRDefault="005F66CD"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La modernización de la administración tributaria tiene un papel fundamental en el fortalecimiento de la hacienda pública estatal. En este rubro, se han implementado mejoras administrativas, consolidándose la aplicación de sistemas recaudatorios más eficientes; reforzando la fiscalización de contribuyentes de impuestos estatales y promoviendo activamente el pago de contribuciones vía internet, tal y como se puede apreciar en la tabla siguiente:</w:t>
      </w:r>
    </w:p>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center"/>
        <w:rPr>
          <w:rFonts w:ascii="Arial" w:eastAsia="Calibri" w:hAnsi="Arial" w:cs="Arial"/>
          <w:b/>
        </w:rPr>
      </w:pPr>
      <w:r w:rsidRPr="007F5A62">
        <w:rPr>
          <w:rFonts w:ascii="Arial" w:eastAsia="Calibri" w:hAnsi="Arial" w:cs="Arial"/>
          <w:b/>
        </w:rPr>
        <w:t>RECAUDACIÓN DE IMPUESTOS PROPIOS 2013-2018* (Mdp)</w:t>
      </w:r>
    </w:p>
    <w:p w:rsidR="00B8501C" w:rsidRPr="007F5A62" w:rsidRDefault="00B8501C" w:rsidP="005F66CD">
      <w:pPr>
        <w:spacing w:line="360" w:lineRule="auto"/>
        <w:jc w:val="right"/>
        <w:rPr>
          <w:rFonts w:ascii="Arial" w:eastAsia="Calibri" w:hAnsi="Arial" w:cs="Arial"/>
          <w:b/>
        </w:rPr>
      </w:pPr>
      <w:r w:rsidRPr="007F5A62">
        <w:rPr>
          <w:rFonts w:ascii="Arial" w:eastAsia="Calibri" w:hAnsi="Arial" w:cs="Arial"/>
          <w:noProof/>
          <w:lang w:val="es-MX" w:eastAsia="es-MX"/>
        </w:rPr>
        <w:drawing>
          <wp:inline distT="0" distB="0" distL="0" distR="0" wp14:anchorId="7FC8C2A8" wp14:editId="53E0A848">
            <wp:extent cx="4953000" cy="15906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1590675"/>
                    </a:xfrm>
                    <a:prstGeom prst="rect">
                      <a:avLst/>
                    </a:prstGeom>
                    <a:noFill/>
                    <a:ln>
                      <a:noFill/>
                    </a:ln>
                  </pic:spPr>
                </pic:pic>
              </a:graphicData>
            </a:graphic>
          </wp:inline>
        </w:drawing>
      </w:r>
    </w:p>
    <w:p w:rsidR="00B8501C" w:rsidRPr="007F5A62" w:rsidRDefault="00B8501C" w:rsidP="005F66CD">
      <w:pPr>
        <w:spacing w:line="360" w:lineRule="auto"/>
        <w:jc w:val="both"/>
        <w:rPr>
          <w:rFonts w:ascii="Arial" w:eastAsia="Calibri" w:hAnsi="Arial" w:cs="Arial"/>
          <w:b/>
          <w:sz w:val="10"/>
        </w:rPr>
      </w:pPr>
      <w:r>
        <w:rPr>
          <w:rFonts w:ascii="Arial" w:eastAsia="Calibri" w:hAnsi="Arial" w:cs="Arial"/>
          <w:b/>
          <w:sz w:val="10"/>
        </w:rPr>
        <w:t xml:space="preserve">           </w:t>
      </w:r>
      <w:r w:rsidRPr="007F5A62">
        <w:rPr>
          <w:rFonts w:ascii="Arial" w:eastAsia="Calibri" w:hAnsi="Arial" w:cs="Arial"/>
          <w:b/>
          <w:sz w:val="10"/>
        </w:rPr>
        <w:t xml:space="preserve">Fuente: Dirección de Contabilidad Gubernamental y Coordinación Hacendaria </w:t>
      </w:r>
    </w:p>
    <w:p w:rsidR="00B8501C" w:rsidRPr="007F5A62" w:rsidRDefault="00B8501C" w:rsidP="005F66CD">
      <w:pPr>
        <w:spacing w:line="360" w:lineRule="auto"/>
        <w:jc w:val="both"/>
        <w:rPr>
          <w:rFonts w:ascii="Arial" w:eastAsia="Calibri" w:hAnsi="Arial" w:cs="Arial"/>
          <w:b/>
          <w:sz w:val="10"/>
        </w:rPr>
      </w:pPr>
      <w:r>
        <w:rPr>
          <w:rFonts w:ascii="Arial" w:eastAsia="Calibri" w:hAnsi="Arial" w:cs="Arial"/>
          <w:b/>
          <w:sz w:val="10"/>
        </w:rPr>
        <w:t xml:space="preserve">           </w:t>
      </w:r>
      <w:r w:rsidRPr="007F5A62">
        <w:rPr>
          <w:rFonts w:ascii="Arial" w:eastAsia="Calibri" w:hAnsi="Arial" w:cs="Arial"/>
          <w:b/>
          <w:sz w:val="10"/>
        </w:rPr>
        <w:t>* Estimaciones al Cierre de 2018.</w:t>
      </w:r>
    </w:p>
    <w:p w:rsidR="00B8501C" w:rsidRPr="007F5A62" w:rsidRDefault="00B8501C" w:rsidP="005F66CD">
      <w:pPr>
        <w:spacing w:line="360" w:lineRule="auto"/>
        <w:rPr>
          <w:rFonts w:ascii="Arial" w:eastAsia="Calibri" w:hAnsi="Arial" w:cs="Arial"/>
          <w:b/>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 xml:space="preserve">A continuación se presentan los resultados obtenidos en </w:t>
      </w:r>
      <w:r w:rsidR="00B572C1">
        <w:rPr>
          <w:rFonts w:ascii="Arial" w:eastAsia="Calibri" w:hAnsi="Arial" w:cs="Arial"/>
        </w:rPr>
        <w:t>el ejercicio</w:t>
      </w:r>
      <w:r w:rsidRPr="007F5A62">
        <w:rPr>
          <w:rFonts w:ascii="Arial" w:eastAsia="Calibri" w:hAnsi="Arial" w:cs="Arial"/>
        </w:rPr>
        <w:t xml:space="preserve"> de</w:t>
      </w:r>
      <w:r w:rsidR="00B572C1">
        <w:rPr>
          <w:rFonts w:ascii="Arial" w:eastAsia="Calibri" w:hAnsi="Arial" w:cs="Arial"/>
        </w:rPr>
        <w:t>l gasto de</w:t>
      </w:r>
      <w:r w:rsidRPr="007F5A62">
        <w:rPr>
          <w:rFonts w:ascii="Arial" w:eastAsia="Calibri" w:hAnsi="Arial" w:cs="Arial"/>
        </w:rPr>
        <w:t xml:space="preserve"> recursos federales etiquetados y de libre disposición en los últimos cinco años</w:t>
      </w:r>
      <w:r w:rsidR="00B572C1">
        <w:rPr>
          <w:rFonts w:ascii="Arial" w:eastAsia="Calibri" w:hAnsi="Arial" w:cs="Arial"/>
        </w:rPr>
        <w:t xml:space="preserve">; así como </w:t>
      </w:r>
      <w:r w:rsidRPr="007F5A62">
        <w:rPr>
          <w:rFonts w:ascii="Arial" w:eastAsia="Calibri" w:hAnsi="Arial" w:cs="Arial"/>
        </w:rPr>
        <w:t>el pronóstico de cierre 2018.</w:t>
      </w:r>
    </w:p>
    <w:tbl>
      <w:tblPr>
        <w:tblW w:w="5000" w:type="pct"/>
        <w:tblLayout w:type="fixed"/>
        <w:tblCellMar>
          <w:left w:w="70" w:type="dxa"/>
          <w:right w:w="70" w:type="dxa"/>
        </w:tblCellMar>
        <w:tblLook w:val="04A0" w:firstRow="1" w:lastRow="0" w:firstColumn="1" w:lastColumn="0" w:noHBand="0" w:noVBand="1"/>
      </w:tblPr>
      <w:tblGrid>
        <w:gridCol w:w="2712"/>
        <w:gridCol w:w="973"/>
        <w:gridCol w:w="833"/>
        <w:gridCol w:w="835"/>
        <w:gridCol w:w="833"/>
        <w:gridCol w:w="973"/>
        <w:gridCol w:w="978"/>
      </w:tblGrid>
      <w:tr w:rsidR="00B8501C" w:rsidRPr="00B04B65" w:rsidTr="00B8501C">
        <w:trPr>
          <w:trHeight w:val="300"/>
        </w:trPr>
        <w:tc>
          <w:tcPr>
            <w:tcW w:w="5000" w:type="pct"/>
            <w:gridSpan w:val="7"/>
            <w:tcBorders>
              <w:top w:val="single" w:sz="8" w:space="0" w:color="auto"/>
              <w:left w:val="single" w:sz="8" w:space="0" w:color="auto"/>
              <w:bottom w:val="nil"/>
              <w:right w:val="single" w:sz="8" w:space="0" w:color="000000"/>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lastRenderedPageBreak/>
              <w:t>GOBIERNO DEL ESTADO DE TLAXCALA</w:t>
            </w:r>
          </w:p>
        </w:tc>
      </w:tr>
      <w:tr w:rsidR="00B8501C" w:rsidRPr="00B04B65" w:rsidTr="00B8501C">
        <w:trPr>
          <w:trHeight w:val="300"/>
        </w:trPr>
        <w:tc>
          <w:tcPr>
            <w:tcW w:w="5000" w:type="pct"/>
            <w:gridSpan w:val="7"/>
            <w:tcBorders>
              <w:top w:val="nil"/>
              <w:left w:val="single" w:sz="8" w:space="0" w:color="auto"/>
              <w:bottom w:val="nil"/>
              <w:right w:val="single" w:sz="8" w:space="0" w:color="000000"/>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t xml:space="preserve">Resultados de Egresos </w:t>
            </w:r>
            <w:r w:rsidR="00B572C1">
              <w:rPr>
                <w:rFonts w:ascii="Arial" w:hAnsi="Arial" w:cs="Arial"/>
                <w:b/>
                <w:bCs/>
                <w:color w:val="000000"/>
                <w:sz w:val="12"/>
                <w:szCs w:val="12"/>
                <w:lang w:eastAsia="es-MX"/>
              </w:rPr>
              <w:t>–</w:t>
            </w:r>
            <w:r w:rsidRPr="00B04B65">
              <w:rPr>
                <w:rFonts w:ascii="Arial" w:hAnsi="Arial" w:cs="Arial"/>
                <w:b/>
                <w:bCs/>
                <w:color w:val="000000"/>
                <w:sz w:val="12"/>
                <w:szCs w:val="12"/>
                <w:lang w:eastAsia="es-MX"/>
              </w:rPr>
              <w:t xml:space="preserve"> LDF</w:t>
            </w:r>
          </w:p>
        </w:tc>
      </w:tr>
      <w:tr w:rsidR="00B8501C" w:rsidRPr="00B04B65" w:rsidTr="00B8501C">
        <w:trPr>
          <w:trHeight w:val="315"/>
        </w:trPr>
        <w:tc>
          <w:tcPr>
            <w:tcW w:w="5000" w:type="pct"/>
            <w:gridSpan w:val="7"/>
            <w:tcBorders>
              <w:top w:val="nil"/>
              <w:left w:val="single" w:sz="8" w:space="0" w:color="auto"/>
              <w:bottom w:val="single" w:sz="8" w:space="0" w:color="auto"/>
              <w:right w:val="single" w:sz="8" w:space="0" w:color="000000"/>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t>(PESOS)</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t>Concepto (b)</w:t>
            </w:r>
          </w:p>
        </w:tc>
        <w:tc>
          <w:tcPr>
            <w:tcW w:w="598" w:type="pct"/>
            <w:tcBorders>
              <w:top w:val="nil"/>
              <w:left w:val="nil"/>
              <w:bottom w:val="single" w:sz="8" w:space="0" w:color="auto"/>
              <w:right w:val="single" w:sz="8" w:space="0" w:color="auto"/>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t>2013</w:t>
            </w:r>
          </w:p>
        </w:tc>
        <w:tc>
          <w:tcPr>
            <w:tcW w:w="512" w:type="pct"/>
            <w:tcBorders>
              <w:top w:val="nil"/>
              <w:left w:val="nil"/>
              <w:bottom w:val="single" w:sz="8" w:space="0" w:color="auto"/>
              <w:right w:val="single" w:sz="8" w:space="0" w:color="auto"/>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t>2014</w:t>
            </w:r>
          </w:p>
        </w:tc>
        <w:tc>
          <w:tcPr>
            <w:tcW w:w="513" w:type="pct"/>
            <w:tcBorders>
              <w:top w:val="nil"/>
              <w:left w:val="nil"/>
              <w:bottom w:val="single" w:sz="8" w:space="0" w:color="auto"/>
              <w:right w:val="single" w:sz="8" w:space="0" w:color="auto"/>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t>2015</w:t>
            </w:r>
          </w:p>
        </w:tc>
        <w:tc>
          <w:tcPr>
            <w:tcW w:w="512" w:type="pct"/>
            <w:tcBorders>
              <w:top w:val="nil"/>
              <w:left w:val="nil"/>
              <w:bottom w:val="single" w:sz="8" w:space="0" w:color="auto"/>
              <w:right w:val="single" w:sz="8" w:space="0" w:color="auto"/>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t>2016</w:t>
            </w:r>
          </w:p>
        </w:tc>
        <w:tc>
          <w:tcPr>
            <w:tcW w:w="598" w:type="pct"/>
            <w:tcBorders>
              <w:top w:val="nil"/>
              <w:left w:val="nil"/>
              <w:bottom w:val="single" w:sz="8" w:space="0" w:color="auto"/>
              <w:right w:val="single" w:sz="8" w:space="0" w:color="auto"/>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t>2017</w:t>
            </w:r>
          </w:p>
        </w:tc>
        <w:tc>
          <w:tcPr>
            <w:tcW w:w="601" w:type="pct"/>
            <w:tcBorders>
              <w:top w:val="nil"/>
              <w:left w:val="nil"/>
              <w:bottom w:val="single" w:sz="8" w:space="0" w:color="auto"/>
              <w:right w:val="single" w:sz="8" w:space="0" w:color="auto"/>
            </w:tcBorders>
            <w:shd w:val="clear" w:color="000000" w:fill="D9D9D9"/>
            <w:noWrap/>
            <w:vAlign w:val="center"/>
            <w:hideMark/>
          </w:tcPr>
          <w:p w:rsidR="00B8501C" w:rsidRPr="00B04B65" w:rsidRDefault="00B8501C" w:rsidP="00B8501C">
            <w:pPr>
              <w:jc w:val="center"/>
              <w:rPr>
                <w:rFonts w:ascii="Arial" w:hAnsi="Arial" w:cs="Arial"/>
                <w:b/>
                <w:bCs/>
                <w:color w:val="000000"/>
                <w:sz w:val="12"/>
                <w:szCs w:val="12"/>
                <w:lang w:eastAsia="es-MX"/>
              </w:rPr>
            </w:pPr>
            <w:r w:rsidRPr="00B04B65">
              <w:rPr>
                <w:rFonts w:ascii="Arial" w:hAnsi="Arial" w:cs="Arial"/>
                <w:b/>
                <w:bCs/>
                <w:color w:val="000000"/>
                <w:sz w:val="12"/>
                <w:szCs w:val="12"/>
                <w:lang w:eastAsia="es-MX"/>
              </w:rPr>
              <w:t>2018</w:t>
            </w:r>
          </w:p>
        </w:tc>
      </w:tr>
      <w:tr w:rsidR="00B8501C" w:rsidRPr="00B04B65" w:rsidTr="00B8501C">
        <w:trPr>
          <w:trHeight w:val="67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b/>
                <w:bCs/>
                <w:color w:val="000000"/>
                <w:sz w:val="12"/>
                <w:szCs w:val="12"/>
                <w:lang w:eastAsia="es-MX"/>
              </w:rPr>
            </w:pPr>
            <w:r w:rsidRPr="00B04B65">
              <w:rPr>
                <w:rFonts w:ascii="Arial" w:hAnsi="Arial" w:cs="Arial"/>
                <w:b/>
                <w:bCs/>
                <w:color w:val="000000"/>
                <w:sz w:val="12"/>
                <w:szCs w:val="12"/>
                <w:lang w:eastAsia="es-MX"/>
              </w:rPr>
              <w:t>1.</w:t>
            </w:r>
            <w:r w:rsidRPr="00B04B65">
              <w:rPr>
                <w:b/>
                <w:bCs/>
                <w:color w:val="000000"/>
                <w:sz w:val="12"/>
                <w:szCs w:val="12"/>
                <w:lang w:eastAsia="es-MX"/>
              </w:rPr>
              <w:t xml:space="preserve">  </w:t>
            </w:r>
            <w:r w:rsidRPr="00B04B65">
              <w:rPr>
                <w:rFonts w:ascii="Arial" w:hAnsi="Arial" w:cs="Arial"/>
                <w:b/>
                <w:bCs/>
                <w:color w:val="000000"/>
                <w:sz w:val="12"/>
                <w:szCs w:val="12"/>
                <w:lang w:eastAsia="es-MX"/>
              </w:rPr>
              <w:t>Gasto No Etiquetado</w:t>
            </w:r>
            <w:r w:rsidRPr="00B04B65">
              <w:rPr>
                <w:rFonts w:ascii="Arial" w:hAnsi="Arial" w:cs="Arial"/>
                <w:color w:val="000000"/>
                <w:sz w:val="12"/>
                <w:szCs w:val="12"/>
                <w:lang w:eastAsia="es-MX"/>
              </w:rPr>
              <w:t xml:space="preserve"> </w:t>
            </w:r>
            <w:r w:rsidRPr="00B04B65">
              <w:rPr>
                <w:rFonts w:ascii="Arial" w:hAnsi="Arial" w:cs="Arial"/>
                <w:b/>
                <w:bCs/>
                <w:color w:val="000000"/>
                <w:sz w:val="12"/>
                <w:szCs w:val="12"/>
                <w:lang w:eastAsia="es-MX"/>
              </w:rPr>
              <w:t>(1=A+B+C+D+E+F+G+H+I)</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5,966,546,602</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6,399,668,273</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6,578,578,478</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7,898,054,090</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8,734,444,703</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9,433,193,572</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A.</w:t>
            </w:r>
            <w:r w:rsidRPr="00B04B65">
              <w:rPr>
                <w:color w:val="000000"/>
                <w:sz w:val="12"/>
                <w:szCs w:val="12"/>
                <w:lang w:eastAsia="es-MX"/>
              </w:rPr>
              <w:t xml:space="preserve">     </w:t>
            </w:r>
            <w:r w:rsidRPr="00B04B65">
              <w:rPr>
                <w:rFonts w:ascii="Arial" w:hAnsi="Arial" w:cs="Arial"/>
                <w:color w:val="000000"/>
                <w:sz w:val="12"/>
                <w:szCs w:val="12"/>
                <w:lang w:eastAsia="es-MX"/>
              </w:rPr>
              <w:t>Servicios Personales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1,684,459,581</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1,922,247,217</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2,005,123,138</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2,124,667,850</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2,110,453,937</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2,210,453,937</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B.</w:t>
            </w:r>
            <w:r w:rsidRPr="00B04B65">
              <w:rPr>
                <w:color w:val="000000"/>
                <w:sz w:val="12"/>
                <w:szCs w:val="12"/>
                <w:lang w:eastAsia="es-MX"/>
              </w:rPr>
              <w:t xml:space="preserve">     </w:t>
            </w:r>
            <w:r w:rsidRPr="00B04B65">
              <w:rPr>
                <w:rFonts w:ascii="Arial" w:hAnsi="Arial" w:cs="Arial"/>
                <w:color w:val="000000"/>
                <w:sz w:val="12"/>
                <w:szCs w:val="12"/>
                <w:lang w:eastAsia="es-MX"/>
              </w:rPr>
              <w:t>Materiales y Suministros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131,543,003</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156,730,379</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147,435,038</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171,218,391</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168,396,882</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198,396,882</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C.</w:t>
            </w:r>
            <w:r w:rsidRPr="00B04B65">
              <w:rPr>
                <w:color w:val="000000"/>
                <w:sz w:val="12"/>
                <w:szCs w:val="12"/>
                <w:lang w:eastAsia="es-MX"/>
              </w:rPr>
              <w:t xml:space="preserve">    </w:t>
            </w:r>
            <w:r w:rsidRPr="00B04B65">
              <w:rPr>
                <w:rFonts w:ascii="Arial" w:hAnsi="Arial" w:cs="Arial"/>
                <w:color w:val="000000"/>
                <w:sz w:val="12"/>
                <w:szCs w:val="12"/>
                <w:lang w:eastAsia="es-MX"/>
              </w:rPr>
              <w:t>Servicios Generales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252,711,986</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312,046,698</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246,840,379</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291,239,947</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281,940,578</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341,940,578</w:t>
            </w:r>
          </w:p>
        </w:tc>
      </w:tr>
      <w:tr w:rsidR="00B8501C" w:rsidRPr="00B04B65" w:rsidTr="00B8501C">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D.</w:t>
            </w:r>
            <w:r w:rsidRPr="00B04B65">
              <w:rPr>
                <w:color w:val="000000"/>
                <w:sz w:val="12"/>
                <w:szCs w:val="12"/>
                <w:lang w:eastAsia="es-MX"/>
              </w:rPr>
              <w:t xml:space="preserve">    </w:t>
            </w:r>
            <w:r w:rsidRPr="00B04B65">
              <w:rPr>
                <w:rFonts w:ascii="Arial" w:hAnsi="Arial" w:cs="Arial"/>
                <w:color w:val="000000"/>
                <w:sz w:val="12"/>
                <w:szCs w:val="12"/>
                <w:lang w:eastAsia="es-MX"/>
              </w:rPr>
              <w:t>Transferencias, Asignaciones, Subsidios y Otras Ayudas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2,276,291,079</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2,286,513,378</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2,390,541,816</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3,231,455,994</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4,145,388,405</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4,475,786,929</w:t>
            </w:r>
          </w:p>
        </w:tc>
      </w:tr>
      <w:tr w:rsidR="00B8501C" w:rsidRPr="00B04B65" w:rsidTr="00B8501C">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E.</w:t>
            </w:r>
            <w:r w:rsidRPr="00B04B65">
              <w:rPr>
                <w:color w:val="000000"/>
                <w:sz w:val="12"/>
                <w:szCs w:val="12"/>
                <w:lang w:eastAsia="es-MX"/>
              </w:rPr>
              <w:t xml:space="preserve">     </w:t>
            </w:r>
            <w:r w:rsidRPr="00B04B65">
              <w:rPr>
                <w:rFonts w:ascii="Arial" w:hAnsi="Arial" w:cs="Arial"/>
                <w:color w:val="000000"/>
                <w:sz w:val="12"/>
                <w:szCs w:val="12"/>
                <w:lang w:eastAsia="es-MX"/>
              </w:rPr>
              <w:t>Bienes Muebles, Inmuebles e Intangibles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27,624,657</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46,435,916</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107,204,327</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79,496,428</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18,696,538</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13,334,258</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F.</w:t>
            </w:r>
            <w:r w:rsidRPr="00B04B65">
              <w:rPr>
                <w:color w:val="000000"/>
                <w:sz w:val="12"/>
                <w:szCs w:val="12"/>
                <w:lang w:eastAsia="es-MX"/>
              </w:rPr>
              <w:t xml:space="preserve">     </w:t>
            </w:r>
            <w:r w:rsidRPr="00B04B65">
              <w:rPr>
                <w:rFonts w:ascii="Arial" w:hAnsi="Arial" w:cs="Arial"/>
                <w:color w:val="000000"/>
                <w:sz w:val="12"/>
                <w:szCs w:val="12"/>
                <w:lang w:eastAsia="es-MX"/>
              </w:rPr>
              <w:t>Inversión Pública</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33,147,548</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158,446,381</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165,993,462</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367,132,593</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32,149,638</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74,108,509</w:t>
            </w:r>
          </w:p>
        </w:tc>
      </w:tr>
      <w:tr w:rsidR="00B8501C" w:rsidRPr="00B04B65" w:rsidTr="00B8501C">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G.</w:t>
            </w:r>
            <w:r w:rsidRPr="00B04B65">
              <w:rPr>
                <w:color w:val="000000"/>
                <w:sz w:val="12"/>
                <w:szCs w:val="12"/>
                <w:lang w:eastAsia="es-MX"/>
              </w:rPr>
              <w:t xml:space="preserve">    </w:t>
            </w:r>
            <w:r w:rsidRPr="00B04B65">
              <w:rPr>
                <w:rFonts w:ascii="Arial" w:hAnsi="Arial" w:cs="Arial"/>
                <w:color w:val="000000"/>
                <w:sz w:val="12"/>
                <w:szCs w:val="12"/>
                <w:lang w:eastAsia="es-MX"/>
              </w:rPr>
              <w:t>Inversiones Financieras y Otras Provisiones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0</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10,000,000</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51,753,754</w:t>
            </w:r>
          </w:p>
        </w:tc>
      </w:tr>
      <w:tr w:rsidR="00B8501C" w:rsidRPr="00B04B65" w:rsidTr="00B8501C">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H.</w:t>
            </w:r>
            <w:r w:rsidRPr="00B04B65">
              <w:rPr>
                <w:color w:val="000000"/>
                <w:sz w:val="12"/>
                <w:szCs w:val="12"/>
                <w:lang w:eastAsia="es-MX"/>
              </w:rPr>
              <w:t xml:space="preserve">    </w:t>
            </w:r>
            <w:r w:rsidRPr="00B04B65">
              <w:rPr>
                <w:rFonts w:ascii="Arial" w:hAnsi="Arial" w:cs="Arial"/>
                <w:color w:val="000000"/>
                <w:sz w:val="12"/>
                <w:szCs w:val="12"/>
                <w:lang w:eastAsia="es-MX"/>
              </w:rPr>
              <w:t xml:space="preserve">Participaciones y Aportaciones </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1,560,768,748</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1,517,248,304</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1,515,440,318</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1,632,842,887</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1,967,418,725</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2,067,418,725</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I.</w:t>
            </w:r>
            <w:r w:rsidRPr="00B04B65">
              <w:rPr>
                <w:color w:val="000000"/>
                <w:sz w:val="12"/>
                <w:szCs w:val="12"/>
                <w:lang w:eastAsia="es-MX"/>
              </w:rPr>
              <w:t xml:space="preserve">      </w:t>
            </w:r>
            <w:r w:rsidRPr="00B04B65">
              <w:rPr>
                <w:rFonts w:ascii="Arial" w:hAnsi="Arial" w:cs="Arial"/>
                <w:color w:val="000000"/>
                <w:sz w:val="12"/>
                <w:szCs w:val="12"/>
                <w:lang w:eastAsia="es-MX"/>
              </w:rPr>
              <w:t>Deuda Pública</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r>
      <w:tr w:rsidR="00B8501C" w:rsidRPr="00B04B65" w:rsidTr="00B8501C">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b/>
                <w:bCs/>
                <w:color w:val="000000"/>
                <w:sz w:val="12"/>
                <w:szCs w:val="12"/>
                <w:lang w:eastAsia="es-MX"/>
              </w:rPr>
            </w:pPr>
            <w:r w:rsidRPr="00B04B65">
              <w:rPr>
                <w:rFonts w:ascii="Arial" w:hAnsi="Arial" w:cs="Arial"/>
                <w:b/>
                <w:bCs/>
                <w:color w:val="000000"/>
                <w:sz w:val="12"/>
                <w:szCs w:val="12"/>
                <w:lang w:eastAsia="es-MX"/>
              </w:rPr>
              <w:t>2.</w:t>
            </w:r>
            <w:r w:rsidRPr="00B04B65">
              <w:rPr>
                <w:b/>
                <w:bCs/>
                <w:color w:val="000000"/>
                <w:sz w:val="12"/>
                <w:szCs w:val="12"/>
                <w:lang w:eastAsia="es-MX"/>
              </w:rPr>
              <w:t xml:space="preserve">  </w:t>
            </w:r>
            <w:r w:rsidRPr="00B04B65">
              <w:rPr>
                <w:rFonts w:ascii="Arial" w:hAnsi="Arial" w:cs="Arial"/>
                <w:b/>
                <w:bCs/>
                <w:color w:val="000000"/>
                <w:sz w:val="12"/>
                <w:szCs w:val="12"/>
                <w:lang w:eastAsia="es-MX"/>
              </w:rPr>
              <w:t>Gasto Etiquetado (2=A+B+C+D+E+F+G+H+I)</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10,153,630,847</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11,116,330,873</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12,964,014,015</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12,262,850,650</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12,396,046,949</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12,904,330,077</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A.</w:t>
            </w:r>
            <w:r w:rsidRPr="00B04B65">
              <w:rPr>
                <w:color w:val="000000"/>
                <w:sz w:val="12"/>
                <w:szCs w:val="12"/>
                <w:lang w:eastAsia="es-MX"/>
              </w:rPr>
              <w:t xml:space="preserve">     </w:t>
            </w:r>
            <w:r w:rsidRPr="00B04B65">
              <w:rPr>
                <w:rFonts w:ascii="Arial" w:hAnsi="Arial" w:cs="Arial"/>
                <w:color w:val="000000"/>
                <w:sz w:val="12"/>
                <w:szCs w:val="12"/>
                <w:lang w:eastAsia="es-MX"/>
              </w:rPr>
              <w:t>Servicios Personales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45,350,655</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4,147,092</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4,474,227</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704,576</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180,000</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340,800</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B.</w:t>
            </w:r>
            <w:r w:rsidRPr="00B04B65">
              <w:rPr>
                <w:color w:val="000000"/>
                <w:sz w:val="12"/>
                <w:szCs w:val="12"/>
                <w:lang w:eastAsia="es-MX"/>
              </w:rPr>
              <w:t xml:space="preserve">     </w:t>
            </w:r>
            <w:r w:rsidRPr="00B04B65">
              <w:rPr>
                <w:rFonts w:ascii="Arial" w:hAnsi="Arial" w:cs="Arial"/>
                <w:color w:val="000000"/>
                <w:sz w:val="12"/>
                <w:szCs w:val="12"/>
                <w:lang w:eastAsia="es-MX"/>
              </w:rPr>
              <w:t>Materiales y Suministros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61,407,142</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54,224,264</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15,116,350</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33,558,645</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28,311,320</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282,360</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C.</w:t>
            </w:r>
            <w:r w:rsidRPr="00B04B65">
              <w:rPr>
                <w:color w:val="000000"/>
                <w:sz w:val="12"/>
                <w:szCs w:val="12"/>
                <w:lang w:eastAsia="es-MX"/>
              </w:rPr>
              <w:t xml:space="preserve">    </w:t>
            </w:r>
            <w:r w:rsidRPr="00B04B65">
              <w:rPr>
                <w:rFonts w:ascii="Arial" w:hAnsi="Arial" w:cs="Arial"/>
                <w:color w:val="000000"/>
                <w:sz w:val="12"/>
                <w:szCs w:val="12"/>
                <w:lang w:eastAsia="es-MX"/>
              </w:rPr>
              <w:t>Servicios Generales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52,998,106</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65,411,424</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39,888,302</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46,888,894</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41,211,806</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66,400</w:t>
            </w:r>
          </w:p>
        </w:tc>
      </w:tr>
      <w:tr w:rsidR="00B8501C" w:rsidRPr="00B04B65" w:rsidTr="00B8501C">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D.</w:t>
            </w:r>
            <w:r w:rsidRPr="00B04B65">
              <w:rPr>
                <w:color w:val="000000"/>
                <w:sz w:val="12"/>
                <w:szCs w:val="12"/>
                <w:lang w:eastAsia="es-MX"/>
              </w:rPr>
              <w:t xml:space="preserve">    </w:t>
            </w:r>
            <w:r w:rsidRPr="00B04B65">
              <w:rPr>
                <w:rFonts w:ascii="Arial" w:hAnsi="Arial" w:cs="Arial"/>
                <w:color w:val="000000"/>
                <w:sz w:val="12"/>
                <w:szCs w:val="12"/>
                <w:lang w:eastAsia="es-MX"/>
              </w:rPr>
              <w:t>Transferencias, Asignaciones, Subsidios y Otras Ayudas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7,913,952,573</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8,534,551,271</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9,736,349,635</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9,597,826,009</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9,657,957,277</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9,913,816,594</w:t>
            </w:r>
          </w:p>
        </w:tc>
      </w:tr>
      <w:tr w:rsidR="00B8501C" w:rsidRPr="00B04B65" w:rsidTr="00B8501C">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E.</w:t>
            </w:r>
            <w:r w:rsidRPr="00B04B65">
              <w:rPr>
                <w:color w:val="000000"/>
                <w:sz w:val="12"/>
                <w:szCs w:val="12"/>
                <w:lang w:eastAsia="es-MX"/>
              </w:rPr>
              <w:t xml:space="preserve">     </w:t>
            </w:r>
            <w:r w:rsidRPr="00B04B65">
              <w:rPr>
                <w:rFonts w:ascii="Arial" w:hAnsi="Arial" w:cs="Arial"/>
                <w:color w:val="000000"/>
                <w:sz w:val="12"/>
                <w:szCs w:val="12"/>
                <w:lang w:eastAsia="es-MX"/>
              </w:rPr>
              <w:t>Bienes Muebles, Inmuebles e Intangibles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125,008,856</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50,679,363</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151,053,952</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68,430,652</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49,748,632</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1,327,582</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F.</w:t>
            </w:r>
            <w:r w:rsidRPr="00B04B65">
              <w:rPr>
                <w:color w:val="000000"/>
                <w:sz w:val="12"/>
                <w:szCs w:val="12"/>
                <w:lang w:eastAsia="es-MX"/>
              </w:rPr>
              <w:t xml:space="preserve">     </w:t>
            </w:r>
            <w:r w:rsidRPr="00B04B65">
              <w:rPr>
                <w:rFonts w:ascii="Arial" w:hAnsi="Arial" w:cs="Arial"/>
                <w:color w:val="000000"/>
                <w:sz w:val="12"/>
                <w:szCs w:val="12"/>
                <w:lang w:eastAsia="es-MX"/>
              </w:rPr>
              <w:t>Inversión Pública</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966,970,996</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893,060,701</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1,206,803,851</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745,861,262</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784,308,931</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884,308,931</w:t>
            </w:r>
          </w:p>
        </w:tc>
      </w:tr>
      <w:tr w:rsidR="00B8501C" w:rsidRPr="00B04B65" w:rsidTr="00B8501C">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G.</w:t>
            </w:r>
            <w:r w:rsidRPr="00B04B65">
              <w:rPr>
                <w:color w:val="000000"/>
                <w:sz w:val="12"/>
                <w:szCs w:val="12"/>
                <w:lang w:eastAsia="es-MX"/>
              </w:rPr>
              <w:t xml:space="preserve">    </w:t>
            </w:r>
            <w:r w:rsidRPr="00B04B65">
              <w:rPr>
                <w:rFonts w:ascii="Arial" w:hAnsi="Arial" w:cs="Arial"/>
                <w:color w:val="000000"/>
                <w:sz w:val="12"/>
                <w:szCs w:val="12"/>
                <w:lang w:eastAsia="es-MX"/>
              </w:rPr>
              <w:t>Inversiones Financieras y Otras Provisiones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135,838,469</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95,091,383</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41,896,362</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130,956,051</w:t>
            </w:r>
          </w:p>
        </w:tc>
      </w:tr>
      <w:tr w:rsidR="00B8501C" w:rsidRPr="00B04B65" w:rsidTr="00B8501C">
        <w:trPr>
          <w:trHeight w:val="34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H.</w:t>
            </w:r>
            <w:r w:rsidRPr="00B04B65">
              <w:rPr>
                <w:color w:val="000000"/>
                <w:sz w:val="12"/>
                <w:szCs w:val="12"/>
                <w:lang w:eastAsia="es-MX"/>
              </w:rPr>
              <w:t xml:space="preserve">    </w:t>
            </w:r>
            <w:r w:rsidRPr="00B04B65">
              <w:rPr>
                <w:rFonts w:ascii="Arial" w:hAnsi="Arial" w:cs="Arial"/>
                <w:color w:val="000000"/>
                <w:sz w:val="12"/>
                <w:szCs w:val="12"/>
                <w:lang w:eastAsia="es-MX"/>
              </w:rPr>
              <w:t>Participaciones y Aportaciones</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987,942,519</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1,514,256,758</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1,674,489,229</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1,674,489,229</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1,792,432,621</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1,973,231,361</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I.</w:t>
            </w:r>
            <w:r w:rsidRPr="00B04B65">
              <w:rPr>
                <w:color w:val="000000"/>
                <w:sz w:val="12"/>
                <w:szCs w:val="12"/>
                <w:lang w:eastAsia="es-MX"/>
              </w:rPr>
              <w:t xml:space="preserve">      </w:t>
            </w:r>
            <w:r w:rsidRPr="00B04B65">
              <w:rPr>
                <w:rFonts w:ascii="Arial" w:hAnsi="Arial" w:cs="Arial"/>
                <w:color w:val="000000"/>
                <w:sz w:val="12"/>
                <w:szCs w:val="12"/>
                <w:lang w:eastAsia="es-MX"/>
              </w:rPr>
              <w:t>Deuda Pública</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0 </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0"/>
                <w:szCs w:val="10"/>
                <w:lang w:eastAsia="es-MX"/>
              </w:rPr>
            </w:pPr>
            <w:r w:rsidRPr="00B04B65">
              <w:rPr>
                <w:rFonts w:ascii="Arial" w:hAnsi="Arial" w:cs="Arial"/>
                <w:color w:val="000000"/>
                <w:sz w:val="10"/>
                <w:szCs w:val="10"/>
                <w:lang w:eastAsia="es-MX"/>
              </w:rPr>
              <w:t> </w:t>
            </w:r>
          </w:p>
        </w:tc>
      </w:tr>
      <w:tr w:rsidR="00B8501C" w:rsidRPr="00B04B65" w:rsidTr="00B8501C">
        <w:trPr>
          <w:trHeight w:val="510"/>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b/>
                <w:bCs/>
                <w:color w:val="000000"/>
                <w:sz w:val="12"/>
                <w:szCs w:val="12"/>
                <w:lang w:eastAsia="es-MX"/>
              </w:rPr>
            </w:pPr>
            <w:r w:rsidRPr="00B04B65">
              <w:rPr>
                <w:rFonts w:ascii="Arial" w:hAnsi="Arial" w:cs="Arial"/>
                <w:b/>
                <w:bCs/>
                <w:color w:val="000000"/>
                <w:sz w:val="12"/>
                <w:szCs w:val="12"/>
                <w:lang w:eastAsia="es-MX"/>
              </w:rPr>
              <w:lastRenderedPageBreak/>
              <w:t>3.</w:t>
            </w:r>
            <w:r w:rsidRPr="00B04B65">
              <w:rPr>
                <w:b/>
                <w:bCs/>
                <w:color w:val="000000"/>
                <w:sz w:val="12"/>
                <w:szCs w:val="12"/>
                <w:lang w:eastAsia="es-MX"/>
              </w:rPr>
              <w:t xml:space="preserve">  </w:t>
            </w:r>
            <w:r w:rsidRPr="00B04B65">
              <w:rPr>
                <w:rFonts w:ascii="Arial" w:hAnsi="Arial" w:cs="Arial"/>
                <w:b/>
                <w:bCs/>
                <w:color w:val="000000"/>
                <w:sz w:val="12"/>
                <w:szCs w:val="12"/>
                <w:lang w:eastAsia="es-MX"/>
              </w:rPr>
              <w:t>Total del Resultado de Egresos (3=1+2)</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16,120,177,449</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17,515,999,146</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19,542,592,493</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20,160,904,740</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21,130,491,651</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b/>
                <w:bCs/>
                <w:color w:val="000000"/>
                <w:sz w:val="10"/>
                <w:szCs w:val="10"/>
                <w:lang w:eastAsia="es-MX"/>
              </w:rPr>
            </w:pPr>
            <w:r w:rsidRPr="00B04B65">
              <w:rPr>
                <w:rFonts w:ascii="Arial" w:hAnsi="Arial" w:cs="Arial"/>
                <w:b/>
                <w:bCs/>
                <w:color w:val="000000"/>
                <w:sz w:val="10"/>
                <w:szCs w:val="10"/>
                <w:lang w:eastAsia="es-MX"/>
              </w:rPr>
              <w:t>22,337,523,649</w:t>
            </w:r>
          </w:p>
        </w:tc>
      </w:tr>
      <w:tr w:rsidR="00B8501C" w:rsidRPr="00B04B65" w:rsidTr="00B8501C">
        <w:trPr>
          <w:trHeight w:val="315"/>
        </w:trPr>
        <w:tc>
          <w:tcPr>
            <w:tcW w:w="1666" w:type="pct"/>
            <w:tcBorders>
              <w:top w:val="nil"/>
              <w:left w:val="single" w:sz="8" w:space="0" w:color="auto"/>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both"/>
              <w:rPr>
                <w:rFonts w:ascii="Arial" w:hAnsi="Arial" w:cs="Arial"/>
                <w:color w:val="000000"/>
                <w:sz w:val="12"/>
                <w:szCs w:val="12"/>
                <w:lang w:eastAsia="es-MX"/>
              </w:rPr>
            </w:pPr>
            <w:r w:rsidRPr="00B04B65">
              <w:rPr>
                <w:rFonts w:ascii="Arial" w:hAnsi="Arial" w:cs="Arial"/>
                <w:color w:val="000000"/>
                <w:sz w:val="12"/>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2"/>
                <w:szCs w:val="12"/>
                <w:lang w:eastAsia="es-MX"/>
              </w:rPr>
            </w:pPr>
            <w:r w:rsidRPr="00B04B65">
              <w:rPr>
                <w:rFonts w:ascii="Arial" w:hAnsi="Arial" w:cs="Arial"/>
                <w:color w:val="000000"/>
                <w:sz w:val="12"/>
                <w:szCs w:val="12"/>
                <w:lang w:eastAsia="es-MX"/>
              </w:rPr>
              <w:t> </w:t>
            </w:r>
          </w:p>
        </w:tc>
        <w:tc>
          <w:tcPr>
            <w:tcW w:w="513"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2"/>
                <w:szCs w:val="12"/>
                <w:lang w:eastAsia="es-MX"/>
              </w:rPr>
            </w:pPr>
            <w:r w:rsidRPr="00B04B65">
              <w:rPr>
                <w:rFonts w:ascii="Arial" w:hAnsi="Arial" w:cs="Arial"/>
                <w:color w:val="000000"/>
                <w:sz w:val="12"/>
                <w:szCs w:val="12"/>
                <w:lang w:eastAsia="es-MX"/>
              </w:rPr>
              <w:t> </w:t>
            </w:r>
          </w:p>
        </w:tc>
        <w:tc>
          <w:tcPr>
            <w:tcW w:w="512"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2"/>
                <w:szCs w:val="12"/>
                <w:lang w:eastAsia="es-MX"/>
              </w:rPr>
            </w:pPr>
            <w:r w:rsidRPr="00B04B65">
              <w:rPr>
                <w:rFonts w:ascii="Arial" w:hAnsi="Arial" w:cs="Arial"/>
                <w:color w:val="000000"/>
                <w:sz w:val="12"/>
                <w:szCs w:val="12"/>
                <w:lang w:eastAsia="es-MX"/>
              </w:rPr>
              <w:t> </w:t>
            </w:r>
          </w:p>
        </w:tc>
        <w:tc>
          <w:tcPr>
            <w:tcW w:w="598"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2"/>
                <w:szCs w:val="12"/>
                <w:lang w:eastAsia="es-MX"/>
              </w:rPr>
            </w:pPr>
            <w:r w:rsidRPr="00B04B65">
              <w:rPr>
                <w:rFonts w:ascii="Arial" w:hAnsi="Arial" w:cs="Arial"/>
                <w:color w:val="000000"/>
                <w:sz w:val="12"/>
                <w:szCs w:val="12"/>
                <w:lang w:eastAsia="es-MX"/>
              </w:rPr>
              <w:t> </w:t>
            </w:r>
          </w:p>
        </w:tc>
        <w:tc>
          <w:tcPr>
            <w:tcW w:w="601" w:type="pct"/>
            <w:tcBorders>
              <w:top w:val="nil"/>
              <w:left w:val="nil"/>
              <w:bottom w:val="single" w:sz="8" w:space="0" w:color="auto"/>
              <w:right w:val="single" w:sz="8" w:space="0" w:color="auto"/>
            </w:tcBorders>
            <w:shd w:val="clear" w:color="auto" w:fill="auto"/>
            <w:noWrap/>
            <w:vAlign w:val="center"/>
            <w:hideMark/>
          </w:tcPr>
          <w:p w:rsidR="00B8501C" w:rsidRPr="00B04B65" w:rsidRDefault="00B8501C" w:rsidP="00B8501C">
            <w:pPr>
              <w:jc w:val="right"/>
              <w:rPr>
                <w:rFonts w:ascii="Arial" w:hAnsi="Arial" w:cs="Arial"/>
                <w:color w:val="000000"/>
                <w:sz w:val="12"/>
                <w:szCs w:val="12"/>
                <w:lang w:eastAsia="es-MX"/>
              </w:rPr>
            </w:pPr>
            <w:r w:rsidRPr="00B04B65">
              <w:rPr>
                <w:rFonts w:ascii="Arial" w:hAnsi="Arial" w:cs="Arial"/>
                <w:color w:val="000000"/>
                <w:sz w:val="12"/>
                <w:szCs w:val="12"/>
                <w:lang w:eastAsia="es-MX"/>
              </w:rPr>
              <w:t> </w:t>
            </w:r>
          </w:p>
        </w:tc>
      </w:tr>
    </w:tbl>
    <w:p w:rsidR="00B8501C" w:rsidRPr="007F5A62" w:rsidRDefault="00B8501C" w:rsidP="005F66CD">
      <w:pPr>
        <w:spacing w:line="360" w:lineRule="auto"/>
        <w:jc w:val="both"/>
        <w:rPr>
          <w:rFonts w:ascii="Arial" w:eastAsia="Calibri" w:hAnsi="Arial" w:cs="Arial"/>
          <w:b/>
          <w:bCs/>
        </w:rPr>
      </w:pPr>
    </w:p>
    <w:p w:rsidR="00B8501C" w:rsidRPr="007F5A62" w:rsidRDefault="00B8501C" w:rsidP="005F66CD">
      <w:pPr>
        <w:spacing w:line="360" w:lineRule="auto"/>
        <w:jc w:val="both"/>
        <w:rPr>
          <w:rFonts w:ascii="Arial" w:eastAsia="Calibri" w:hAnsi="Arial" w:cs="Arial"/>
          <w:b/>
          <w:bCs/>
        </w:rPr>
      </w:pPr>
      <w:r w:rsidRPr="007F5A62">
        <w:rPr>
          <w:rFonts w:ascii="Arial" w:eastAsia="Calibri" w:hAnsi="Arial" w:cs="Arial"/>
          <w:b/>
          <w:bCs/>
        </w:rPr>
        <w:t>SISTEMA ESTATAL DE PENSIONES.</w:t>
      </w:r>
    </w:p>
    <w:p w:rsidR="005F66CD" w:rsidRDefault="005F66CD"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De acuerdo al último estudio actuarial de las pensiones del Estado de Tlaxcala</w:t>
      </w:r>
      <w:r w:rsidRPr="007F5A62">
        <w:rPr>
          <w:rFonts w:ascii="Arial" w:eastAsia="Calibri" w:hAnsi="Arial" w:cs="Arial"/>
          <w:b/>
          <w:vertAlign w:val="superscript"/>
        </w:rPr>
        <w:footnoteReference w:id="2"/>
      </w:r>
      <w:r w:rsidRPr="007F5A62">
        <w:rPr>
          <w:rFonts w:ascii="Arial" w:eastAsia="Calibri" w:hAnsi="Arial" w:cs="Arial"/>
        </w:rPr>
        <w:t>, correspondiente al ejercicio fiscal 2018 y con una vigencia al ejercicio 2021 se tiene una reserva actuarial de 348.01 millones de pesos, con una población afiliada activa de 8,038 trabajadores y 2,014 pensionados, como a continuación se presenta:</w:t>
      </w:r>
    </w:p>
    <w:p w:rsidR="00B8501C" w:rsidRPr="007F5A62" w:rsidRDefault="00B8501C" w:rsidP="005F66CD">
      <w:pPr>
        <w:spacing w:line="360" w:lineRule="auto"/>
        <w:jc w:val="center"/>
        <w:rPr>
          <w:rFonts w:ascii="Arial" w:eastAsia="Calibri" w:hAnsi="Arial" w:cs="Arial"/>
          <w:b/>
        </w:rPr>
      </w:pPr>
      <w:r w:rsidRPr="007F5A62">
        <w:rPr>
          <w:rFonts w:ascii="Arial" w:eastAsia="Calibri" w:hAnsi="Arial" w:cs="Arial"/>
          <w:b/>
        </w:rPr>
        <w:t>Estudio Actuarial de Pensiones</w:t>
      </w:r>
      <w:r w:rsidRPr="007F5A62">
        <w:rPr>
          <w:rFonts w:ascii="Arial" w:eastAsia="Calibri" w:hAnsi="Arial" w:cs="Arial"/>
          <w:noProof/>
          <w:lang w:val="es-MX" w:eastAsia="es-MX"/>
        </w:rPr>
        <w:drawing>
          <wp:inline distT="0" distB="0" distL="0" distR="0" wp14:anchorId="6CA4B8BB" wp14:editId="064FD154">
            <wp:extent cx="5076748" cy="313817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
                      <a:extLst>
                        <a:ext uri="{28A0092B-C50C-407E-A947-70E740481C1C}">
                          <a14:useLocalDpi xmlns:a14="http://schemas.microsoft.com/office/drawing/2010/main" val="0"/>
                        </a:ext>
                      </a:extLst>
                    </a:blip>
                    <a:srcRect l="30527" t="8340" r="26665" b="42580"/>
                    <a:stretch>
                      <a:fillRect/>
                    </a:stretch>
                  </pic:blipFill>
                  <pic:spPr bwMode="auto">
                    <a:xfrm>
                      <a:off x="0" y="0"/>
                      <a:ext cx="5121622" cy="3165909"/>
                    </a:xfrm>
                    <a:prstGeom prst="rect">
                      <a:avLst/>
                    </a:prstGeom>
                    <a:noFill/>
                    <a:ln>
                      <a:noFill/>
                    </a:ln>
                  </pic:spPr>
                </pic:pic>
              </a:graphicData>
            </a:graphic>
          </wp:inline>
        </w:drawing>
      </w: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noProof/>
          <w:lang w:val="es-MX" w:eastAsia="es-MX"/>
        </w:rPr>
        <w:lastRenderedPageBreak/>
        <w:drawing>
          <wp:inline distT="0" distB="0" distL="0" distR="0" wp14:anchorId="3F1E2C80" wp14:editId="039E120E">
            <wp:extent cx="5210175" cy="28194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5">
                      <a:extLst>
                        <a:ext uri="{28A0092B-C50C-407E-A947-70E740481C1C}">
                          <a14:useLocalDpi xmlns:a14="http://schemas.microsoft.com/office/drawing/2010/main" val="0"/>
                        </a:ext>
                      </a:extLst>
                    </a:blip>
                    <a:srcRect l="28563" t="9816" r="26646" b="47026"/>
                    <a:stretch>
                      <a:fillRect/>
                    </a:stretch>
                  </pic:blipFill>
                  <pic:spPr bwMode="auto">
                    <a:xfrm>
                      <a:off x="0" y="0"/>
                      <a:ext cx="5210175" cy="2819400"/>
                    </a:xfrm>
                    <a:prstGeom prst="rect">
                      <a:avLst/>
                    </a:prstGeom>
                    <a:noFill/>
                    <a:ln>
                      <a:noFill/>
                    </a:ln>
                  </pic:spPr>
                </pic:pic>
              </a:graphicData>
            </a:graphic>
          </wp:inline>
        </w:drawing>
      </w:r>
    </w:p>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noProof/>
          <w:lang w:val="es-MX" w:eastAsia="es-MX"/>
        </w:rPr>
        <w:drawing>
          <wp:inline distT="0" distB="0" distL="0" distR="0" wp14:anchorId="6227579C" wp14:editId="1A58E22D">
            <wp:extent cx="5172075" cy="27813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30650" t="29076" r="26672" b="40491"/>
                    <a:stretch>
                      <a:fillRect/>
                    </a:stretch>
                  </pic:blipFill>
                  <pic:spPr bwMode="auto">
                    <a:xfrm>
                      <a:off x="0" y="0"/>
                      <a:ext cx="5172075" cy="2781300"/>
                    </a:xfrm>
                    <a:prstGeom prst="rect">
                      <a:avLst/>
                    </a:prstGeom>
                    <a:noFill/>
                    <a:ln>
                      <a:noFill/>
                    </a:ln>
                  </pic:spPr>
                </pic:pic>
              </a:graphicData>
            </a:graphic>
          </wp:inline>
        </w:drawing>
      </w: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noProof/>
          <w:lang w:val="es-MX" w:eastAsia="es-MX"/>
        </w:rPr>
        <w:lastRenderedPageBreak/>
        <w:drawing>
          <wp:inline distT="0" distB="0" distL="0" distR="0" wp14:anchorId="5EE99E67" wp14:editId="436ECF40">
            <wp:extent cx="5143500" cy="1905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7">
                      <a:extLst>
                        <a:ext uri="{28A0092B-C50C-407E-A947-70E740481C1C}">
                          <a14:useLocalDpi xmlns:a14="http://schemas.microsoft.com/office/drawing/2010/main" val="0"/>
                        </a:ext>
                      </a:extLst>
                    </a:blip>
                    <a:srcRect l="30762" t="37547" r="37718" b="43959"/>
                    <a:stretch>
                      <a:fillRect/>
                    </a:stretch>
                  </pic:blipFill>
                  <pic:spPr bwMode="auto">
                    <a:xfrm>
                      <a:off x="0" y="0"/>
                      <a:ext cx="5143500" cy="1905000"/>
                    </a:xfrm>
                    <a:prstGeom prst="rect">
                      <a:avLst/>
                    </a:prstGeom>
                    <a:noFill/>
                    <a:ln>
                      <a:noFill/>
                    </a:ln>
                  </pic:spPr>
                </pic:pic>
              </a:graphicData>
            </a:graphic>
          </wp:inline>
        </w:drawing>
      </w: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 xml:space="preserve">Con la finalidad de coadyuvar en el saneamiento de las Pensiones Civiles del Estado de Tlaxcala, el Ejecutivo del Estado ha otorgado a la fecha aportaciones extraordinarias a Pensiones Civiles del Estado por un importe estimado de 530.0 millones de pesos al cierre de 2018, considerándose a su vez, dentro de la </w:t>
      </w:r>
      <w:r w:rsidR="00B572C1">
        <w:rPr>
          <w:rFonts w:ascii="Arial" w:eastAsia="Calibri" w:hAnsi="Arial" w:cs="Arial"/>
        </w:rPr>
        <w:t>I</w:t>
      </w:r>
      <w:r w:rsidRPr="007F5A62">
        <w:rPr>
          <w:rFonts w:ascii="Arial" w:eastAsia="Calibri" w:hAnsi="Arial" w:cs="Arial"/>
        </w:rPr>
        <w:t>niciativa una aportación extraordinaria por hasta 50.0 millones de pesos.</w:t>
      </w:r>
    </w:p>
    <w:tbl>
      <w:tblPr>
        <w:tblW w:w="3640" w:type="dxa"/>
        <w:jc w:val="center"/>
        <w:tblCellMar>
          <w:left w:w="70" w:type="dxa"/>
          <w:right w:w="70" w:type="dxa"/>
        </w:tblCellMar>
        <w:tblLook w:val="04A0" w:firstRow="1" w:lastRow="0" w:firstColumn="1" w:lastColumn="0" w:noHBand="0" w:noVBand="1"/>
      </w:tblPr>
      <w:tblGrid>
        <w:gridCol w:w="1560"/>
        <w:gridCol w:w="2080"/>
      </w:tblGrid>
      <w:tr w:rsidR="00B8501C" w:rsidRPr="007F5A62" w:rsidTr="00B8501C">
        <w:trPr>
          <w:trHeight w:val="6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AÑO</w:t>
            </w:r>
          </w:p>
        </w:tc>
        <w:tc>
          <w:tcPr>
            <w:tcW w:w="2080" w:type="dxa"/>
            <w:tcBorders>
              <w:top w:val="single" w:sz="4" w:space="0" w:color="auto"/>
              <w:left w:val="nil"/>
              <w:bottom w:val="single" w:sz="4" w:space="0" w:color="auto"/>
              <w:right w:val="single" w:sz="4" w:space="0" w:color="auto"/>
            </w:tcBorders>
            <w:shd w:val="clear" w:color="auto" w:fill="D9D9D9"/>
            <w:vAlign w:val="center"/>
            <w:hideMark/>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APOYO ESTATAL EXTRAORDINARIO</w:t>
            </w:r>
          </w:p>
        </w:tc>
      </w:tr>
      <w:tr w:rsidR="00B8501C" w:rsidRPr="007F5A62" w:rsidTr="00B8501C">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139.7</w:t>
            </w:r>
          </w:p>
        </w:tc>
      </w:tr>
      <w:tr w:rsidR="00B8501C" w:rsidRPr="007F5A62" w:rsidTr="00B8501C">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118.3</w:t>
            </w:r>
          </w:p>
        </w:tc>
      </w:tr>
      <w:tr w:rsidR="00B8501C" w:rsidRPr="007F5A62" w:rsidTr="00B8501C">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16.5</w:t>
            </w:r>
          </w:p>
        </w:tc>
      </w:tr>
      <w:tr w:rsidR="00B8501C" w:rsidRPr="007F5A62" w:rsidTr="00B8501C">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29.0</w:t>
            </w:r>
          </w:p>
        </w:tc>
      </w:tr>
      <w:tr w:rsidR="00B8501C" w:rsidRPr="007F5A62" w:rsidTr="00B8501C">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34.6</w:t>
            </w:r>
          </w:p>
        </w:tc>
      </w:tr>
      <w:tr w:rsidR="00B8501C" w:rsidRPr="007F5A62" w:rsidTr="00B8501C">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165.3</w:t>
            </w:r>
          </w:p>
        </w:tc>
      </w:tr>
      <w:tr w:rsidR="00B8501C" w:rsidRPr="007F5A62" w:rsidTr="00B8501C">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right"/>
              <w:rPr>
                <w:rFonts w:ascii="Calibri" w:eastAsia="Calibri" w:hAnsi="Calibri" w:cs="Arial"/>
                <w:bCs/>
                <w:highlight w:val="yellow"/>
                <w:lang w:eastAsia="es-MX"/>
              </w:rPr>
            </w:pPr>
            <w:r w:rsidRPr="007F5A62">
              <w:rPr>
                <w:rFonts w:ascii="Calibri" w:eastAsia="Calibri" w:hAnsi="Calibri" w:cs="Arial"/>
                <w:bCs/>
                <w:lang w:eastAsia="es-MX"/>
              </w:rPr>
              <w:t>26.6</w:t>
            </w:r>
          </w:p>
        </w:tc>
      </w:tr>
      <w:tr w:rsidR="00B8501C" w:rsidRPr="007F5A62" w:rsidTr="00B8501C">
        <w:trPr>
          <w:trHeight w:val="215"/>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lastRenderedPageBreak/>
              <w:t>*Ejercicio 2018</w:t>
            </w:r>
          </w:p>
        </w:tc>
        <w:tc>
          <w:tcPr>
            <w:tcW w:w="2080" w:type="dxa"/>
            <w:tcBorders>
              <w:top w:val="nil"/>
              <w:left w:val="nil"/>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right"/>
              <w:rPr>
                <w:rFonts w:ascii="Calibri" w:eastAsia="Calibri" w:hAnsi="Calibri" w:cs="Arial"/>
                <w:bCs/>
                <w:lang w:eastAsia="es-MX"/>
              </w:rPr>
            </w:pPr>
            <w:r w:rsidRPr="007F5A62">
              <w:rPr>
                <w:rFonts w:ascii="Calibri" w:eastAsia="Calibri" w:hAnsi="Calibri" w:cs="Arial"/>
                <w:bCs/>
                <w:lang w:eastAsia="es-MX"/>
              </w:rPr>
              <w:t>0.0</w:t>
            </w:r>
          </w:p>
        </w:tc>
      </w:tr>
      <w:tr w:rsidR="00B8501C" w:rsidRPr="007F5A62" w:rsidTr="00B8501C">
        <w:trPr>
          <w:trHeight w:val="23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b/>
                <w:bCs/>
                <w:lang w:eastAsia="es-MX"/>
              </w:rPr>
            </w:pPr>
            <w:r w:rsidRPr="007F5A62">
              <w:rPr>
                <w:rFonts w:ascii="Calibri" w:eastAsia="Calibri" w:hAnsi="Calibri" w:cs="Arial"/>
                <w:b/>
                <w:bCs/>
                <w:lang w:eastAsia="es-MX"/>
              </w:rPr>
              <w:t>530.0</w:t>
            </w:r>
          </w:p>
        </w:tc>
      </w:tr>
    </w:tbl>
    <w:p w:rsidR="00B8501C" w:rsidRPr="007F5A62" w:rsidRDefault="00B8501C" w:rsidP="005F66CD">
      <w:pPr>
        <w:spacing w:line="360" w:lineRule="auto"/>
        <w:ind w:left="2268"/>
        <w:jc w:val="both"/>
        <w:rPr>
          <w:rFonts w:ascii="Arial" w:eastAsia="Calibri" w:hAnsi="Arial" w:cs="Arial"/>
          <w:b/>
          <w:sz w:val="16"/>
        </w:rPr>
      </w:pPr>
    </w:p>
    <w:p w:rsidR="00B8501C" w:rsidRPr="007F5A62" w:rsidRDefault="00B8501C" w:rsidP="005F66CD">
      <w:pPr>
        <w:spacing w:line="360" w:lineRule="auto"/>
        <w:ind w:left="2268"/>
        <w:jc w:val="both"/>
        <w:rPr>
          <w:rFonts w:ascii="Arial" w:eastAsia="Calibri" w:hAnsi="Arial" w:cs="Arial"/>
          <w:b/>
          <w:sz w:val="16"/>
        </w:rPr>
      </w:pPr>
      <w:r w:rsidRPr="007F5A62">
        <w:rPr>
          <w:rFonts w:ascii="Arial" w:eastAsia="Calibri" w:hAnsi="Arial" w:cs="Arial"/>
          <w:b/>
          <w:sz w:val="16"/>
        </w:rPr>
        <w:t>* Cifra Estimada al mes de Octubre de 2018</w:t>
      </w:r>
    </w:p>
    <w:p w:rsidR="00B8501C" w:rsidRPr="007F5A62" w:rsidRDefault="00B8501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Los ingresos propios de Pensiones Civiles del Estado de Tlaxcala, se han visto incrementados, a partir, de la reforma, como a continuación se observa:</w:t>
      </w:r>
    </w:p>
    <w:p w:rsidR="00835955" w:rsidRPr="007F5A62" w:rsidRDefault="00835955" w:rsidP="005F66CD">
      <w:pPr>
        <w:spacing w:line="360" w:lineRule="auto"/>
        <w:jc w:val="both"/>
        <w:rPr>
          <w:rFonts w:ascii="Arial" w:eastAsia="Calibri" w:hAnsi="Arial" w:cs="Arial"/>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B8501C" w:rsidRPr="007F5A62" w:rsidTr="00B8501C">
        <w:trPr>
          <w:trHeight w:val="911"/>
          <w:jc w:val="center"/>
        </w:trPr>
        <w:tc>
          <w:tcPr>
            <w:tcW w:w="154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AÑO</w:t>
            </w:r>
          </w:p>
        </w:tc>
        <w:tc>
          <w:tcPr>
            <w:tcW w:w="1900" w:type="dxa"/>
            <w:tcBorders>
              <w:top w:val="single" w:sz="4" w:space="0" w:color="auto"/>
              <w:left w:val="nil"/>
              <w:bottom w:val="single" w:sz="4" w:space="0" w:color="auto"/>
              <w:right w:val="single" w:sz="4" w:space="0" w:color="auto"/>
            </w:tcBorders>
            <w:shd w:val="clear" w:color="auto" w:fill="D9D9D9"/>
            <w:vAlign w:val="center"/>
            <w:hideMark/>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APORTACIONES Y RETENCIONES</w:t>
            </w:r>
          </w:p>
        </w:tc>
      </w:tr>
      <w:tr w:rsidR="00B8501C" w:rsidRPr="007F5A62" w:rsidTr="00B8501C">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 xml:space="preserve">100.9 </w:t>
            </w:r>
          </w:p>
        </w:tc>
      </w:tr>
      <w:tr w:rsidR="00B8501C" w:rsidRPr="007F5A62" w:rsidTr="00B8501C">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 xml:space="preserve">103.3 </w:t>
            </w:r>
          </w:p>
        </w:tc>
      </w:tr>
      <w:tr w:rsidR="00B8501C" w:rsidRPr="007F5A62" w:rsidTr="00B8501C">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 xml:space="preserve">205.9 </w:t>
            </w:r>
          </w:p>
        </w:tc>
      </w:tr>
      <w:tr w:rsidR="00B8501C" w:rsidRPr="007F5A62" w:rsidTr="00B8501C">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 xml:space="preserve">221.2 </w:t>
            </w:r>
          </w:p>
        </w:tc>
      </w:tr>
      <w:tr w:rsidR="00B8501C" w:rsidRPr="007F5A62" w:rsidTr="00B8501C">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 xml:space="preserve">223.9 </w:t>
            </w:r>
          </w:p>
        </w:tc>
      </w:tr>
      <w:tr w:rsidR="00B8501C" w:rsidRPr="007F5A62" w:rsidTr="00B8501C">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lang w:eastAsia="es-MX"/>
              </w:rPr>
            </w:pPr>
            <w:r w:rsidRPr="007F5A62">
              <w:rPr>
                <w:rFonts w:ascii="Calibri" w:eastAsia="Calibri" w:hAnsi="Calibri" w:cs="Arial"/>
                <w:lang w:eastAsia="es-MX"/>
              </w:rPr>
              <w:t xml:space="preserve">248.9 </w:t>
            </w:r>
          </w:p>
        </w:tc>
      </w:tr>
      <w:tr w:rsidR="00B8501C" w:rsidRPr="007F5A62" w:rsidTr="00B8501C">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rsidR="00B8501C" w:rsidRPr="007F5A62" w:rsidRDefault="00B8501C" w:rsidP="005F66CD">
            <w:pPr>
              <w:spacing w:line="360" w:lineRule="auto"/>
              <w:jc w:val="right"/>
              <w:rPr>
                <w:rFonts w:ascii="Calibri" w:eastAsia="Calibri" w:hAnsi="Calibri" w:cs="Arial"/>
                <w:bCs/>
                <w:lang w:eastAsia="es-MX"/>
              </w:rPr>
            </w:pPr>
            <w:r w:rsidRPr="007F5A62">
              <w:rPr>
                <w:rFonts w:ascii="Calibri" w:eastAsia="Calibri" w:hAnsi="Calibri" w:cs="Arial"/>
                <w:bCs/>
                <w:lang w:eastAsia="es-MX"/>
              </w:rPr>
              <w:t>275.2</w:t>
            </w:r>
          </w:p>
        </w:tc>
      </w:tr>
      <w:tr w:rsidR="00B8501C" w:rsidRPr="007F5A62" w:rsidTr="00B8501C">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rsidR="00B8501C" w:rsidRPr="007F5A62" w:rsidRDefault="00B8501C" w:rsidP="005F66CD">
            <w:pPr>
              <w:spacing w:line="360" w:lineRule="auto"/>
              <w:jc w:val="right"/>
              <w:rPr>
                <w:rFonts w:ascii="Calibri" w:eastAsia="Calibri" w:hAnsi="Calibri" w:cs="Arial"/>
                <w:b/>
                <w:bCs/>
                <w:lang w:eastAsia="es-MX"/>
              </w:rPr>
            </w:pPr>
            <w:r>
              <w:rPr>
                <w:rFonts w:ascii="Calibri" w:eastAsia="Calibri" w:hAnsi="Calibri" w:cs="Arial"/>
                <w:b/>
                <w:bCs/>
                <w:lang w:eastAsia="es-MX"/>
              </w:rPr>
              <w:t>208.9</w:t>
            </w:r>
          </w:p>
        </w:tc>
      </w:tr>
      <w:tr w:rsidR="00B8501C" w:rsidRPr="007F5A62" w:rsidTr="00B8501C">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rsidR="00B8501C" w:rsidRPr="007F5A62" w:rsidRDefault="00B8501C" w:rsidP="005F66CD">
            <w:pPr>
              <w:spacing w:line="360" w:lineRule="auto"/>
              <w:jc w:val="right"/>
              <w:rPr>
                <w:rFonts w:ascii="Calibri" w:eastAsia="Calibri" w:hAnsi="Calibri" w:cs="Arial"/>
                <w:b/>
                <w:bCs/>
                <w:lang w:eastAsia="es-MX"/>
              </w:rPr>
            </w:pPr>
            <w:r w:rsidRPr="007F5A62">
              <w:rPr>
                <w:rFonts w:ascii="Calibri" w:eastAsia="Calibri" w:hAnsi="Calibri" w:cs="Arial"/>
                <w:b/>
                <w:bCs/>
                <w:lang w:eastAsia="es-MX"/>
              </w:rPr>
              <w:t>1,5</w:t>
            </w:r>
            <w:r>
              <w:rPr>
                <w:rFonts w:ascii="Calibri" w:eastAsia="Calibri" w:hAnsi="Calibri" w:cs="Arial"/>
                <w:b/>
                <w:bCs/>
                <w:lang w:eastAsia="es-MX"/>
              </w:rPr>
              <w:t>88.2</w:t>
            </w:r>
            <w:r w:rsidRPr="007F5A62">
              <w:rPr>
                <w:rFonts w:ascii="Calibri" w:eastAsia="Calibri" w:hAnsi="Calibri" w:cs="Arial"/>
                <w:b/>
                <w:bCs/>
                <w:lang w:eastAsia="es-MX"/>
              </w:rPr>
              <w:t xml:space="preserve"> </w:t>
            </w:r>
          </w:p>
        </w:tc>
      </w:tr>
    </w:tbl>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 xml:space="preserve">                                 </w:t>
      </w:r>
    </w:p>
    <w:p w:rsidR="00B8501C" w:rsidRPr="007F5A62" w:rsidRDefault="00B8501C" w:rsidP="00B572C1">
      <w:pPr>
        <w:spacing w:line="360" w:lineRule="auto"/>
        <w:ind w:left="2268"/>
        <w:jc w:val="both"/>
        <w:rPr>
          <w:rFonts w:ascii="Arial" w:eastAsia="Calibri" w:hAnsi="Arial" w:cs="Arial"/>
          <w:b/>
          <w:sz w:val="16"/>
        </w:rPr>
      </w:pPr>
      <w:r w:rsidRPr="007F5A62">
        <w:rPr>
          <w:rFonts w:ascii="Arial" w:eastAsia="Calibri" w:hAnsi="Arial" w:cs="Arial"/>
        </w:rPr>
        <w:t xml:space="preserve"> </w:t>
      </w:r>
      <w:r w:rsidRPr="007F5A62">
        <w:rPr>
          <w:rFonts w:ascii="Arial" w:eastAsia="Calibri" w:hAnsi="Arial" w:cs="Arial"/>
          <w:b/>
          <w:sz w:val="16"/>
        </w:rPr>
        <w:t xml:space="preserve">* Cifras al Cierre del mes de </w:t>
      </w:r>
      <w:r>
        <w:rPr>
          <w:rFonts w:ascii="Arial" w:eastAsia="Calibri" w:hAnsi="Arial" w:cs="Arial"/>
          <w:b/>
          <w:sz w:val="16"/>
        </w:rPr>
        <w:t>octubre</w:t>
      </w:r>
      <w:r w:rsidRPr="007F5A62">
        <w:rPr>
          <w:rFonts w:ascii="Arial" w:eastAsia="Calibri" w:hAnsi="Arial" w:cs="Arial"/>
          <w:b/>
          <w:sz w:val="16"/>
        </w:rPr>
        <w:t xml:space="preserve"> de 2018.</w:t>
      </w:r>
    </w:p>
    <w:p w:rsidR="00B8501C" w:rsidRDefault="00B8501C" w:rsidP="005F66CD">
      <w:pPr>
        <w:spacing w:line="360" w:lineRule="auto"/>
        <w:jc w:val="both"/>
        <w:rPr>
          <w:rFonts w:ascii="Arial" w:eastAsia="Calibri" w:hAnsi="Arial" w:cs="Arial"/>
        </w:rPr>
      </w:pPr>
      <w:r w:rsidRPr="007F5A62">
        <w:rPr>
          <w:rFonts w:ascii="Arial" w:eastAsia="Calibri" w:hAnsi="Arial" w:cs="Arial"/>
        </w:rPr>
        <w:lastRenderedPageBreak/>
        <w:t>El Gobierno del Estado, tiene como prioridad sanear el Sistema Estatal de Pensiones garantizando la solvencia de la Institución e impulsando el otorgamiento y recuperación de créditos. En los últimos años se han realizado las aportaciones siguientes:</w:t>
      </w:r>
    </w:p>
    <w:p w:rsidR="00DE1663" w:rsidRPr="007F5A62" w:rsidRDefault="00DE1663" w:rsidP="005F66CD">
      <w:pPr>
        <w:spacing w:line="360" w:lineRule="auto"/>
        <w:jc w:val="both"/>
        <w:rPr>
          <w:rFonts w:ascii="Arial" w:eastAsia="Calibri" w:hAnsi="Arial" w:cs="Arial"/>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B8501C" w:rsidRPr="007F5A62" w:rsidTr="00B8501C">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AÑO</w:t>
            </w:r>
          </w:p>
        </w:tc>
        <w:tc>
          <w:tcPr>
            <w:tcW w:w="2504" w:type="dxa"/>
            <w:tcBorders>
              <w:top w:val="single" w:sz="4" w:space="0" w:color="auto"/>
              <w:left w:val="nil"/>
              <w:bottom w:val="single" w:sz="4" w:space="0" w:color="auto"/>
              <w:right w:val="single" w:sz="4" w:space="0" w:color="auto"/>
            </w:tcBorders>
            <w:shd w:val="clear" w:color="auto" w:fill="D9D9D9"/>
            <w:vAlign w:val="center"/>
            <w:hideMark/>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FONDO DE CRÉDITOS (MDP)</w:t>
            </w:r>
          </w:p>
        </w:tc>
      </w:tr>
      <w:tr w:rsidR="00B8501C" w:rsidRPr="007F5A62" w:rsidTr="00B8501C">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b/>
                <w:lang w:eastAsia="es-MX"/>
              </w:rPr>
            </w:pPr>
            <w:r w:rsidRPr="007F5A62">
              <w:rPr>
                <w:rFonts w:ascii="Calibri" w:eastAsia="Calibri" w:hAnsi="Calibri" w:cs="Arial"/>
                <w:b/>
                <w:lang w:eastAsia="es-MX"/>
              </w:rPr>
              <w:t>70.0</w:t>
            </w:r>
          </w:p>
        </w:tc>
      </w:tr>
      <w:tr w:rsidR="00B8501C" w:rsidRPr="007F5A62" w:rsidTr="00B8501C">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b/>
                <w:lang w:eastAsia="es-MX"/>
              </w:rPr>
            </w:pPr>
            <w:r w:rsidRPr="007F5A62">
              <w:rPr>
                <w:rFonts w:ascii="Calibri" w:eastAsia="Calibri" w:hAnsi="Calibri" w:cs="Arial"/>
                <w:b/>
                <w:lang w:eastAsia="es-MX"/>
              </w:rPr>
              <w:t>21.0</w:t>
            </w:r>
          </w:p>
        </w:tc>
      </w:tr>
      <w:tr w:rsidR="00B8501C" w:rsidRPr="007F5A62" w:rsidTr="00B8501C">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b/>
                <w:bCs/>
                <w:lang w:eastAsia="es-MX"/>
              </w:rPr>
            </w:pPr>
            <w:r w:rsidRPr="007F5A62">
              <w:rPr>
                <w:rFonts w:ascii="Calibri" w:eastAsia="Calibri" w:hAnsi="Calibri" w:cs="Arial"/>
                <w:b/>
                <w:bCs/>
                <w:lang w:eastAsia="es-MX"/>
              </w:rPr>
              <w:t>59.0</w:t>
            </w:r>
          </w:p>
        </w:tc>
      </w:tr>
      <w:tr w:rsidR="00B8501C" w:rsidRPr="007F5A62" w:rsidTr="00B8501C">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right"/>
              <w:rPr>
                <w:rFonts w:ascii="Calibri" w:eastAsia="Calibri" w:hAnsi="Calibri" w:cs="Arial"/>
                <w:b/>
                <w:bCs/>
                <w:lang w:eastAsia="es-MX"/>
              </w:rPr>
            </w:pPr>
            <w:r w:rsidRPr="007F5A62">
              <w:rPr>
                <w:rFonts w:ascii="Calibri" w:eastAsia="Calibri" w:hAnsi="Calibri" w:cs="Arial"/>
                <w:b/>
                <w:bCs/>
                <w:lang w:eastAsia="es-MX"/>
              </w:rPr>
              <w:t>0.0</w:t>
            </w:r>
          </w:p>
        </w:tc>
      </w:tr>
      <w:tr w:rsidR="00B8501C" w:rsidRPr="007F5A62" w:rsidTr="00B8501C">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rsidR="00B8501C" w:rsidRPr="007F5A62" w:rsidRDefault="00B8501C" w:rsidP="005F66CD">
            <w:pPr>
              <w:spacing w:line="360" w:lineRule="auto"/>
              <w:jc w:val="right"/>
              <w:rPr>
                <w:rFonts w:ascii="Calibri" w:eastAsia="Calibri" w:hAnsi="Calibri" w:cs="Arial"/>
                <w:b/>
                <w:bCs/>
                <w:lang w:eastAsia="es-MX"/>
              </w:rPr>
            </w:pPr>
            <w:r w:rsidRPr="007F5A62">
              <w:rPr>
                <w:rFonts w:ascii="Calibri" w:eastAsia="Calibri" w:hAnsi="Calibri" w:cs="Arial"/>
                <w:b/>
                <w:bCs/>
                <w:lang w:eastAsia="es-MX"/>
              </w:rPr>
              <w:t>0.0</w:t>
            </w:r>
          </w:p>
        </w:tc>
      </w:tr>
      <w:tr w:rsidR="00B8501C" w:rsidRPr="007F5A62" w:rsidTr="00B8501C">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rsidR="00B8501C" w:rsidRPr="007F5A62" w:rsidRDefault="00B8501C" w:rsidP="005F66CD">
            <w:pPr>
              <w:spacing w:line="360" w:lineRule="auto"/>
              <w:jc w:val="right"/>
              <w:rPr>
                <w:rFonts w:ascii="Calibri" w:eastAsia="Calibri" w:hAnsi="Calibri" w:cs="Arial"/>
                <w:b/>
                <w:bCs/>
                <w:lang w:eastAsia="es-MX"/>
              </w:rPr>
            </w:pPr>
            <w:r w:rsidRPr="007F5A62">
              <w:rPr>
                <w:rFonts w:ascii="Calibri" w:eastAsia="Calibri" w:hAnsi="Calibri" w:cs="Arial"/>
                <w:b/>
                <w:bCs/>
                <w:lang w:eastAsia="es-MX"/>
              </w:rPr>
              <w:t>150.0</w:t>
            </w:r>
          </w:p>
        </w:tc>
      </w:tr>
    </w:tbl>
    <w:p w:rsidR="00B8501C" w:rsidRDefault="00B8501C" w:rsidP="005F66CD">
      <w:pPr>
        <w:spacing w:line="360" w:lineRule="auto"/>
        <w:jc w:val="both"/>
        <w:rPr>
          <w:rFonts w:ascii="Arial" w:eastAsia="Calibri" w:hAnsi="Arial" w:cs="Arial"/>
          <w:b/>
        </w:rPr>
      </w:pPr>
    </w:p>
    <w:p w:rsidR="00DE1663" w:rsidRDefault="00DE1663" w:rsidP="005F66CD">
      <w:pPr>
        <w:spacing w:line="360" w:lineRule="auto"/>
        <w:jc w:val="both"/>
        <w:rPr>
          <w:rFonts w:ascii="Arial" w:eastAsia="Calibri" w:hAnsi="Arial" w:cs="Arial"/>
          <w:b/>
        </w:rPr>
      </w:pPr>
      <w:r>
        <w:rPr>
          <w:rFonts w:ascii="Arial" w:eastAsia="Calibri" w:hAnsi="Arial" w:cs="Arial"/>
          <w:b/>
          <w:noProof/>
          <w:lang w:val="es-MX" w:eastAsia="es-MX"/>
        </w:rPr>
        <w:drawing>
          <wp:inline distT="0" distB="0" distL="0" distR="0" wp14:anchorId="4E804DDD">
            <wp:extent cx="5167857" cy="2531059"/>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85700" cy="2539798"/>
                    </a:xfrm>
                    <a:prstGeom prst="rect">
                      <a:avLst/>
                    </a:prstGeom>
                    <a:noFill/>
                  </pic:spPr>
                </pic:pic>
              </a:graphicData>
            </a:graphic>
          </wp:inline>
        </w:drawing>
      </w:r>
    </w:p>
    <w:p w:rsidR="00B8501C" w:rsidRPr="007F5A62" w:rsidRDefault="00B8501C" w:rsidP="005F66CD">
      <w:pPr>
        <w:spacing w:line="360" w:lineRule="auto"/>
        <w:jc w:val="both"/>
        <w:rPr>
          <w:rFonts w:ascii="Arial" w:hAnsi="Arial" w:cs="Arial"/>
          <w:b/>
          <w:iCs/>
        </w:rPr>
      </w:pPr>
      <w:r w:rsidRPr="007F5A62">
        <w:rPr>
          <w:rFonts w:ascii="Arial" w:hAnsi="Arial" w:cs="Arial"/>
          <w:b/>
          <w:iCs/>
        </w:rPr>
        <w:lastRenderedPageBreak/>
        <w:t>DEUDA PÚBLICA.</w:t>
      </w:r>
    </w:p>
    <w:p w:rsidR="00B8501C" w:rsidRPr="007F5A62" w:rsidRDefault="00B8501C" w:rsidP="005F66CD">
      <w:pPr>
        <w:spacing w:line="360" w:lineRule="auto"/>
        <w:jc w:val="both"/>
        <w:rPr>
          <w:rFonts w:ascii="Arial" w:hAnsi="Arial" w:cs="Arial"/>
          <w:b/>
          <w:iCs/>
        </w:rPr>
      </w:pPr>
    </w:p>
    <w:p w:rsidR="00B8501C" w:rsidRPr="007F5A62" w:rsidRDefault="00B8501C" w:rsidP="005F66CD">
      <w:pPr>
        <w:spacing w:line="360" w:lineRule="auto"/>
        <w:jc w:val="both"/>
        <w:rPr>
          <w:rFonts w:ascii="Arial" w:hAnsi="Arial" w:cs="Arial"/>
          <w:iCs/>
        </w:rPr>
      </w:pPr>
      <w:r w:rsidRPr="007F5A62">
        <w:rPr>
          <w:rFonts w:ascii="Arial" w:hAnsi="Arial" w:cs="Arial"/>
          <w:iCs/>
        </w:rPr>
        <w:t>Cabe hacer mención que se modificó la Ley de Deuda del Estado de Tlaxcala y sus Municipios, estableciéndose que el Estado puede contratar obligaciones a corto plazo sin la autorización del Congreso hasta por un monto equivalente al 3% de sus ingresos totales aprobados en la Ley de Ingresos correspondiente; por otro lado la contratación de obligaciones de largo plazo podrá ser de hasta el 20% del equivalente al presupuesto anual del Estado y deberá ser autorizado por el Congreso, sin embargo, no se ha recurrido a la contratación de deuda de corto o largo plazo para financiar el gasto público.</w:t>
      </w:r>
    </w:p>
    <w:p w:rsidR="00B8501C" w:rsidRDefault="00B8501C" w:rsidP="005F66CD">
      <w:pPr>
        <w:spacing w:line="360" w:lineRule="auto"/>
        <w:jc w:val="both"/>
        <w:rPr>
          <w:rFonts w:ascii="Arial" w:hAnsi="Arial" w:cs="Arial"/>
          <w:b/>
          <w:iCs/>
        </w:rPr>
      </w:pPr>
    </w:p>
    <w:p w:rsidR="00B8501C" w:rsidRPr="007F5A62" w:rsidRDefault="00B8501C" w:rsidP="005F66CD">
      <w:pPr>
        <w:spacing w:line="360" w:lineRule="auto"/>
        <w:jc w:val="both"/>
        <w:rPr>
          <w:rFonts w:ascii="Arial" w:hAnsi="Arial" w:cs="Arial"/>
          <w:b/>
          <w:iCs/>
        </w:rPr>
      </w:pPr>
      <w:r w:rsidRPr="007F5A62">
        <w:rPr>
          <w:rFonts w:ascii="Arial" w:hAnsi="Arial" w:cs="Arial"/>
          <w:b/>
          <w:iCs/>
        </w:rPr>
        <w:t>FONDO DE DESASTRES NATURALES.</w:t>
      </w:r>
    </w:p>
    <w:p w:rsidR="00B8501C" w:rsidRPr="007F5A62" w:rsidRDefault="00B8501C" w:rsidP="005F66CD">
      <w:pPr>
        <w:spacing w:line="360" w:lineRule="auto"/>
        <w:jc w:val="both"/>
        <w:rPr>
          <w:rFonts w:ascii="Arial" w:hAnsi="Arial" w:cs="Arial"/>
          <w:b/>
          <w:iCs/>
        </w:rPr>
      </w:pPr>
    </w:p>
    <w:p w:rsidR="00B8501C" w:rsidRDefault="00B8501C" w:rsidP="005F66CD">
      <w:pPr>
        <w:spacing w:line="360" w:lineRule="auto"/>
        <w:jc w:val="both"/>
        <w:rPr>
          <w:rFonts w:ascii="Arial" w:eastAsia="Calibri" w:hAnsi="Arial" w:cs="Arial"/>
          <w:bCs/>
        </w:rPr>
      </w:pPr>
      <w:r w:rsidRPr="007F5A62">
        <w:rPr>
          <w:rFonts w:ascii="Arial" w:eastAsia="Calibri" w:hAnsi="Arial" w:cs="Arial"/>
          <w:bCs/>
        </w:rPr>
        <w:t>De conformidad con lo establecido en el artículo 14 de la Ley de Disciplina Financiera de las Entidades Federativas y los Municipios y 299 del Código Financiero para el Estado de Tlaxcala y sus Municipios, los ingresos excedentes derivados de ingresos de libre disposición que perciba el Estado y los Poderes respectivamente, deberán ser destinados a los conceptos siguientes:</w:t>
      </w:r>
    </w:p>
    <w:p w:rsidR="00DE1663" w:rsidRPr="007F5A62" w:rsidRDefault="00DE1663" w:rsidP="005F66CD">
      <w:pPr>
        <w:spacing w:line="360" w:lineRule="auto"/>
        <w:jc w:val="both"/>
        <w:rPr>
          <w:rFonts w:ascii="Arial" w:eastAsia="Calibri" w:hAnsi="Arial" w:cs="Arial"/>
          <w:bCs/>
        </w:rPr>
      </w:pPr>
    </w:p>
    <w:p w:rsidR="00B8501C" w:rsidRPr="007F5A62" w:rsidRDefault="00B8501C" w:rsidP="00F36D7A">
      <w:pPr>
        <w:numPr>
          <w:ilvl w:val="0"/>
          <w:numId w:val="23"/>
        </w:numPr>
        <w:spacing w:line="360" w:lineRule="auto"/>
        <w:contextualSpacing/>
        <w:jc w:val="both"/>
        <w:rPr>
          <w:rFonts w:ascii="Arial" w:eastAsia="Calibri" w:hAnsi="Arial" w:cs="Arial"/>
          <w:bCs/>
        </w:rPr>
      </w:pPr>
      <w:r w:rsidRPr="007F5A62">
        <w:rPr>
          <w:rFonts w:ascii="Arial" w:eastAsia="Calibri" w:hAnsi="Arial" w:cs="Arial"/>
          <w:bCs/>
        </w:rPr>
        <w:t xml:space="preserve">Para la amortización anticipada de la Deuda Pública, el pago de adeudos de ejercicios fiscales anteriores, pasivos circulantes y otras obligaciones, en cuyos contratos se haya pactado el pago </w:t>
      </w:r>
      <w:r w:rsidRPr="007F5A62">
        <w:rPr>
          <w:rFonts w:ascii="Arial" w:eastAsia="Calibri" w:hAnsi="Arial" w:cs="Arial"/>
          <w:bCs/>
        </w:rPr>
        <w:lastRenderedPageBreak/>
        <w:t>anticipado sin incurrir en penalidades y representen una disminución del saldo registrado en la cuenta pública del cierre del ejercicio inmediato anterior, así como el pago de sentencias definitivas emitidas por la autoridad competente, la *Aportación al Fondo para Desastres Naturales y de Pensiones, conforme a lo siguiente:</w:t>
      </w:r>
    </w:p>
    <w:p w:rsidR="00B8501C" w:rsidRPr="007F5A62" w:rsidRDefault="00B8501C" w:rsidP="005F66CD">
      <w:pPr>
        <w:spacing w:line="360" w:lineRule="auto"/>
        <w:jc w:val="both"/>
        <w:rPr>
          <w:rFonts w:ascii="Arial" w:eastAsia="Calibri" w:hAnsi="Arial" w:cs="Arial"/>
          <w:bCs/>
        </w:rPr>
      </w:pPr>
    </w:p>
    <w:p w:rsidR="00B8501C" w:rsidRDefault="00B8501C" w:rsidP="005F66CD">
      <w:pPr>
        <w:spacing w:line="360" w:lineRule="auto"/>
        <w:jc w:val="both"/>
        <w:rPr>
          <w:rFonts w:ascii="Arial" w:eastAsia="Calibri" w:hAnsi="Arial" w:cs="Arial"/>
          <w:bCs/>
        </w:rPr>
      </w:pPr>
      <w:r w:rsidRPr="007F5A62">
        <w:rPr>
          <w:rFonts w:ascii="Arial" w:eastAsia="Calibri" w:hAnsi="Arial" w:cs="Arial"/>
          <w:bCs/>
        </w:rPr>
        <w:t xml:space="preserve">* El Gobierno del Estado de Tlaxcala ha realizado las siguientes aportaciones aprobadas en el presupuesto de Egresos, de los siguientes ejercicios: </w:t>
      </w:r>
    </w:p>
    <w:p w:rsidR="00DE1663" w:rsidRPr="007F5A62" w:rsidRDefault="00DE1663" w:rsidP="005F66CD">
      <w:pPr>
        <w:spacing w:line="360" w:lineRule="auto"/>
        <w:jc w:val="both"/>
        <w:rPr>
          <w:rFonts w:ascii="Arial" w:eastAsia="Calibri"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451"/>
      </w:tblGrid>
      <w:tr w:rsidR="00B8501C" w:rsidRPr="007F5A62" w:rsidTr="00B572C1">
        <w:trPr>
          <w:trHeight w:val="538"/>
          <w:jc w:val="center"/>
        </w:trPr>
        <w:tc>
          <w:tcPr>
            <w:tcW w:w="2660" w:type="dxa"/>
            <w:shd w:val="clear" w:color="auto" w:fill="BFBFBF"/>
            <w:vAlign w:val="center"/>
          </w:tcPr>
          <w:p w:rsidR="00B8501C" w:rsidRPr="007F5A62" w:rsidRDefault="00B8501C" w:rsidP="005F66CD">
            <w:pPr>
              <w:spacing w:line="360" w:lineRule="auto"/>
              <w:jc w:val="center"/>
              <w:rPr>
                <w:rFonts w:ascii="Arial" w:eastAsia="Calibri" w:hAnsi="Arial" w:cs="Arial"/>
                <w:bCs/>
              </w:rPr>
            </w:pPr>
            <w:r w:rsidRPr="007F5A62">
              <w:rPr>
                <w:rFonts w:ascii="Arial" w:eastAsia="Calibri" w:hAnsi="Arial" w:cs="Arial"/>
                <w:bCs/>
              </w:rPr>
              <w:t>Año</w:t>
            </w:r>
          </w:p>
        </w:tc>
        <w:tc>
          <w:tcPr>
            <w:tcW w:w="1451" w:type="dxa"/>
            <w:shd w:val="clear" w:color="auto" w:fill="BFBFBF"/>
            <w:vAlign w:val="center"/>
          </w:tcPr>
          <w:p w:rsidR="00B8501C" w:rsidRPr="007F5A62" w:rsidRDefault="00B8501C" w:rsidP="005F66CD">
            <w:pPr>
              <w:spacing w:line="360" w:lineRule="auto"/>
              <w:jc w:val="center"/>
              <w:rPr>
                <w:rFonts w:ascii="Arial" w:eastAsia="Calibri" w:hAnsi="Arial" w:cs="Arial"/>
                <w:bCs/>
              </w:rPr>
            </w:pPr>
            <w:r w:rsidRPr="007F5A62">
              <w:rPr>
                <w:rFonts w:ascii="Arial" w:eastAsia="Calibri" w:hAnsi="Arial" w:cs="Arial"/>
                <w:bCs/>
              </w:rPr>
              <w:t>Monto MDP</w:t>
            </w:r>
          </w:p>
        </w:tc>
      </w:tr>
      <w:tr w:rsidR="00B8501C" w:rsidRPr="007F5A62" w:rsidTr="00B572C1">
        <w:trPr>
          <w:jc w:val="center"/>
        </w:trPr>
        <w:tc>
          <w:tcPr>
            <w:tcW w:w="2660" w:type="dxa"/>
            <w:shd w:val="clear" w:color="auto" w:fill="auto"/>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2017</w:t>
            </w:r>
          </w:p>
        </w:tc>
        <w:tc>
          <w:tcPr>
            <w:tcW w:w="1451" w:type="dxa"/>
            <w:shd w:val="clear" w:color="auto" w:fill="auto"/>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10</w:t>
            </w:r>
          </w:p>
        </w:tc>
      </w:tr>
      <w:tr w:rsidR="00B8501C" w:rsidRPr="007F5A62" w:rsidTr="00B572C1">
        <w:trPr>
          <w:jc w:val="center"/>
        </w:trPr>
        <w:tc>
          <w:tcPr>
            <w:tcW w:w="2660" w:type="dxa"/>
            <w:shd w:val="clear" w:color="auto" w:fill="auto"/>
          </w:tcPr>
          <w:p w:rsidR="00B8501C" w:rsidRPr="007F5A62" w:rsidRDefault="00B8501C" w:rsidP="005F66CD">
            <w:pPr>
              <w:spacing w:line="360" w:lineRule="auto"/>
              <w:jc w:val="both"/>
              <w:rPr>
                <w:rFonts w:ascii="Calibri" w:eastAsia="Calibri" w:hAnsi="Calibri" w:cs="Arial"/>
                <w:b/>
                <w:bCs/>
                <w:lang w:eastAsia="es-MX"/>
              </w:rPr>
            </w:pPr>
            <w:r w:rsidRPr="007F5A62">
              <w:rPr>
                <w:rFonts w:ascii="Calibri" w:eastAsia="Calibri" w:hAnsi="Calibri" w:cs="Arial"/>
                <w:b/>
                <w:bCs/>
                <w:lang w:eastAsia="es-MX"/>
              </w:rPr>
              <w:t>Ejercicio 2018</w:t>
            </w:r>
          </w:p>
        </w:tc>
        <w:tc>
          <w:tcPr>
            <w:tcW w:w="1451" w:type="dxa"/>
            <w:shd w:val="clear" w:color="auto" w:fill="auto"/>
          </w:tcPr>
          <w:p w:rsidR="00B8501C" w:rsidRPr="007F5A62" w:rsidRDefault="00B8501C" w:rsidP="005F66CD">
            <w:pPr>
              <w:spacing w:line="360" w:lineRule="auto"/>
              <w:jc w:val="center"/>
              <w:rPr>
                <w:rFonts w:ascii="Calibri" w:eastAsia="Calibri" w:hAnsi="Calibri" w:cs="Arial"/>
                <w:b/>
                <w:bCs/>
                <w:lang w:eastAsia="es-MX"/>
              </w:rPr>
            </w:pPr>
            <w:r w:rsidRPr="007F5A62">
              <w:rPr>
                <w:rFonts w:ascii="Calibri" w:eastAsia="Calibri" w:hAnsi="Calibri" w:cs="Arial"/>
                <w:b/>
                <w:bCs/>
                <w:lang w:eastAsia="es-MX"/>
              </w:rPr>
              <w:t>50</w:t>
            </w:r>
          </w:p>
        </w:tc>
      </w:tr>
    </w:tbl>
    <w:p w:rsidR="00B8501C" w:rsidRPr="007F5A62" w:rsidRDefault="00B8501C" w:rsidP="005F66CD">
      <w:pPr>
        <w:spacing w:line="360" w:lineRule="auto"/>
        <w:jc w:val="both"/>
        <w:rPr>
          <w:rFonts w:ascii="Arial" w:eastAsia="Calibri" w:hAnsi="Arial" w:cs="Arial"/>
          <w:bCs/>
        </w:rPr>
      </w:pPr>
    </w:p>
    <w:p w:rsidR="00B8501C" w:rsidRPr="007F5A62" w:rsidRDefault="00B8501C" w:rsidP="005F66CD">
      <w:pPr>
        <w:spacing w:line="360" w:lineRule="auto"/>
        <w:ind w:left="1287"/>
        <w:contextualSpacing/>
        <w:jc w:val="both"/>
        <w:rPr>
          <w:rFonts w:ascii="Arial" w:eastAsia="Calibri" w:hAnsi="Arial" w:cs="Arial"/>
          <w:bCs/>
        </w:rPr>
      </w:pPr>
      <w:r w:rsidRPr="007F5A62">
        <w:rPr>
          <w:rFonts w:ascii="Arial" w:eastAsia="Calibri" w:hAnsi="Arial" w:cs="Arial"/>
          <w:bCs/>
        </w:rPr>
        <w:t xml:space="preserve">a) </w:t>
      </w:r>
      <w:r w:rsidRPr="007F5A62">
        <w:rPr>
          <w:rFonts w:ascii="Arial" w:eastAsia="Calibri" w:hAnsi="Arial" w:cs="Arial"/>
          <w:bCs/>
        </w:rPr>
        <w:tab/>
        <w:t>Cuando la Entidad se clasifique en un nivel de endeudamiento elevado, de acuerdo al Sistema de Alertas, cuando menos el 50 por ciento;</w:t>
      </w:r>
    </w:p>
    <w:p w:rsidR="00B8501C" w:rsidRPr="007F5A62" w:rsidRDefault="00B8501C" w:rsidP="005F66CD">
      <w:pPr>
        <w:spacing w:line="360" w:lineRule="auto"/>
        <w:ind w:left="1287"/>
        <w:contextualSpacing/>
        <w:jc w:val="both"/>
        <w:rPr>
          <w:rFonts w:ascii="Arial" w:eastAsia="Calibri" w:hAnsi="Arial" w:cs="Arial"/>
          <w:bCs/>
        </w:rPr>
      </w:pPr>
    </w:p>
    <w:p w:rsidR="00B8501C" w:rsidRDefault="00B8501C" w:rsidP="005F66CD">
      <w:pPr>
        <w:spacing w:line="360" w:lineRule="auto"/>
        <w:ind w:left="1287"/>
        <w:contextualSpacing/>
        <w:jc w:val="both"/>
        <w:rPr>
          <w:rFonts w:ascii="Arial" w:eastAsia="Calibri" w:hAnsi="Arial" w:cs="Arial"/>
          <w:bCs/>
        </w:rPr>
      </w:pPr>
      <w:r w:rsidRPr="007F5A62">
        <w:rPr>
          <w:rFonts w:ascii="Arial" w:eastAsia="Calibri" w:hAnsi="Arial" w:cs="Arial"/>
          <w:bCs/>
        </w:rPr>
        <w:t xml:space="preserve">b) </w:t>
      </w:r>
      <w:r w:rsidRPr="007F5A62">
        <w:rPr>
          <w:rFonts w:ascii="Arial" w:eastAsia="Calibri" w:hAnsi="Arial" w:cs="Arial"/>
          <w:bCs/>
        </w:rPr>
        <w:tab/>
        <w:t>Cuando la Entidad se clasifique en un nivel de endeudamiento en observación, de acuerdo al Sistema de Alertas, cuando menos el 30 por ciento, y</w:t>
      </w:r>
    </w:p>
    <w:p w:rsidR="00DE1663" w:rsidRDefault="00DE1663" w:rsidP="005F66CD">
      <w:pPr>
        <w:spacing w:line="360" w:lineRule="auto"/>
        <w:ind w:left="1287"/>
        <w:contextualSpacing/>
        <w:jc w:val="both"/>
        <w:rPr>
          <w:rFonts w:ascii="Arial" w:eastAsia="Calibri" w:hAnsi="Arial" w:cs="Arial"/>
          <w:bCs/>
        </w:rPr>
      </w:pPr>
    </w:p>
    <w:p w:rsidR="00DE1663" w:rsidRPr="007F5A62" w:rsidRDefault="00DE1663" w:rsidP="005F66CD">
      <w:pPr>
        <w:spacing w:line="360" w:lineRule="auto"/>
        <w:ind w:left="1287"/>
        <w:contextualSpacing/>
        <w:jc w:val="both"/>
        <w:rPr>
          <w:rFonts w:ascii="Arial" w:eastAsia="Calibri" w:hAnsi="Arial" w:cs="Arial"/>
          <w:bCs/>
        </w:rPr>
      </w:pPr>
    </w:p>
    <w:p w:rsidR="00B8501C" w:rsidRPr="007F5A62" w:rsidRDefault="00B8501C" w:rsidP="005F66CD">
      <w:pPr>
        <w:spacing w:line="360" w:lineRule="auto"/>
        <w:jc w:val="both"/>
        <w:rPr>
          <w:rFonts w:ascii="Arial" w:eastAsia="Calibri" w:hAnsi="Arial" w:cs="Arial"/>
          <w:bCs/>
        </w:rPr>
      </w:pPr>
      <w:r w:rsidRPr="007F5A62">
        <w:rPr>
          <w:rFonts w:ascii="Arial" w:eastAsia="Calibri" w:hAnsi="Arial" w:cs="Arial"/>
          <w:bCs/>
        </w:rPr>
        <w:lastRenderedPageBreak/>
        <w:t xml:space="preserve">II. </w:t>
      </w:r>
      <w:r w:rsidRPr="007F5A62">
        <w:rPr>
          <w:rFonts w:ascii="Arial" w:eastAsia="Calibri" w:hAnsi="Arial" w:cs="Arial"/>
          <w:bCs/>
        </w:rPr>
        <w:tab/>
        <w:t>En su caso, el remanente para:</w:t>
      </w:r>
    </w:p>
    <w:p w:rsidR="00B8501C" w:rsidRPr="007F5A62" w:rsidRDefault="00B8501C" w:rsidP="005F66CD">
      <w:pPr>
        <w:spacing w:line="360" w:lineRule="auto"/>
        <w:ind w:left="1287"/>
        <w:contextualSpacing/>
        <w:jc w:val="both"/>
        <w:rPr>
          <w:rFonts w:ascii="Arial" w:eastAsia="Calibri" w:hAnsi="Arial" w:cs="Arial"/>
          <w:bCs/>
        </w:rPr>
      </w:pPr>
    </w:p>
    <w:p w:rsidR="00B8501C" w:rsidRPr="007F5A62" w:rsidRDefault="00B8501C" w:rsidP="005F66CD">
      <w:pPr>
        <w:spacing w:line="360" w:lineRule="auto"/>
        <w:ind w:left="1287"/>
        <w:contextualSpacing/>
        <w:jc w:val="both"/>
        <w:rPr>
          <w:rFonts w:ascii="Arial" w:eastAsia="Calibri" w:hAnsi="Arial" w:cs="Arial"/>
          <w:bCs/>
        </w:rPr>
      </w:pPr>
      <w:r w:rsidRPr="007F5A62">
        <w:rPr>
          <w:rFonts w:ascii="Arial" w:eastAsia="Calibri" w:hAnsi="Arial" w:cs="Arial"/>
          <w:bCs/>
        </w:rPr>
        <w:t xml:space="preserve">a) </w:t>
      </w:r>
      <w:r w:rsidRPr="007F5A62">
        <w:rPr>
          <w:rFonts w:ascii="Arial" w:eastAsia="Calibri" w:hAnsi="Arial" w:cs="Arial"/>
          <w:bCs/>
        </w:rPr>
        <w:tab/>
        <w:t>El Fondo de Inversión pública productiva; para tal efecto, los recursos correspondientes se deberán ejercer a más tardar en el ejercicio inmediato siguiente, y</w:t>
      </w:r>
    </w:p>
    <w:p w:rsidR="00B8501C" w:rsidRPr="007F5A62" w:rsidRDefault="00B8501C" w:rsidP="005F66CD">
      <w:pPr>
        <w:spacing w:line="360" w:lineRule="auto"/>
        <w:ind w:left="1287"/>
        <w:contextualSpacing/>
        <w:jc w:val="both"/>
        <w:rPr>
          <w:rFonts w:ascii="Arial" w:eastAsia="Calibri" w:hAnsi="Arial" w:cs="Arial"/>
          <w:bCs/>
        </w:rPr>
      </w:pPr>
    </w:p>
    <w:p w:rsidR="00B8501C" w:rsidRPr="007F5A62" w:rsidRDefault="00B8501C" w:rsidP="005F66CD">
      <w:pPr>
        <w:spacing w:line="360" w:lineRule="auto"/>
        <w:ind w:left="1287"/>
        <w:contextualSpacing/>
        <w:jc w:val="both"/>
        <w:rPr>
          <w:rFonts w:ascii="Arial" w:eastAsia="Calibri" w:hAnsi="Arial" w:cs="Arial"/>
          <w:bCs/>
        </w:rPr>
      </w:pPr>
      <w:r w:rsidRPr="007F5A62">
        <w:rPr>
          <w:rFonts w:ascii="Arial" w:eastAsia="Calibri" w:hAnsi="Arial" w:cs="Arial"/>
          <w:bCs/>
        </w:rPr>
        <w:t xml:space="preserve">b) </w:t>
      </w:r>
      <w:r w:rsidRPr="007F5A62">
        <w:rPr>
          <w:rFonts w:ascii="Arial" w:eastAsia="Calibri" w:hAnsi="Arial" w:cs="Arial"/>
          <w:bCs/>
        </w:rPr>
        <w:tab/>
        <w:t>El Fondo para compensar la caída de ingresos de libre disposición de ejercicios subsecuentes.</w:t>
      </w:r>
    </w:p>
    <w:p w:rsidR="00B8501C" w:rsidRPr="007F5A62" w:rsidRDefault="00B8501C" w:rsidP="005F66CD">
      <w:pPr>
        <w:spacing w:line="360" w:lineRule="auto"/>
        <w:ind w:left="1287"/>
        <w:contextualSpacing/>
        <w:jc w:val="both"/>
        <w:rPr>
          <w:rFonts w:ascii="Arial" w:eastAsia="Calibri" w:hAnsi="Arial" w:cs="Arial"/>
          <w:bCs/>
        </w:rPr>
      </w:pPr>
    </w:p>
    <w:p w:rsidR="00B8501C" w:rsidRPr="007F5A62" w:rsidRDefault="00B8501C" w:rsidP="005F66CD">
      <w:pPr>
        <w:spacing w:line="360" w:lineRule="auto"/>
        <w:ind w:left="1287"/>
        <w:contextualSpacing/>
        <w:jc w:val="both"/>
        <w:rPr>
          <w:rFonts w:ascii="Arial" w:eastAsia="Calibri" w:hAnsi="Arial" w:cs="Arial"/>
          <w:bCs/>
        </w:rPr>
      </w:pPr>
      <w:r w:rsidRPr="007F5A62">
        <w:rPr>
          <w:rFonts w:ascii="Arial" w:eastAsia="Calibri" w:hAnsi="Arial" w:cs="Arial"/>
          <w:bCs/>
        </w:rPr>
        <w:t>Los Ingresos excedentes derivados de Ingresos de libre disposición podrán destinarse a los rubros mencionados en el presente artículo, sin limitación alguna, siempre y cuando la Entidad Federativa se clasifique en un nivel de endeudamiento sostenible de acuerdo al Sistema de Alertas.</w:t>
      </w:r>
    </w:p>
    <w:p w:rsidR="00B8501C" w:rsidRPr="007F5A62" w:rsidRDefault="00B8501C" w:rsidP="005F66CD">
      <w:pPr>
        <w:spacing w:line="360" w:lineRule="auto"/>
        <w:ind w:left="1287"/>
        <w:contextualSpacing/>
        <w:jc w:val="both"/>
        <w:rPr>
          <w:rFonts w:ascii="Arial" w:eastAsia="Calibri" w:hAnsi="Arial" w:cs="Arial"/>
          <w:bCs/>
        </w:rPr>
      </w:pPr>
    </w:p>
    <w:p w:rsidR="00B8501C" w:rsidRPr="007F5A62" w:rsidRDefault="00B8501C" w:rsidP="005F66CD">
      <w:pPr>
        <w:spacing w:line="360" w:lineRule="auto"/>
        <w:ind w:left="1287"/>
        <w:contextualSpacing/>
        <w:jc w:val="both"/>
        <w:rPr>
          <w:rFonts w:ascii="Arial" w:eastAsia="Calibri" w:hAnsi="Arial" w:cs="Arial"/>
          <w:bCs/>
        </w:rPr>
      </w:pPr>
      <w:r w:rsidRPr="007F5A62">
        <w:rPr>
          <w:rFonts w:ascii="Arial" w:eastAsia="Calibri" w:hAnsi="Arial" w:cs="Arial"/>
          <w:bCs/>
        </w:rPr>
        <w:t>Cuando la Entidad Federativa se clasifique en un nivel de endeudamiento sostenible de acuerdo al Sistema de Alertas, podrá utilizar hasta un 5 por ciento de los recursos a los que se refiere el presente artículo para cubrir Gasto corriente.</w:t>
      </w:r>
    </w:p>
    <w:p w:rsidR="00B8501C" w:rsidRPr="007F5A62" w:rsidRDefault="00B8501C" w:rsidP="005F66CD">
      <w:pPr>
        <w:spacing w:line="360" w:lineRule="auto"/>
        <w:ind w:left="1287"/>
        <w:contextualSpacing/>
        <w:jc w:val="both"/>
        <w:rPr>
          <w:rFonts w:ascii="Arial" w:eastAsia="Calibri" w:hAnsi="Arial" w:cs="Arial"/>
          <w:bCs/>
        </w:rPr>
      </w:pPr>
    </w:p>
    <w:p w:rsidR="00B8501C" w:rsidRPr="007F5A62" w:rsidRDefault="00B8501C" w:rsidP="005F66CD">
      <w:pPr>
        <w:spacing w:line="360" w:lineRule="auto"/>
        <w:ind w:left="1287"/>
        <w:contextualSpacing/>
        <w:jc w:val="both"/>
        <w:rPr>
          <w:rFonts w:ascii="Arial" w:eastAsia="Calibri" w:hAnsi="Arial" w:cs="Arial"/>
          <w:bCs/>
        </w:rPr>
      </w:pPr>
      <w:r w:rsidRPr="007F5A62">
        <w:rPr>
          <w:rFonts w:ascii="Arial" w:eastAsia="Calibri" w:hAnsi="Arial" w:cs="Arial"/>
          <w:bCs/>
        </w:rPr>
        <w:t xml:space="preserve">Tratándose de Ingresos de libre disposición que se encuentren destinados a un fin específico en términos de las disposiciones legales, no resultarán aplicables las disposiciones establecidas en el </w:t>
      </w:r>
      <w:r w:rsidR="00DE1663">
        <w:rPr>
          <w:rFonts w:ascii="Arial" w:eastAsia="Calibri" w:hAnsi="Arial" w:cs="Arial"/>
          <w:bCs/>
        </w:rPr>
        <w:t>citado</w:t>
      </w:r>
      <w:r w:rsidRPr="007F5A62">
        <w:rPr>
          <w:rFonts w:ascii="Arial" w:eastAsia="Calibri" w:hAnsi="Arial" w:cs="Arial"/>
          <w:bCs/>
        </w:rPr>
        <w:t xml:space="preserve"> artículo.</w:t>
      </w:r>
    </w:p>
    <w:p w:rsidR="00B8501C" w:rsidRPr="007F5A62" w:rsidRDefault="00B8501C" w:rsidP="005F66CD">
      <w:pPr>
        <w:spacing w:line="360" w:lineRule="auto"/>
        <w:jc w:val="both"/>
        <w:rPr>
          <w:rFonts w:ascii="Arial" w:hAnsi="Arial" w:cs="Arial"/>
          <w:b/>
          <w:iCs/>
        </w:rPr>
      </w:pPr>
      <w:r w:rsidRPr="007F5A62">
        <w:rPr>
          <w:rFonts w:ascii="Arial" w:hAnsi="Arial" w:cs="Arial"/>
          <w:b/>
          <w:iCs/>
        </w:rPr>
        <w:lastRenderedPageBreak/>
        <w:t>SERVICIOS PERSONALES.</w:t>
      </w:r>
    </w:p>
    <w:p w:rsidR="00B8501C" w:rsidRPr="007F5A62" w:rsidRDefault="00B8501C" w:rsidP="005F66CD">
      <w:pPr>
        <w:spacing w:line="360" w:lineRule="auto"/>
        <w:jc w:val="both"/>
        <w:rPr>
          <w:rFonts w:ascii="Arial" w:hAnsi="Arial" w:cs="Arial"/>
          <w:b/>
          <w:iCs/>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Con la finalidad de seguir en la trayectoria de consolidación fiscal, el Gobierno del Estado propone la aplicación de acciones que permitan generar ahorros en el gasto público, tales como: la contención del gasto en servicios personales, la reducción en gastos comerciales y el uso adecuado de materiales y suministros, entre otros.</w:t>
      </w:r>
    </w:p>
    <w:p w:rsidR="00DE1663" w:rsidRDefault="00DE1663"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 xml:space="preserve">Asimismo, </w:t>
      </w:r>
      <w:r w:rsidR="00B572C1">
        <w:rPr>
          <w:rFonts w:ascii="Arial" w:eastAsia="Calibri" w:hAnsi="Arial" w:cs="Arial"/>
        </w:rPr>
        <w:t xml:space="preserve">en el proyecto </w:t>
      </w:r>
      <w:r w:rsidRPr="007F5A62">
        <w:rPr>
          <w:rFonts w:ascii="Arial" w:eastAsia="Calibri" w:hAnsi="Arial" w:cs="Arial"/>
        </w:rPr>
        <w:t>se incluye un capítulo relativo a servicios personales, en el que se transparenta el destino de los recursos para cubrir percepciones laborales ordinarias y supervinientes, pagos de aportaciones del Gobierno del Estado a favor de los servidores públicos sindicalizados y de confianza, así como aportaciones a Pensiones Civiles del Estado.</w:t>
      </w:r>
    </w:p>
    <w:p w:rsidR="00B8501C" w:rsidRPr="007F5A62" w:rsidRDefault="00B8501C" w:rsidP="005F66CD">
      <w:pPr>
        <w:spacing w:line="360" w:lineRule="auto"/>
        <w:jc w:val="both"/>
        <w:rPr>
          <w:rFonts w:ascii="Arial" w:hAnsi="Arial" w:cs="Arial"/>
          <w:iCs/>
        </w:rPr>
      </w:pPr>
    </w:p>
    <w:p w:rsidR="00B8501C" w:rsidRPr="007F5A62" w:rsidRDefault="00B8501C" w:rsidP="005F66CD">
      <w:pPr>
        <w:spacing w:line="360" w:lineRule="auto"/>
        <w:jc w:val="both"/>
        <w:rPr>
          <w:rFonts w:ascii="Arial" w:hAnsi="Arial" w:cs="Arial"/>
          <w:b/>
          <w:iCs/>
        </w:rPr>
      </w:pPr>
      <w:r w:rsidRPr="007F5A62">
        <w:rPr>
          <w:rFonts w:ascii="Arial" w:hAnsi="Arial" w:cs="Arial"/>
          <w:b/>
          <w:iCs/>
        </w:rPr>
        <w:t>ASOCIACIONES PÚBLICO-PRIVADAS.</w:t>
      </w:r>
    </w:p>
    <w:p w:rsidR="00B8501C" w:rsidRPr="007F5A62" w:rsidRDefault="00B8501C" w:rsidP="005F66CD">
      <w:pPr>
        <w:spacing w:line="360" w:lineRule="auto"/>
        <w:jc w:val="both"/>
        <w:rPr>
          <w:rFonts w:ascii="Arial" w:hAnsi="Arial" w:cs="Arial"/>
          <w:b/>
          <w:iCs/>
        </w:rPr>
      </w:pPr>
    </w:p>
    <w:p w:rsidR="00B8501C" w:rsidRPr="006239B3" w:rsidRDefault="006239B3" w:rsidP="006239B3">
      <w:pPr>
        <w:spacing w:line="360" w:lineRule="auto"/>
        <w:jc w:val="both"/>
        <w:rPr>
          <w:rFonts w:ascii="Arial" w:hAnsi="Arial" w:cs="Arial"/>
          <w:lang w:val="es-ES_tradnl"/>
        </w:rPr>
      </w:pPr>
      <w:r>
        <w:rPr>
          <w:rFonts w:ascii="Arial" w:hAnsi="Arial" w:cs="Arial"/>
          <w:lang w:val="es-ES_tradnl"/>
        </w:rPr>
        <w:t xml:space="preserve">Con la finalidad de diversificar la inversión en la Entidad, el Ejecutivo presentó al Congreso del Estado la Iniciativa de Ley de Fomento a la Inversión para el Estado de Tlaxcala, misma que fue aprobada el pasado 23 de Agosto de 2018 teniendo por objeto el </w:t>
      </w:r>
      <w:r w:rsidRPr="006239B3">
        <w:rPr>
          <w:rFonts w:ascii="Arial" w:hAnsi="Arial" w:cs="Arial"/>
          <w:lang w:val="es-ES_tradnl"/>
        </w:rPr>
        <w:t xml:space="preserve">establecer las bases para que el sector privado, en asociación con el sector público, diseñe, financie, construya, equipe, opere y/o explote infraestructura pública o privada o preste servicios públicos, ello mediante la incorporación de técnicas, distribución de riesgos e inversión de </w:t>
      </w:r>
      <w:r w:rsidRPr="006239B3">
        <w:rPr>
          <w:rFonts w:ascii="Arial" w:hAnsi="Arial" w:cs="Arial"/>
          <w:lang w:val="es-ES_tradnl"/>
        </w:rPr>
        <w:lastRenderedPageBreak/>
        <w:t>recursos preferentemente privados, siempre que ello permita el cumplimiento de los fines que sean competencia del Estado.</w:t>
      </w:r>
    </w:p>
    <w:p w:rsidR="006239B3" w:rsidRPr="00DE7C9C" w:rsidRDefault="006239B3" w:rsidP="005F66CD">
      <w:pPr>
        <w:spacing w:line="360" w:lineRule="auto"/>
        <w:jc w:val="both"/>
        <w:rPr>
          <w:rFonts w:ascii="Arial" w:hAnsi="Arial" w:cs="Arial"/>
          <w:lang w:val="es-ES_tradnl"/>
        </w:rPr>
      </w:pPr>
    </w:p>
    <w:p w:rsidR="00DE7C9C" w:rsidRPr="00DE7C9C" w:rsidRDefault="00DE7C9C" w:rsidP="005F66CD">
      <w:pPr>
        <w:spacing w:line="360" w:lineRule="auto"/>
        <w:jc w:val="both"/>
        <w:rPr>
          <w:rFonts w:ascii="Arial" w:hAnsi="Arial" w:cs="Arial"/>
          <w:lang w:val="es-ES_tradnl"/>
        </w:rPr>
      </w:pPr>
      <w:r w:rsidRPr="00DE7C9C">
        <w:rPr>
          <w:rFonts w:ascii="Arial" w:hAnsi="Arial" w:cs="Arial"/>
          <w:lang w:val="es-ES_tradnl"/>
        </w:rPr>
        <w:t>La Asociación Público-Privada se realizará con la planeación, control, regulación, intervención, conducción, supervisión y vigilancia del Poder Ejecutivo dentro de su ámbito de competencia, y en todo caso los proyectos que se emprendan deberán apegarse al Plan Estatal de Desarrollo vigente</w:t>
      </w:r>
      <w:r>
        <w:rPr>
          <w:rFonts w:ascii="Arial" w:hAnsi="Arial" w:cs="Arial"/>
          <w:lang w:val="es-ES_tradnl"/>
        </w:rPr>
        <w:t>.</w:t>
      </w:r>
    </w:p>
    <w:p w:rsidR="00DE7C9C" w:rsidRPr="00DE7C9C" w:rsidRDefault="00DE7C9C" w:rsidP="005F66CD">
      <w:pPr>
        <w:spacing w:line="360" w:lineRule="auto"/>
        <w:jc w:val="both"/>
        <w:rPr>
          <w:rFonts w:ascii="Arial" w:hAnsi="Arial" w:cs="Arial"/>
          <w:lang w:val="es-ES_tradnl"/>
        </w:rPr>
      </w:pPr>
    </w:p>
    <w:p w:rsidR="00B8501C" w:rsidRPr="007F5A62" w:rsidRDefault="00B8501C" w:rsidP="005F66CD">
      <w:pPr>
        <w:spacing w:line="360" w:lineRule="auto"/>
        <w:jc w:val="both"/>
        <w:rPr>
          <w:rFonts w:ascii="Arial" w:hAnsi="Arial" w:cs="Arial"/>
          <w:b/>
          <w:iCs/>
        </w:rPr>
      </w:pPr>
      <w:r w:rsidRPr="007F5A62">
        <w:rPr>
          <w:rFonts w:ascii="Arial" w:hAnsi="Arial" w:cs="Arial"/>
          <w:b/>
          <w:iCs/>
        </w:rPr>
        <w:t xml:space="preserve">ADEUDOS DE EJERCICIOS </w:t>
      </w:r>
      <w:r w:rsidR="00DE7C9C">
        <w:rPr>
          <w:rFonts w:ascii="Arial" w:hAnsi="Arial" w:cs="Arial"/>
          <w:b/>
          <w:iCs/>
        </w:rPr>
        <w:t xml:space="preserve">FISCALES </w:t>
      </w:r>
      <w:r w:rsidRPr="007F5A62">
        <w:rPr>
          <w:rFonts w:ascii="Arial" w:hAnsi="Arial" w:cs="Arial"/>
          <w:b/>
          <w:iCs/>
        </w:rPr>
        <w:t>ANTERIORES</w:t>
      </w:r>
    </w:p>
    <w:p w:rsidR="00B8501C" w:rsidRPr="007F5A62" w:rsidRDefault="00B8501C" w:rsidP="005F66CD">
      <w:pPr>
        <w:spacing w:line="360" w:lineRule="auto"/>
        <w:jc w:val="both"/>
        <w:rPr>
          <w:rFonts w:ascii="Arial" w:hAnsi="Arial" w:cs="Arial"/>
          <w:b/>
          <w:iCs/>
        </w:rPr>
      </w:pPr>
    </w:p>
    <w:p w:rsidR="00B8501C" w:rsidRPr="007F5A62" w:rsidRDefault="00B8501C" w:rsidP="005F66CD">
      <w:pPr>
        <w:spacing w:line="360" w:lineRule="auto"/>
        <w:jc w:val="both"/>
        <w:rPr>
          <w:rFonts w:ascii="Arial" w:hAnsi="Arial" w:cs="Arial"/>
        </w:rPr>
      </w:pPr>
      <w:r w:rsidRPr="007F5A62">
        <w:rPr>
          <w:rFonts w:ascii="Arial" w:hAnsi="Arial" w:cs="Arial"/>
        </w:rPr>
        <w:t xml:space="preserve">La meta de balance presupuestario de 2.0% del PIB y los ingresos estimados implican que el gasto neto total pagado para 2019 aumente 80.6 mmp con respecto al monto aprobado en el PEF 2018, es decir, un incremento de 1.5% real. En sus componentes, se estima que: </w:t>
      </w:r>
    </w:p>
    <w:p w:rsidR="00B8501C" w:rsidRPr="007F5A62" w:rsidRDefault="00B8501C" w:rsidP="005F66CD">
      <w:pPr>
        <w:spacing w:line="360" w:lineRule="auto"/>
        <w:jc w:val="both"/>
        <w:rPr>
          <w:rFonts w:ascii="Arial" w:hAnsi="Arial" w:cs="Arial"/>
        </w:rPr>
      </w:pPr>
    </w:p>
    <w:p w:rsidR="00B8501C" w:rsidRPr="007F5A62" w:rsidRDefault="00B8501C" w:rsidP="00F36D7A">
      <w:pPr>
        <w:numPr>
          <w:ilvl w:val="0"/>
          <w:numId w:val="8"/>
        </w:numPr>
        <w:spacing w:line="360" w:lineRule="auto"/>
        <w:jc w:val="both"/>
        <w:rPr>
          <w:rFonts w:ascii="Arial" w:hAnsi="Arial" w:cs="Arial"/>
        </w:rPr>
      </w:pPr>
      <w:r w:rsidRPr="007F5A62">
        <w:rPr>
          <w:rFonts w:ascii="Arial" w:hAnsi="Arial" w:cs="Arial"/>
        </w:rPr>
        <w:t>El gasto no programable aumente 92.8 mmp, debido al mayor costo financiero que resulta de un aumento en las tasas de interés que se ha venido observando en los últimos años, así como mayores participaciones derivadas del crecimiento de la recaudación federal participable y al mayor pago de Adeudos de Ejercicios Fiscales Anteriores (ADEFAS).</w:t>
      </w:r>
    </w:p>
    <w:p w:rsidR="00B8501C" w:rsidRPr="007F5A62" w:rsidRDefault="00B8501C" w:rsidP="005F66CD">
      <w:pPr>
        <w:spacing w:line="360" w:lineRule="auto"/>
        <w:jc w:val="both"/>
        <w:rPr>
          <w:rFonts w:ascii="Arial" w:hAnsi="Arial" w:cs="Arial"/>
          <w:b/>
          <w:iCs/>
        </w:rPr>
      </w:pPr>
      <w:r w:rsidRPr="007F5A62">
        <w:rPr>
          <w:rFonts w:ascii="Arial" w:hAnsi="Arial" w:cs="Arial"/>
          <w:lang w:val="es-ES_tradnl"/>
        </w:rPr>
        <w:t>.</w:t>
      </w:r>
    </w:p>
    <w:p w:rsidR="00B8501C" w:rsidRPr="007F5A62" w:rsidRDefault="00B8501C" w:rsidP="005F66CD">
      <w:pPr>
        <w:spacing w:line="360" w:lineRule="auto"/>
        <w:jc w:val="both"/>
        <w:rPr>
          <w:rFonts w:ascii="Arial" w:hAnsi="Arial" w:cs="Arial"/>
          <w:iCs/>
        </w:rPr>
      </w:pPr>
    </w:p>
    <w:p w:rsidR="00B8501C" w:rsidRPr="007F5A62" w:rsidRDefault="00B8501C" w:rsidP="005F66CD">
      <w:pPr>
        <w:spacing w:line="360" w:lineRule="auto"/>
        <w:jc w:val="center"/>
        <w:rPr>
          <w:rFonts w:ascii="Arial" w:eastAsia="Calibri" w:hAnsi="Arial" w:cs="Arial"/>
          <w:b/>
        </w:rPr>
      </w:pPr>
      <w:r w:rsidRPr="007F5A62">
        <w:rPr>
          <w:rFonts w:ascii="Arial" w:eastAsia="Calibri" w:hAnsi="Arial" w:cs="Arial"/>
          <w:b/>
        </w:rPr>
        <w:t>III</w:t>
      </w:r>
    </w:p>
    <w:p w:rsidR="00B8501C" w:rsidRPr="007F5A62" w:rsidRDefault="00B8501C" w:rsidP="00DE7C9C">
      <w:pPr>
        <w:spacing w:line="360" w:lineRule="auto"/>
        <w:rPr>
          <w:rFonts w:ascii="Arial" w:eastAsia="Calibri" w:hAnsi="Arial" w:cs="Arial"/>
          <w:b/>
        </w:rPr>
      </w:pPr>
      <w:r w:rsidRPr="007F5A62">
        <w:rPr>
          <w:rFonts w:ascii="Arial" w:eastAsia="Calibri" w:hAnsi="Arial" w:cs="Arial"/>
          <w:b/>
        </w:rPr>
        <w:lastRenderedPageBreak/>
        <w:t>CRITERIOS GENERALES DE PRESUPUESTO Y GASTO ESTATAL</w:t>
      </w:r>
    </w:p>
    <w:p w:rsidR="00DE7C9C" w:rsidRDefault="00DE7C9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El funcionamiento eficiente y eficaz de las instituciones del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w:t>
      </w:r>
      <w:r w:rsidR="00DE7C9C">
        <w:rPr>
          <w:rFonts w:ascii="Arial" w:eastAsia="Calibri" w:hAnsi="Arial" w:cs="Arial"/>
        </w:rPr>
        <w:t>rático.</w:t>
      </w:r>
    </w:p>
    <w:p w:rsidR="00DE7C9C" w:rsidRPr="007F5A62" w:rsidRDefault="00DE7C9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 xml:space="preserve">En este sentido, producto de la demanda ciudadana de información precisa, confiable y comprobable de la administración pública, se ha impulsado una cultura de transparencia y rendición de cuentas en la gestión pública. </w:t>
      </w:r>
    </w:p>
    <w:p w:rsidR="00B8501C" w:rsidRDefault="00B8501C" w:rsidP="005F66CD">
      <w:pPr>
        <w:spacing w:line="360" w:lineRule="auto"/>
        <w:jc w:val="both"/>
        <w:rPr>
          <w:rFonts w:ascii="Arial" w:eastAsia="Calibri" w:hAnsi="Arial" w:cs="Arial"/>
        </w:rPr>
      </w:pPr>
      <w:r w:rsidRPr="007F5A62">
        <w:rPr>
          <w:rFonts w:ascii="Arial" w:eastAsia="Calibri" w:hAnsi="Arial" w:cs="Arial"/>
        </w:rPr>
        <w:t>Se han llevado a cabo acciones que permiten proveer lo necesario para que toda persona pueda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rsidR="00DE7C9C" w:rsidRPr="007F5A62" w:rsidRDefault="00DE7C9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 xml:space="preserve">El Estado de Tlaxcala, ha avanzado de manera determinante en materia de transparencia, muestra de ello es la calificación otorgada a través del Índice de Información Presupuestal Estatal, evaluado por el Instituto Mexicano para </w:t>
      </w:r>
      <w:r w:rsidRPr="007F5A62">
        <w:rPr>
          <w:rFonts w:ascii="Arial" w:eastAsia="Calibri" w:hAnsi="Arial" w:cs="Arial"/>
        </w:rPr>
        <w:lastRenderedPageBreak/>
        <w:t>la Competitividad A. C. (IMCO), mismo que ha situado al Estado con una calificación de 99.1%, en cumplimiento a los reactivos evaluados a través del Índice de Información Presupuestal Estatal 2017 (IIPE2017); con estas acciones reafirmamos el compromiso del Gobierno del Estado con la transparencia presupuestal y la rendición de cuentas.</w:t>
      </w:r>
    </w:p>
    <w:p w:rsidR="00DE7C9C" w:rsidRPr="007F5A62" w:rsidRDefault="00DE7C9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Tlaxcala se encuentra en la lista de los primeros diez Estados de la República que obtuvieron las mejores calificaciones, debido a que presentaron de manera oficial información sobre su Ley de Ingresos con estructura armonizada y su presupuesto de Egresos utiliza las clasificaciones reguladas por el Consejo Nacional de Armonización Contable.</w:t>
      </w:r>
    </w:p>
    <w:p w:rsidR="00DE7C9C" w:rsidRPr="007F5A62" w:rsidRDefault="00DE7C9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La transparencia y la rendición de cuentas en la gestión pública en el Estado se perfilan hacia una nueva cultura política en la cual la participación ciudadana conlleva la existencia de una sociedad más equitativa y más justa, de este modo la gobernabilidad democrática dependerá de que los intereses sociales se vean reflejados en acciones de gobierno transparente.</w:t>
      </w:r>
    </w:p>
    <w:p w:rsidR="00DE7C9C" w:rsidRPr="007F5A62" w:rsidRDefault="00DE7C9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Siguiendo con los principios que rigen la Racionalidad, Austeridad y Transparencia se mantendrá un presupuesto equilibrado para el 2019, dando prioridad presupuestaria a los temas de: Educación, Salud, Empleo y Seguridad.</w:t>
      </w:r>
    </w:p>
    <w:p w:rsidR="00DE7C9C" w:rsidRPr="007F5A62" w:rsidRDefault="00DE7C9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lastRenderedPageBreak/>
        <w:t>Atendiendo las Políticas, Objetivos, Estrategias, Líneas y Sublíneas de Acción del Plan Estatal de Desarrollo 2017-2021, la Planeación y Programación del Presupuesto 2019 se encuentran enfocadas a administrar de manera más eficiente y eficaz el Sistema Estatal de Planeación apoyando la instrumentación de la Gestión Pública para Resultados por lo consiguiente se generaron 195 Indicadores Estratégicos que medirán a nivel estatal los avances en datos estadísticos relevantes y contribuirán a nivel nacional de manera macroeconómica y 1000 indicadores de gestión que permiten establecer la obtención correcta de los productos o servicios para el cumplimiento del Fin o Propósito.</w:t>
      </w:r>
    </w:p>
    <w:p w:rsidR="00DE7C9C" w:rsidRPr="007F5A62" w:rsidRDefault="00DE7C9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Cada línea y sublínea de acción contenida en el Plan Estatal de Desarrollo 2017-2021 está debidamente representada por un Indicador con la finalidad de Evaluar con acciones determinadas el avance de metas y/o objetivos encaminados al bien social de la ciudadanía Tlaxcalteca.</w:t>
      </w:r>
    </w:p>
    <w:p w:rsidR="00DE7C9C" w:rsidRDefault="00DE7C9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En relación a lo anterior, se realizarán entre otras, las siguientes obras y acciones de gran impacto:</w:t>
      </w:r>
    </w:p>
    <w:p w:rsidR="00DE7C9C" w:rsidRPr="007F5A62" w:rsidRDefault="00DE7C9C" w:rsidP="005F66CD">
      <w:pPr>
        <w:spacing w:line="360" w:lineRule="auto"/>
        <w:jc w:val="both"/>
        <w:rPr>
          <w:rFonts w:ascii="Arial" w:eastAsia="Calibri" w:hAnsi="Arial" w:cs="Arial"/>
        </w:rPr>
      </w:pP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 xml:space="preserve">Se seguirá beneficiando a alumnos con libros de texto de manera gratuita </w:t>
      </w:r>
      <w:r>
        <w:rPr>
          <w:rFonts w:ascii="Arial" w:eastAsia="Calibri" w:hAnsi="Arial" w:cs="Arial"/>
        </w:rPr>
        <w:t>aunado al</w:t>
      </w:r>
      <w:r w:rsidRPr="007F5A62">
        <w:rPr>
          <w:rFonts w:ascii="Arial" w:eastAsia="Calibri" w:hAnsi="Arial" w:cs="Arial"/>
        </w:rPr>
        <w:t xml:space="preserve"> incrementó de la matrícula.</w:t>
      </w:r>
    </w:p>
    <w:p w:rsidR="00DE7C9C" w:rsidRPr="007F5A62" w:rsidRDefault="00DE7C9C" w:rsidP="00DE7C9C">
      <w:pPr>
        <w:spacing w:line="360" w:lineRule="auto"/>
        <w:ind w:left="720"/>
        <w:contextualSpacing/>
        <w:jc w:val="both"/>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Se proporcionarán los paquetes de útiles escolares además de apoyos para la educación básica.</w:t>
      </w: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lastRenderedPageBreak/>
        <w:t>Se implementa el Sistema Estatal de Becas para los diferentes niveles de enseñanza alineados al cumplimiento obligatorio de los Lineamientos correspondientes.</w:t>
      </w:r>
    </w:p>
    <w:p w:rsidR="00DE7C9C" w:rsidRPr="007F5A62" w:rsidRDefault="00DE7C9C" w:rsidP="00DE7C9C">
      <w:pPr>
        <w:spacing w:line="360" w:lineRule="auto"/>
        <w:ind w:left="720"/>
        <w:contextualSpacing/>
        <w:jc w:val="both"/>
        <w:rPr>
          <w:rFonts w:ascii="Arial" w:eastAsia="Calibri" w:hAnsi="Arial" w:cs="Arial"/>
        </w:rPr>
      </w:pP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Se va a ampliar el acceso a internet de banda ancha en sitios públicos priorizando Bibliotecas, Museos y Escuelas Públicas.</w:t>
      </w:r>
    </w:p>
    <w:p w:rsidR="00DE7C9C" w:rsidRDefault="00DE7C9C" w:rsidP="00DE7C9C">
      <w:pPr>
        <w:pStyle w:val="Prrafodelista"/>
        <w:rPr>
          <w:rFonts w:ascii="Arial" w:eastAsia="Calibri" w:hAnsi="Arial" w:cs="Arial"/>
        </w:rPr>
      </w:pP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Acciones para abatir la pobreza extrema en el Estado.</w:t>
      </w:r>
    </w:p>
    <w:p w:rsidR="00DE7C9C" w:rsidRDefault="00DE7C9C" w:rsidP="00DE7C9C">
      <w:pPr>
        <w:pStyle w:val="Prrafodelista"/>
        <w:rPr>
          <w:rFonts w:ascii="Arial" w:eastAsia="Calibri" w:hAnsi="Arial" w:cs="Arial"/>
        </w:rPr>
      </w:pP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Equipamiento del hospital general.</w:t>
      </w:r>
    </w:p>
    <w:p w:rsidR="00DE7C9C" w:rsidRDefault="00DE7C9C" w:rsidP="00DE7C9C">
      <w:pPr>
        <w:pStyle w:val="Prrafodelista"/>
        <w:rPr>
          <w:rFonts w:ascii="Arial" w:eastAsia="Calibri" w:hAnsi="Arial" w:cs="Arial"/>
        </w:rPr>
      </w:pP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Atención para la salud de la mujer tlaxcalteca.</w:t>
      </w:r>
    </w:p>
    <w:p w:rsidR="00DE7C9C" w:rsidRDefault="00DE7C9C" w:rsidP="00DE7C9C">
      <w:pPr>
        <w:pStyle w:val="Prrafodelista"/>
        <w:rPr>
          <w:rFonts w:ascii="Arial" w:eastAsia="Calibri" w:hAnsi="Arial" w:cs="Arial"/>
        </w:rPr>
      </w:pP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Fortalecimiento al sistema de Pensiones Civiles del Estado de Tlaxcala.</w:t>
      </w:r>
    </w:p>
    <w:p w:rsidR="00DE7C9C" w:rsidRDefault="00DE7C9C" w:rsidP="00DE7C9C">
      <w:pPr>
        <w:pStyle w:val="Prrafodelista"/>
        <w:rPr>
          <w:rFonts w:ascii="Arial" w:eastAsia="Calibri" w:hAnsi="Arial" w:cs="Arial"/>
        </w:rPr>
      </w:pP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Provisiones para desastres naturales.</w:t>
      </w:r>
    </w:p>
    <w:p w:rsidR="00DE7C9C" w:rsidRPr="007F5A62" w:rsidRDefault="00DE7C9C" w:rsidP="00DE7C9C">
      <w:pPr>
        <w:spacing w:line="360" w:lineRule="auto"/>
        <w:ind w:left="720"/>
        <w:contextualSpacing/>
        <w:jc w:val="both"/>
        <w:rPr>
          <w:rFonts w:ascii="Arial" w:eastAsia="Calibri" w:hAnsi="Arial" w:cs="Arial"/>
        </w:rPr>
      </w:pP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Beneficios a familias de oficiales caídos y de carrera policial.</w:t>
      </w:r>
    </w:p>
    <w:p w:rsidR="00DE7C9C" w:rsidRDefault="00DE7C9C" w:rsidP="00DE7C9C">
      <w:pPr>
        <w:pStyle w:val="Prrafodelista"/>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Continuidad al complejo vial metropolitano Tlaxcala.</w:t>
      </w:r>
    </w:p>
    <w:p w:rsidR="00DE7C9C" w:rsidRDefault="00DE7C9C" w:rsidP="00DE7C9C">
      <w:pPr>
        <w:spacing w:line="360" w:lineRule="auto"/>
        <w:ind w:left="720"/>
        <w:contextualSpacing/>
        <w:jc w:val="both"/>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Acciones para el fortalecimiento a la Seguridad Pública.</w:t>
      </w:r>
    </w:p>
    <w:p w:rsidR="00DE7C9C" w:rsidRDefault="00DE7C9C" w:rsidP="00DE7C9C">
      <w:pPr>
        <w:spacing w:line="360" w:lineRule="auto"/>
        <w:ind w:left="720"/>
        <w:contextualSpacing/>
        <w:jc w:val="both"/>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Acciones para la autonomía municipal.</w:t>
      </w: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lastRenderedPageBreak/>
        <w:t>Apertura de las fiscalías: anticorrupción, personas desaparecidas, trata de personas, protección a periodistas y comité ciudadano.</w:t>
      </w:r>
    </w:p>
    <w:p w:rsidR="00DE7C9C" w:rsidRDefault="00DE7C9C" w:rsidP="00DE7C9C">
      <w:pPr>
        <w:spacing w:line="360" w:lineRule="auto"/>
        <w:ind w:left="720"/>
        <w:contextualSpacing/>
        <w:jc w:val="both"/>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Se avanza con la Modernización Tecnológica de la Sistematización de los Trámites y Servicios para hacerlos más fáciles de operar por parte de la Ciudadanía Tlaxcalteca.</w:t>
      </w:r>
    </w:p>
    <w:p w:rsidR="00DE7C9C" w:rsidRDefault="00DE7C9C" w:rsidP="00DE7C9C">
      <w:pPr>
        <w:spacing w:line="360" w:lineRule="auto"/>
        <w:ind w:left="720"/>
        <w:contextualSpacing/>
        <w:jc w:val="both"/>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Se crea la vinculación educación</w:t>
      </w:r>
      <w:r>
        <w:rPr>
          <w:rFonts w:ascii="Arial" w:eastAsia="Calibri" w:hAnsi="Arial" w:cs="Arial"/>
        </w:rPr>
        <w:t>-</w:t>
      </w:r>
      <w:r w:rsidRPr="007F5A62">
        <w:rPr>
          <w:rFonts w:ascii="Arial" w:eastAsia="Calibri" w:hAnsi="Arial" w:cs="Arial"/>
        </w:rPr>
        <w:t>empleo para la obtención de los diagnósticos de las ofertas de empleo para las instituciones educativas terminales.</w:t>
      </w:r>
    </w:p>
    <w:p w:rsidR="00DE7C9C" w:rsidRDefault="00DE7C9C" w:rsidP="00DE7C9C">
      <w:pPr>
        <w:spacing w:line="360" w:lineRule="auto"/>
        <w:ind w:left="720"/>
        <w:contextualSpacing/>
        <w:jc w:val="both"/>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Se acrecentarán las ofertas de empleo mediante la búsqueda estratégica de instalación de nuevas empresas.</w:t>
      </w:r>
    </w:p>
    <w:p w:rsidR="00DE7C9C" w:rsidRDefault="00DE7C9C" w:rsidP="00DE7C9C">
      <w:pPr>
        <w:spacing w:line="360" w:lineRule="auto"/>
        <w:ind w:left="720"/>
        <w:contextualSpacing/>
        <w:jc w:val="both"/>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Se incrementan las acciones para ayuda a víctimas y ofendidos para otorgar a la ciudadanía la certeza y protección jurídica debida.</w:t>
      </w:r>
    </w:p>
    <w:p w:rsidR="00DE7C9C" w:rsidRDefault="00DE7C9C" w:rsidP="00DE7C9C">
      <w:pPr>
        <w:spacing w:line="360" w:lineRule="auto"/>
        <w:ind w:left="720"/>
        <w:contextualSpacing/>
        <w:jc w:val="both"/>
        <w:rPr>
          <w:rFonts w:ascii="Arial" w:eastAsia="Calibri" w:hAnsi="Arial" w:cs="Arial"/>
        </w:rPr>
      </w:pPr>
    </w:p>
    <w:p w:rsidR="00B8501C"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Se reforzará la Recaudación Tributaria mediante el incremento en la Modernización Tecnológica para hacer más eficiente la atención al contribuyente.</w:t>
      </w:r>
    </w:p>
    <w:p w:rsidR="00DE7C9C" w:rsidRDefault="00DE7C9C" w:rsidP="00DE7C9C">
      <w:pPr>
        <w:pStyle w:val="Prrafodelista"/>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Con el propósito de Transparentar la aplicación correcta de los recursos públicos estatales y federales se implementarán medidas de control interno para abatir el número de observaciones realizadas por los entes fiscalizadores.</w:t>
      </w: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lastRenderedPageBreak/>
        <w:t>Las Dependencias y Entidades del Gobierno del Estado deberán propiciar la alineación de los programas con enfoque de género de conformidad con las políticas establecidas por el Instituto Estatal de la Mujer; asimismo, incluir mecanismos para la atención de las necesidades de mujeres y hombres; incluir indicadores sensibles de género; fomentar la igualdad de género en los programas que sean susceptibles de ello, entre otros.</w:t>
      </w:r>
    </w:p>
    <w:p w:rsidR="00DE7C9C" w:rsidRDefault="00DE7C9C" w:rsidP="00DE7C9C">
      <w:pPr>
        <w:spacing w:line="360" w:lineRule="auto"/>
        <w:ind w:left="720"/>
        <w:contextualSpacing/>
        <w:jc w:val="both"/>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Se considera un incremento salarial a los elementos de seguridad.</w:t>
      </w:r>
    </w:p>
    <w:p w:rsidR="00DE7C9C" w:rsidRDefault="00DE7C9C" w:rsidP="00DE7C9C">
      <w:pPr>
        <w:spacing w:line="360" w:lineRule="auto"/>
        <w:ind w:left="720"/>
        <w:contextualSpacing/>
        <w:jc w:val="both"/>
        <w:rPr>
          <w:rFonts w:ascii="Arial" w:eastAsia="Calibri" w:hAnsi="Arial" w:cs="Arial"/>
        </w:rPr>
      </w:pPr>
    </w:p>
    <w:p w:rsidR="00B8501C" w:rsidRPr="007F5A62" w:rsidRDefault="00B8501C" w:rsidP="00F36D7A">
      <w:pPr>
        <w:numPr>
          <w:ilvl w:val="0"/>
          <w:numId w:val="22"/>
        </w:numPr>
        <w:spacing w:line="360" w:lineRule="auto"/>
        <w:contextualSpacing/>
        <w:jc w:val="both"/>
        <w:rPr>
          <w:rFonts w:ascii="Arial" w:eastAsia="Calibri" w:hAnsi="Arial" w:cs="Arial"/>
        </w:rPr>
      </w:pPr>
      <w:r w:rsidRPr="007F5A62">
        <w:rPr>
          <w:rFonts w:ascii="Arial" w:eastAsia="Calibri" w:hAnsi="Arial" w:cs="Arial"/>
        </w:rPr>
        <w:t>Implementar acciones para la igualdad de género en el Instituto Estatal de la Mujer.</w:t>
      </w:r>
    </w:p>
    <w:p w:rsidR="00B8501C"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 xml:space="preserve">Se propone a esta Legislatura un Presupuesto de Egresos para el Ejercicio Fiscal 2019, por un monto de </w:t>
      </w:r>
      <w:r w:rsidRPr="007F5A62">
        <w:rPr>
          <w:rFonts w:ascii="Arial" w:hAnsi="Arial" w:cs="Arial"/>
          <w:b/>
          <w:bCs/>
          <w:lang w:eastAsia="es-MX"/>
        </w:rPr>
        <w:t>18,705.1</w:t>
      </w:r>
      <w:r w:rsidRPr="007F5A62">
        <w:rPr>
          <w:rFonts w:ascii="Arial" w:eastAsia="Calibri" w:hAnsi="Arial" w:cs="Arial"/>
          <w:b/>
        </w:rPr>
        <w:t>millones de pesos</w:t>
      </w:r>
      <w:r w:rsidRPr="007F5A62">
        <w:rPr>
          <w:rFonts w:ascii="Arial" w:eastAsia="Calibri" w:hAnsi="Arial" w:cs="Arial"/>
        </w:rPr>
        <w:t>, manteniendo un crecimiento del 3.14% con respecto al del año 2018. Dichos recursos serán destinados para atender las funciones de los Poderes Legislativo, Judicial y Ejecutivo, así como para los Organismos Públicos Descentralizados, Órganos Autónomos y Municipios en lo que respecta al Fondo Estatal Participable y Aportaciones del Ramo General 33, con el propósito de que se cumpla con las demandas de la población y se garantice la viabilidad, equilibrio y sustentabilidad financiera de la hacienda pública. El presupuesto global estatal, está integrado por:</w:t>
      </w:r>
    </w:p>
    <w:p w:rsidR="00B8501C" w:rsidRDefault="00B8501C" w:rsidP="00F36D7A">
      <w:pPr>
        <w:numPr>
          <w:ilvl w:val="0"/>
          <w:numId w:val="21"/>
        </w:numPr>
        <w:spacing w:line="360" w:lineRule="auto"/>
        <w:contextualSpacing/>
        <w:jc w:val="both"/>
        <w:rPr>
          <w:rFonts w:ascii="Arial" w:eastAsia="Calibri" w:hAnsi="Arial" w:cs="Arial"/>
        </w:rPr>
      </w:pPr>
      <w:r w:rsidRPr="007F5A62">
        <w:rPr>
          <w:rFonts w:ascii="Arial" w:eastAsia="Calibri" w:hAnsi="Arial" w:cs="Arial"/>
        </w:rPr>
        <w:lastRenderedPageBreak/>
        <w:t>Participaciones Federales e Ingresos Propios que importan la cantidad de 8,961.2  millones de pesos; y,</w:t>
      </w:r>
    </w:p>
    <w:p w:rsidR="004A1725" w:rsidRPr="007F5A62" w:rsidRDefault="004A1725" w:rsidP="004A1725">
      <w:pPr>
        <w:spacing w:line="360" w:lineRule="auto"/>
        <w:ind w:left="720"/>
        <w:contextualSpacing/>
        <w:jc w:val="both"/>
        <w:rPr>
          <w:rFonts w:ascii="Arial" w:eastAsia="Calibri" w:hAnsi="Arial" w:cs="Arial"/>
        </w:rPr>
      </w:pPr>
    </w:p>
    <w:p w:rsidR="00B8501C" w:rsidRPr="007F5A62" w:rsidRDefault="00B8501C" w:rsidP="00F36D7A">
      <w:pPr>
        <w:numPr>
          <w:ilvl w:val="0"/>
          <w:numId w:val="21"/>
        </w:numPr>
        <w:spacing w:line="360" w:lineRule="auto"/>
        <w:contextualSpacing/>
        <w:jc w:val="both"/>
        <w:rPr>
          <w:rFonts w:ascii="Arial" w:eastAsia="Calibri" w:hAnsi="Arial" w:cs="Arial"/>
        </w:rPr>
      </w:pPr>
      <w:r w:rsidRPr="007F5A62">
        <w:rPr>
          <w:rFonts w:ascii="Arial" w:eastAsia="Calibri" w:hAnsi="Arial" w:cs="Arial"/>
        </w:rPr>
        <w:t>Aportaciones Federales del Ramo 33, previstas en el Presupuesto de Egresos de la Federación, por un monto de 9,743.8 millones de pesos.</w:t>
      </w:r>
    </w:p>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Pr>
          <w:rFonts w:ascii="Arial" w:eastAsia="Calibri" w:hAnsi="Arial" w:cs="Arial"/>
        </w:rPr>
        <w:t>Conforme a lo anterior, los</w:t>
      </w:r>
      <w:r w:rsidRPr="007F5A62">
        <w:rPr>
          <w:rFonts w:ascii="Arial" w:eastAsia="Calibri" w:hAnsi="Arial" w:cs="Arial"/>
        </w:rPr>
        <w:t xml:space="preserve"> montos estimados</w:t>
      </w:r>
      <w:r>
        <w:rPr>
          <w:rFonts w:ascii="Arial" w:eastAsia="Calibri" w:hAnsi="Arial" w:cs="Arial"/>
        </w:rPr>
        <w:t xml:space="preserve"> serán </w:t>
      </w:r>
      <w:r w:rsidRPr="007F5A62">
        <w:rPr>
          <w:rFonts w:ascii="Arial" w:eastAsia="Calibri" w:hAnsi="Arial" w:cs="Arial"/>
        </w:rPr>
        <w:t>destinados fundamentalmente a programas de educación, salud, empleo, seguridad, infraestructura social y Fondos Municipales.</w:t>
      </w:r>
    </w:p>
    <w:p w:rsidR="00B8501C" w:rsidRPr="007F5A62" w:rsidRDefault="00B8501C" w:rsidP="005F66CD">
      <w:pPr>
        <w:spacing w:line="360" w:lineRule="auto"/>
        <w:jc w:val="both"/>
        <w:rPr>
          <w:rFonts w:ascii="Arial" w:eastAsia="Calibri" w:hAnsi="Arial" w:cs="Arial"/>
        </w:rPr>
      </w:pPr>
    </w:p>
    <w:p w:rsidR="00B8501C" w:rsidRPr="007F5A62" w:rsidRDefault="00B8501C" w:rsidP="004A1725">
      <w:pPr>
        <w:spacing w:line="360" w:lineRule="auto"/>
        <w:rPr>
          <w:rFonts w:ascii="Arial" w:eastAsia="Calibri" w:hAnsi="Arial" w:cs="Arial"/>
          <w:b/>
        </w:rPr>
      </w:pPr>
      <w:r w:rsidRPr="007F5A62">
        <w:rPr>
          <w:rFonts w:ascii="Arial" w:eastAsia="Calibri" w:hAnsi="Arial" w:cs="Arial"/>
          <w:b/>
        </w:rPr>
        <w:t>CLASIFICACIÓN DEL PRESUPUESTO DE EGRESOS</w:t>
      </w:r>
    </w:p>
    <w:p w:rsidR="00B8501C" w:rsidRPr="007F5A62" w:rsidRDefault="00B8501C" w:rsidP="005F66CD">
      <w:pPr>
        <w:spacing w:line="360" w:lineRule="auto"/>
        <w:jc w:val="both"/>
        <w:rPr>
          <w:rFonts w:ascii="Arial" w:eastAsia="Calibri" w:hAnsi="Arial" w:cs="Arial"/>
          <w:b/>
          <w:caps/>
        </w:rPr>
      </w:pPr>
    </w:p>
    <w:p w:rsidR="00B8501C" w:rsidRPr="007F5A62" w:rsidRDefault="00B8501C" w:rsidP="005F66CD">
      <w:pPr>
        <w:spacing w:line="360" w:lineRule="auto"/>
        <w:jc w:val="both"/>
        <w:rPr>
          <w:rFonts w:ascii="Arial" w:eastAsia="Calibri" w:hAnsi="Arial" w:cs="Arial"/>
          <w:b/>
          <w:caps/>
        </w:rPr>
      </w:pPr>
      <w:r w:rsidRPr="007F5A62">
        <w:rPr>
          <w:rFonts w:ascii="Arial" w:eastAsia="Calibri" w:hAnsi="Arial" w:cs="Arial"/>
          <w:b/>
          <w:caps/>
        </w:rPr>
        <w:t>Presupuesto por Fuente de Financiamiento</w:t>
      </w:r>
    </w:p>
    <w:p w:rsidR="004A1725" w:rsidRDefault="004A1725"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El presupuesto por fuente y subfuente de financiamiento es el siguiente:</w:t>
      </w:r>
    </w:p>
    <w:p w:rsidR="00B8501C" w:rsidRPr="007F5A62" w:rsidRDefault="00B8501C" w:rsidP="005F66CD">
      <w:pPr>
        <w:spacing w:line="360" w:lineRule="auto"/>
        <w:jc w:val="both"/>
        <w:rPr>
          <w:rFonts w:ascii="Arial" w:eastAsia="Calibri" w:hAnsi="Arial" w:cs="Arial"/>
        </w:rPr>
      </w:pPr>
    </w:p>
    <w:tbl>
      <w:tblPr>
        <w:tblW w:w="5257" w:type="dxa"/>
        <w:jc w:val="center"/>
        <w:tblCellMar>
          <w:left w:w="70" w:type="dxa"/>
          <w:right w:w="70" w:type="dxa"/>
        </w:tblCellMar>
        <w:tblLook w:val="04A0" w:firstRow="1" w:lastRow="0" w:firstColumn="1" w:lastColumn="0" w:noHBand="0" w:noVBand="1"/>
      </w:tblPr>
      <w:tblGrid>
        <w:gridCol w:w="4147"/>
        <w:gridCol w:w="1110"/>
      </w:tblGrid>
      <w:tr w:rsidR="00B8501C" w:rsidRPr="007F5A62" w:rsidTr="00B8501C">
        <w:trPr>
          <w:trHeight w:val="480"/>
          <w:jc w:val="center"/>
        </w:trPr>
        <w:tc>
          <w:tcPr>
            <w:tcW w:w="4147" w:type="dxa"/>
            <w:tcBorders>
              <w:top w:val="single" w:sz="4" w:space="0" w:color="A6A6A6"/>
              <w:left w:val="single" w:sz="4" w:space="0" w:color="A6A6A6"/>
              <w:bottom w:val="nil"/>
              <w:right w:val="single" w:sz="4"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FUENTE DE FINANCIAMIENTO</w:t>
            </w:r>
          </w:p>
        </w:tc>
        <w:tc>
          <w:tcPr>
            <w:tcW w:w="1110" w:type="dxa"/>
            <w:tcBorders>
              <w:top w:val="single" w:sz="4" w:space="0" w:color="A6A6A6"/>
              <w:left w:val="nil"/>
              <w:bottom w:val="nil"/>
              <w:right w:val="single" w:sz="4"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MONTO</w:t>
            </w:r>
          </w:p>
        </w:tc>
      </w:tr>
      <w:tr w:rsidR="00B8501C" w:rsidRPr="007F5A62" w:rsidTr="00B8501C">
        <w:trPr>
          <w:trHeight w:val="300"/>
          <w:jc w:val="center"/>
        </w:trPr>
        <w:tc>
          <w:tcPr>
            <w:tcW w:w="4147"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1. Recursos Fiscales</w:t>
            </w:r>
          </w:p>
        </w:tc>
        <w:tc>
          <w:tcPr>
            <w:tcW w:w="1110" w:type="dxa"/>
            <w:tcBorders>
              <w:top w:val="single" w:sz="4" w:space="0" w:color="A6A6A6"/>
              <w:left w:val="nil"/>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898.4</w:t>
            </w:r>
          </w:p>
        </w:tc>
      </w:tr>
      <w:tr w:rsidR="00B8501C" w:rsidRPr="007F5A62" w:rsidTr="00B8501C">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2. Financiamientos Internos</w:t>
            </w:r>
          </w:p>
        </w:tc>
        <w:tc>
          <w:tcPr>
            <w:tcW w:w="1110"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0</w:t>
            </w:r>
          </w:p>
        </w:tc>
      </w:tr>
      <w:tr w:rsidR="00B8501C" w:rsidRPr="007F5A62" w:rsidTr="00B8501C">
        <w:trPr>
          <w:trHeight w:val="315"/>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3. Financiamientos Externos</w:t>
            </w:r>
          </w:p>
        </w:tc>
        <w:tc>
          <w:tcPr>
            <w:tcW w:w="1110"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0</w:t>
            </w:r>
          </w:p>
        </w:tc>
      </w:tr>
      <w:tr w:rsidR="00B8501C" w:rsidRPr="007F5A62" w:rsidTr="00B8501C">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4. Ingresos Propios</w:t>
            </w:r>
          </w:p>
        </w:tc>
        <w:tc>
          <w:tcPr>
            <w:tcW w:w="1110"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141.3</w:t>
            </w:r>
          </w:p>
        </w:tc>
      </w:tr>
      <w:tr w:rsidR="00B8501C" w:rsidRPr="007F5A62" w:rsidTr="00B8501C">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5. Recursos Federales</w:t>
            </w:r>
          </w:p>
        </w:tc>
        <w:tc>
          <w:tcPr>
            <w:tcW w:w="1110"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17,665.4</w:t>
            </w:r>
          </w:p>
        </w:tc>
      </w:tr>
      <w:tr w:rsidR="00B8501C" w:rsidRPr="007F5A62" w:rsidTr="00B8501C">
        <w:trPr>
          <w:trHeight w:val="48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6. Recursos Estatales (Municipios)</w:t>
            </w:r>
          </w:p>
        </w:tc>
        <w:tc>
          <w:tcPr>
            <w:tcW w:w="1110"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0</w:t>
            </w:r>
          </w:p>
        </w:tc>
      </w:tr>
      <w:tr w:rsidR="00B8501C" w:rsidRPr="007F5A62" w:rsidTr="00B8501C">
        <w:trPr>
          <w:trHeight w:val="300"/>
          <w:jc w:val="center"/>
        </w:trPr>
        <w:tc>
          <w:tcPr>
            <w:tcW w:w="4147" w:type="dxa"/>
            <w:tcBorders>
              <w:top w:val="nil"/>
              <w:left w:val="single" w:sz="4" w:space="0" w:color="A6A6A6"/>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7. Otros Recursos</w:t>
            </w:r>
          </w:p>
        </w:tc>
        <w:tc>
          <w:tcPr>
            <w:tcW w:w="1110" w:type="dxa"/>
            <w:tcBorders>
              <w:top w:val="nil"/>
              <w:left w:val="nil"/>
              <w:bottom w:val="single" w:sz="4" w:space="0" w:color="A6A6A6"/>
              <w:right w:val="single" w:sz="4"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0</w:t>
            </w:r>
          </w:p>
        </w:tc>
      </w:tr>
      <w:tr w:rsidR="00B8501C" w:rsidRPr="007F5A62" w:rsidTr="00B8501C">
        <w:trPr>
          <w:trHeight w:val="300"/>
          <w:jc w:val="center"/>
        </w:trPr>
        <w:tc>
          <w:tcPr>
            <w:tcW w:w="4147" w:type="dxa"/>
            <w:tcBorders>
              <w:top w:val="nil"/>
              <w:left w:val="single" w:sz="4" w:space="0" w:color="A6A6A6"/>
              <w:bottom w:val="single" w:sz="4" w:space="0" w:color="A6A6A6"/>
              <w:right w:val="single" w:sz="4"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lastRenderedPageBreak/>
              <w:t>TOTAL</w:t>
            </w:r>
          </w:p>
        </w:tc>
        <w:tc>
          <w:tcPr>
            <w:tcW w:w="1110" w:type="dxa"/>
            <w:tcBorders>
              <w:top w:val="nil"/>
              <w:left w:val="nil"/>
              <w:bottom w:val="single" w:sz="4" w:space="0" w:color="A6A6A6"/>
              <w:right w:val="single" w:sz="4"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18,705.1</w:t>
            </w:r>
          </w:p>
        </w:tc>
      </w:tr>
    </w:tbl>
    <w:p w:rsidR="00B8501C" w:rsidRDefault="00B8501C" w:rsidP="005F66CD">
      <w:pPr>
        <w:spacing w:line="360" w:lineRule="auto"/>
        <w:jc w:val="both"/>
        <w:rPr>
          <w:rFonts w:ascii="Arial" w:eastAsia="Calibri" w:hAnsi="Arial" w:cs="Arial"/>
          <w:b/>
          <w:caps/>
        </w:rPr>
      </w:pPr>
    </w:p>
    <w:p w:rsidR="004A1725" w:rsidRPr="007F5A62" w:rsidRDefault="004A1725" w:rsidP="005F66CD">
      <w:pPr>
        <w:spacing w:line="360" w:lineRule="auto"/>
        <w:jc w:val="both"/>
        <w:rPr>
          <w:rFonts w:ascii="Arial" w:eastAsia="Calibri" w:hAnsi="Arial" w:cs="Arial"/>
          <w:b/>
          <w:caps/>
        </w:rPr>
      </w:pPr>
    </w:p>
    <w:p w:rsidR="00B8501C" w:rsidRDefault="00B8501C" w:rsidP="005F66CD">
      <w:pPr>
        <w:spacing w:line="360" w:lineRule="auto"/>
        <w:jc w:val="both"/>
        <w:rPr>
          <w:rFonts w:ascii="Arial" w:eastAsia="Calibri" w:hAnsi="Arial" w:cs="Arial"/>
          <w:b/>
          <w:caps/>
        </w:rPr>
      </w:pPr>
      <w:r w:rsidRPr="007F5A62">
        <w:rPr>
          <w:rFonts w:ascii="Arial" w:eastAsia="Calibri" w:hAnsi="Arial" w:cs="Arial"/>
          <w:b/>
          <w:caps/>
        </w:rPr>
        <w:t>Presupuesto por Subfuente de Financiamiento</w:t>
      </w:r>
    </w:p>
    <w:p w:rsidR="004A1725" w:rsidRPr="007F5A62" w:rsidRDefault="004A1725" w:rsidP="005F66CD">
      <w:pPr>
        <w:spacing w:line="360" w:lineRule="auto"/>
        <w:jc w:val="both"/>
        <w:rPr>
          <w:rFonts w:ascii="Arial" w:eastAsia="Calibri" w:hAnsi="Arial" w:cs="Arial"/>
          <w:b/>
          <w:caps/>
        </w:rPr>
      </w:pPr>
    </w:p>
    <w:tbl>
      <w:tblPr>
        <w:tblW w:w="4500" w:type="dxa"/>
        <w:jc w:val="center"/>
        <w:tblCellMar>
          <w:left w:w="70" w:type="dxa"/>
          <w:right w:w="70" w:type="dxa"/>
        </w:tblCellMar>
        <w:tblLook w:val="04A0" w:firstRow="1" w:lastRow="0" w:firstColumn="1" w:lastColumn="0" w:noHBand="0" w:noVBand="1"/>
      </w:tblPr>
      <w:tblGrid>
        <w:gridCol w:w="2980"/>
        <w:gridCol w:w="1520"/>
      </w:tblGrid>
      <w:tr w:rsidR="00B8501C" w:rsidRPr="007F5A62" w:rsidTr="00B8501C">
        <w:trPr>
          <w:trHeight w:val="823"/>
          <w:jc w:val="center"/>
        </w:trPr>
        <w:tc>
          <w:tcPr>
            <w:tcW w:w="2980" w:type="dxa"/>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SUBFUENTE DE FINANCIAMIENTO</w:t>
            </w:r>
          </w:p>
        </w:tc>
        <w:tc>
          <w:tcPr>
            <w:tcW w:w="1520"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MONTO</w:t>
            </w:r>
          </w:p>
        </w:tc>
      </w:tr>
      <w:tr w:rsidR="00B8501C" w:rsidRPr="007F5A62" w:rsidTr="00B8501C">
        <w:trPr>
          <w:trHeight w:val="315"/>
          <w:jc w:val="center"/>
        </w:trPr>
        <w:tc>
          <w:tcPr>
            <w:tcW w:w="2980"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Fuentes locales</w:t>
            </w:r>
          </w:p>
        </w:tc>
        <w:tc>
          <w:tcPr>
            <w:tcW w:w="1520"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898.4</w:t>
            </w:r>
          </w:p>
        </w:tc>
      </w:tr>
      <w:tr w:rsidR="00B8501C" w:rsidRPr="007F5A62" w:rsidTr="00B8501C">
        <w:trPr>
          <w:trHeight w:val="615"/>
          <w:jc w:val="center"/>
        </w:trPr>
        <w:tc>
          <w:tcPr>
            <w:tcW w:w="2980"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Ingresos generados por OPD´S</w:t>
            </w:r>
          </w:p>
        </w:tc>
        <w:tc>
          <w:tcPr>
            <w:tcW w:w="1520"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141.3</w:t>
            </w:r>
          </w:p>
        </w:tc>
      </w:tr>
      <w:tr w:rsidR="00B8501C" w:rsidRPr="007F5A62" w:rsidTr="00B8501C">
        <w:trPr>
          <w:trHeight w:val="615"/>
          <w:jc w:val="center"/>
        </w:trPr>
        <w:tc>
          <w:tcPr>
            <w:tcW w:w="2980"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Participaciones e Incentivos</w:t>
            </w:r>
          </w:p>
        </w:tc>
        <w:tc>
          <w:tcPr>
            <w:tcW w:w="1520"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7,921.6</w:t>
            </w:r>
          </w:p>
        </w:tc>
      </w:tr>
      <w:tr w:rsidR="00B8501C" w:rsidRPr="007F5A62" w:rsidTr="00B8501C">
        <w:trPr>
          <w:trHeight w:val="330"/>
          <w:jc w:val="center"/>
        </w:trPr>
        <w:tc>
          <w:tcPr>
            <w:tcW w:w="2980"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b/>
                <w:bCs/>
                <w:lang w:eastAsia="es-MX"/>
              </w:rPr>
            </w:pPr>
            <w:r w:rsidRPr="007F5A62">
              <w:rPr>
                <w:rFonts w:ascii="Arial" w:hAnsi="Arial" w:cs="Arial"/>
                <w:b/>
                <w:bCs/>
                <w:lang w:eastAsia="es-MX"/>
              </w:rPr>
              <w:t>SUBTOTAL</w:t>
            </w:r>
          </w:p>
        </w:tc>
        <w:tc>
          <w:tcPr>
            <w:tcW w:w="1520"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8,961.3</w:t>
            </w:r>
          </w:p>
        </w:tc>
      </w:tr>
      <w:tr w:rsidR="00B8501C" w:rsidRPr="007F5A62" w:rsidTr="00B8501C">
        <w:trPr>
          <w:trHeight w:val="315"/>
          <w:jc w:val="center"/>
        </w:trPr>
        <w:tc>
          <w:tcPr>
            <w:tcW w:w="2980"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Aportaciones Federales</w:t>
            </w:r>
          </w:p>
        </w:tc>
        <w:tc>
          <w:tcPr>
            <w:tcW w:w="1520"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9,743.8</w:t>
            </w:r>
          </w:p>
        </w:tc>
      </w:tr>
      <w:tr w:rsidR="00B8501C" w:rsidRPr="007F5A62" w:rsidTr="00B8501C">
        <w:trPr>
          <w:trHeight w:val="330"/>
          <w:jc w:val="center"/>
        </w:trPr>
        <w:tc>
          <w:tcPr>
            <w:tcW w:w="2980" w:type="dxa"/>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c>
          <w:tcPr>
            <w:tcW w:w="1520"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18,705.1</w:t>
            </w:r>
          </w:p>
        </w:tc>
      </w:tr>
    </w:tbl>
    <w:p w:rsidR="00B8501C" w:rsidRPr="007F5A62" w:rsidRDefault="00B8501C" w:rsidP="005F66CD">
      <w:pPr>
        <w:spacing w:line="360" w:lineRule="auto"/>
        <w:jc w:val="both"/>
        <w:rPr>
          <w:rFonts w:ascii="Arial" w:eastAsia="Calibri" w:hAnsi="Arial" w:cs="Arial"/>
          <w:b/>
          <w:caps/>
          <w:highlight w:val="yellow"/>
        </w:rPr>
      </w:pPr>
    </w:p>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b/>
          <w:caps/>
        </w:rPr>
      </w:pPr>
      <w:r w:rsidRPr="007F5A62">
        <w:rPr>
          <w:rFonts w:ascii="Arial" w:eastAsia="Calibri" w:hAnsi="Arial" w:cs="Arial"/>
          <w:b/>
          <w:caps/>
        </w:rPr>
        <w:t>Presupuesto del Poder Ejecutivo por Políticas Estratégicas del Gobierno</w:t>
      </w:r>
    </w:p>
    <w:p w:rsidR="004A1725" w:rsidRDefault="004A1725"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El proyecto de Presupuesto de Egresos 2019, por Políticas Estratégicas del Gobierno, es el siguiente:</w:t>
      </w:r>
    </w:p>
    <w:p w:rsidR="00B8501C" w:rsidRPr="007F5A62" w:rsidRDefault="00B8501C" w:rsidP="005F66CD">
      <w:pPr>
        <w:spacing w:line="360" w:lineRule="auto"/>
        <w:jc w:val="both"/>
        <w:rPr>
          <w:rFonts w:ascii="Arial" w:eastAsia="Calibri" w:hAnsi="Arial" w:cs="Arial"/>
        </w:rPr>
      </w:pPr>
    </w:p>
    <w:tbl>
      <w:tblPr>
        <w:tblW w:w="8379" w:type="dxa"/>
        <w:tblInd w:w="55" w:type="dxa"/>
        <w:tblCellMar>
          <w:left w:w="70" w:type="dxa"/>
          <w:right w:w="70" w:type="dxa"/>
        </w:tblCellMar>
        <w:tblLook w:val="04A0" w:firstRow="1" w:lastRow="0" w:firstColumn="1" w:lastColumn="0" w:noHBand="0" w:noVBand="1"/>
      </w:tblPr>
      <w:tblGrid>
        <w:gridCol w:w="5827"/>
        <w:gridCol w:w="1276"/>
        <w:gridCol w:w="1276"/>
      </w:tblGrid>
      <w:tr w:rsidR="00B8501C" w:rsidRPr="007F5A62" w:rsidTr="00B8501C">
        <w:trPr>
          <w:trHeight w:val="645"/>
        </w:trPr>
        <w:tc>
          <w:tcPr>
            <w:tcW w:w="5827" w:type="dxa"/>
            <w:tcBorders>
              <w:top w:val="single" w:sz="8" w:space="0" w:color="A6A6A6"/>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lastRenderedPageBreak/>
              <w:t>Ejes</w:t>
            </w:r>
          </w:p>
        </w:tc>
        <w:tc>
          <w:tcPr>
            <w:tcW w:w="1276" w:type="dxa"/>
            <w:tcBorders>
              <w:top w:val="single" w:sz="8" w:space="0" w:color="A6A6A6"/>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Monto MDP</w:t>
            </w:r>
          </w:p>
        </w:tc>
        <w:tc>
          <w:tcPr>
            <w:tcW w:w="1276" w:type="dxa"/>
            <w:tcBorders>
              <w:top w:val="single" w:sz="8" w:space="0" w:color="A6A6A6"/>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w:t>
            </w:r>
          </w:p>
        </w:tc>
      </w:tr>
      <w:tr w:rsidR="00B8501C" w:rsidRPr="007F5A62" w:rsidTr="00B8501C">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Empleo, Desarrollo Económico y Prosperidad para las Familias</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382.4</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2.6</w:t>
            </w:r>
          </w:p>
        </w:tc>
      </w:tr>
      <w:tr w:rsidR="00B8501C" w:rsidRPr="007F5A62" w:rsidTr="00B8501C">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Educación pertinente, Salud de Calidad y Sociedad Incluyente</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10,397.4</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71.3</w:t>
            </w:r>
          </w:p>
        </w:tc>
      </w:tr>
      <w:tr w:rsidR="00B8501C" w:rsidRPr="007F5A62" w:rsidTr="00B8501C">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Integración Regional Ordenada y Sustentable</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832.6</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5.7</w:t>
            </w:r>
          </w:p>
        </w:tc>
      </w:tr>
      <w:tr w:rsidR="00B8501C" w:rsidRPr="007F5A62" w:rsidTr="00B8501C">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Gobernanza, Seguridad y Protección para Vivir en Paz</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1,099.2</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7.6</w:t>
            </w:r>
          </w:p>
        </w:tc>
      </w:tr>
      <w:tr w:rsidR="00B8501C" w:rsidRPr="007F5A62" w:rsidTr="00B8501C">
        <w:trPr>
          <w:trHeight w:val="615"/>
        </w:trPr>
        <w:tc>
          <w:tcPr>
            <w:tcW w:w="5827"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Gobierno Honesto, Eficiente y Transparente</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1,863.5</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12.8</w:t>
            </w:r>
          </w:p>
        </w:tc>
      </w:tr>
      <w:tr w:rsidR="00B8501C" w:rsidRPr="007F5A62" w:rsidTr="00B8501C">
        <w:trPr>
          <w:trHeight w:val="330"/>
        </w:trPr>
        <w:tc>
          <w:tcPr>
            <w:tcW w:w="5827" w:type="dxa"/>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c>
          <w:tcPr>
            <w:tcW w:w="1276"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14,575.1</w:t>
            </w:r>
          </w:p>
        </w:tc>
        <w:tc>
          <w:tcPr>
            <w:tcW w:w="1276"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100</w:t>
            </w:r>
          </w:p>
        </w:tc>
      </w:tr>
    </w:tbl>
    <w:p w:rsidR="00B8501C" w:rsidRDefault="00B8501C" w:rsidP="005F66CD">
      <w:pPr>
        <w:spacing w:line="360" w:lineRule="auto"/>
        <w:jc w:val="both"/>
        <w:rPr>
          <w:rFonts w:ascii="Arial" w:eastAsia="Calibri" w:hAnsi="Arial" w:cs="Arial"/>
          <w:b/>
        </w:rPr>
      </w:pPr>
    </w:p>
    <w:p w:rsidR="004A1725" w:rsidRPr="007F5A62" w:rsidRDefault="004A1725" w:rsidP="005F66CD">
      <w:pPr>
        <w:spacing w:line="360" w:lineRule="auto"/>
        <w:jc w:val="both"/>
        <w:rPr>
          <w:rFonts w:ascii="Arial" w:eastAsia="Calibri" w:hAnsi="Arial" w:cs="Arial"/>
          <w:b/>
        </w:rPr>
      </w:pPr>
    </w:p>
    <w:p w:rsidR="00B8501C" w:rsidRPr="007F5A62" w:rsidRDefault="00B8501C" w:rsidP="005F66CD">
      <w:pPr>
        <w:spacing w:line="360" w:lineRule="auto"/>
        <w:jc w:val="both"/>
        <w:rPr>
          <w:rFonts w:ascii="Arial" w:eastAsia="Calibri" w:hAnsi="Arial" w:cs="Arial"/>
          <w:b/>
        </w:rPr>
      </w:pPr>
      <w:r w:rsidRPr="007F5A62">
        <w:rPr>
          <w:rFonts w:ascii="Arial" w:eastAsia="Calibri" w:hAnsi="Arial" w:cs="Arial"/>
          <w:b/>
        </w:rPr>
        <w:t>PRESUPUESTO POR RAMO</w:t>
      </w:r>
    </w:p>
    <w:p w:rsidR="004A1725" w:rsidRDefault="004A1725"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El proyecto de Presupuesto de Egresos 2019, distribuido por Ramo, se integra como sigue:</w:t>
      </w:r>
    </w:p>
    <w:p w:rsidR="00B8501C" w:rsidRPr="007F5A62" w:rsidRDefault="00B8501C" w:rsidP="005F66CD">
      <w:pPr>
        <w:spacing w:line="360" w:lineRule="auto"/>
        <w:jc w:val="center"/>
        <w:rPr>
          <w:rFonts w:ascii="Arial" w:eastAsia="Calibri" w:hAnsi="Arial" w:cs="Arial"/>
        </w:rPr>
      </w:pPr>
      <w:r w:rsidRPr="007F5A62">
        <w:rPr>
          <w:rFonts w:ascii="Arial" w:eastAsia="Calibri" w:hAnsi="Arial" w:cs="Arial"/>
        </w:rPr>
        <w:t>(Millones de pesos)</w:t>
      </w:r>
    </w:p>
    <w:tbl>
      <w:tblPr>
        <w:tblW w:w="5083" w:type="pct"/>
        <w:tblCellMar>
          <w:left w:w="70" w:type="dxa"/>
          <w:right w:w="70" w:type="dxa"/>
        </w:tblCellMar>
        <w:tblLook w:val="04A0" w:firstRow="1" w:lastRow="0" w:firstColumn="1" w:lastColumn="0" w:noHBand="0" w:noVBand="1"/>
      </w:tblPr>
      <w:tblGrid>
        <w:gridCol w:w="2013"/>
        <w:gridCol w:w="477"/>
        <w:gridCol w:w="1607"/>
        <w:gridCol w:w="418"/>
        <w:gridCol w:w="1674"/>
        <w:gridCol w:w="557"/>
        <w:gridCol w:w="1526"/>
      </w:tblGrid>
      <w:tr w:rsidR="00B8501C" w:rsidRPr="007F5A62" w:rsidTr="00B8501C">
        <w:trPr>
          <w:trHeight w:val="475"/>
        </w:trPr>
        <w:tc>
          <w:tcPr>
            <w:tcW w:w="1218" w:type="pct"/>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Ramo</w:t>
            </w:r>
          </w:p>
        </w:tc>
        <w:tc>
          <w:tcPr>
            <w:tcW w:w="289"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72" w:type="pct"/>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Estatal</w:t>
            </w:r>
          </w:p>
        </w:tc>
        <w:tc>
          <w:tcPr>
            <w:tcW w:w="253"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1008" w:type="pct"/>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Aportaciones Federales</w:t>
            </w:r>
          </w:p>
        </w:tc>
        <w:tc>
          <w:tcPr>
            <w:tcW w:w="337"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23" w:type="pct"/>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r>
      <w:tr w:rsidR="00B8501C" w:rsidRPr="007F5A62" w:rsidTr="00B8501C">
        <w:trPr>
          <w:trHeight w:val="615"/>
        </w:trPr>
        <w:tc>
          <w:tcPr>
            <w:tcW w:w="1218"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Poder Legislativo</w:t>
            </w:r>
          </w:p>
        </w:tc>
        <w:tc>
          <w:tcPr>
            <w:tcW w:w="289"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72"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301.5</w:t>
            </w:r>
          </w:p>
        </w:tc>
        <w:tc>
          <w:tcPr>
            <w:tcW w:w="253"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1008"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0.0</w:t>
            </w:r>
          </w:p>
        </w:tc>
        <w:tc>
          <w:tcPr>
            <w:tcW w:w="337"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23"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301.5</w:t>
            </w:r>
          </w:p>
        </w:tc>
      </w:tr>
      <w:tr w:rsidR="00B8501C" w:rsidRPr="007F5A62" w:rsidTr="00B8501C">
        <w:trPr>
          <w:trHeight w:val="330"/>
        </w:trPr>
        <w:tc>
          <w:tcPr>
            <w:tcW w:w="1218"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Poder Judicial</w:t>
            </w:r>
          </w:p>
        </w:tc>
        <w:tc>
          <w:tcPr>
            <w:tcW w:w="289"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72"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251.9</w:t>
            </w:r>
          </w:p>
        </w:tc>
        <w:tc>
          <w:tcPr>
            <w:tcW w:w="253"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1008"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0.0</w:t>
            </w:r>
          </w:p>
        </w:tc>
        <w:tc>
          <w:tcPr>
            <w:tcW w:w="337"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23"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251.9</w:t>
            </w:r>
          </w:p>
        </w:tc>
      </w:tr>
      <w:tr w:rsidR="00B8501C" w:rsidRPr="007F5A62" w:rsidTr="00B8501C">
        <w:trPr>
          <w:trHeight w:val="615"/>
        </w:trPr>
        <w:tc>
          <w:tcPr>
            <w:tcW w:w="1218"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lastRenderedPageBreak/>
              <w:t>Órganos Autónomos</w:t>
            </w:r>
          </w:p>
        </w:tc>
        <w:tc>
          <w:tcPr>
            <w:tcW w:w="289"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72"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256.4</w:t>
            </w:r>
          </w:p>
        </w:tc>
        <w:tc>
          <w:tcPr>
            <w:tcW w:w="253"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1008"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0.0</w:t>
            </w:r>
          </w:p>
        </w:tc>
        <w:tc>
          <w:tcPr>
            <w:tcW w:w="337"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23"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256.4</w:t>
            </w:r>
          </w:p>
        </w:tc>
      </w:tr>
      <w:tr w:rsidR="00B8501C" w:rsidRPr="007F5A62" w:rsidTr="00B8501C">
        <w:trPr>
          <w:trHeight w:val="330"/>
        </w:trPr>
        <w:tc>
          <w:tcPr>
            <w:tcW w:w="1218"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Poder Ejecutivo</w:t>
            </w:r>
          </w:p>
        </w:tc>
        <w:tc>
          <w:tcPr>
            <w:tcW w:w="289"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72"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6,255.2</w:t>
            </w:r>
          </w:p>
        </w:tc>
        <w:tc>
          <w:tcPr>
            <w:tcW w:w="253"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1008"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8,319.9</w:t>
            </w:r>
          </w:p>
        </w:tc>
        <w:tc>
          <w:tcPr>
            <w:tcW w:w="337"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23"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14,575.1</w:t>
            </w:r>
          </w:p>
        </w:tc>
      </w:tr>
      <w:tr w:rsidR="00B8501C" w:rsidRPr="007F5A62" w:rsidTr="00B8501C">
        <w:trPr>
          <w:trHeight w:val="330"/>
        </w:trPr>
        <w:tc>
          <w:tcPr>
            <w:tcW w:w="1218"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Municipios</w:t>
            </w:r>
          </w:p>
        </w:tc>
        <w:tc>
          <w:tcPr>
            <w:tcW w:w="289"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72"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1,896.2</w:t>
            </w:r>
          </w:p>
        </w:tc>
        <w:tc>
          <w:tcPr>
            <w:tcW w:w="253"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1008"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1,424.0</w:t>
            </w:r>
          </w:p>
        </w:tc>
        <w:tc>
          <w:tcPr>
            <w:tcW w:w="337"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23" w:type="pct"/>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3,320.2</w:t>
            </w:r>
          </w:p>
        </w:tc>
      </w:tr>
      <w:tr w:rsidR="00B8501C" w:rsidRPr="007F5A62" w:rsidTr="00B8501C">
        <w:trPr>
          <w:trHeight w:val="330"/>
        </w:trPr>
        <w:tc>
          <w:tcPr>
            <w:tcW w:w="1218" w:type="pct"/>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c>
          <w:tcPr>
            <w:tcW w:w="289"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72" w:type="pct"/>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8,961.2</w:t>
            </w:r>
          </w:p>
        </w:tc>
        <w:tc>
          <w:tcPr>
            <w:tcW w:w="253"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1008" w:type="pct"/>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9,743.9</w:t>
            </w:r>
          </w:p>
        </w:tc>
        <w:tc>
          <w:tcPr>
            <w:tcW w:w="337" w:type="pct"/>
            <w:tcBorders>
              <w:top w:val="nil"/>
              <w:left w:val="nil"/>
              <w:bottom w:val="nil"/>
              <w:right w:val="nil"/>
            </w:tcBorders>
            <w:shd w:val="clear" w:color="auto" w:fill="auto"/>
            <w:noWrap/>
            <w:vAlign w:val="bottom"/>
            <w:hideMark/>
          </w:tcPr>
          <w:p w:rsidR="00B8501C" w:rsidRPr="007F5A62" w:rsidRDefault="00B8501C" w:rsidP="005F66CD">
            <w:pPr>
              <w:spacing w:line="360" w:lineRule="auto"/>
              <w:rPr>
                <w:rFonts w:ascii="Arial" w:hAnsi="Arial" w:cs="Arial"/>
                <w:lang w:eastAsia="es-MX"/>
              </w:rPr>
            </w:pPr>
          </w:p>
        </w:tc>
        <w:tc>
          <w:tcPr>
            <w:tcW w:w="923" w:type="pct"/>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18,705.1</w:t>
            </w:r>
          </w:p>
        </w:tc>
      </w:tr>
    </w:tbl>
    <w:p w:rsidR="00B8501C" w:rsidRPr="007F5A62" w:rsidRDefault="00B8501C" w:rsidP="005F66CD">
      <w:pPr>
        <w:spacing w:line="360" w:lineRule="auto"/>
        <w:jc w:val="both"/>
        <w:rPr>
          <w:rFonts w:ascii="Arial" w:eastAsia="Calibri" w:hAnsi="Arial" w:cs="Arial"/>
        </w:rPr>
      </w:pPr>
    </w:p>
    <w:p w:rsidR="00B8501C" w:rsidRDefault="00B8501C" w:rsidP="005F66CD">
      <w:pPr>
        <w:spacing w:line="360" w:lineRule="auto"/>
        <w:jc w:val="both"/>
        <w:rPr>
          <w:rFonts w:ascii="Arial" w:eastAsia="Calibri" w:hAnsi="Arial" w:cs="Arial"/>
        </w:rPr>
      </w:pPr>
      <w:r w:rsidRPr="007F5A62">
        <w:rPr>
          <w:rFonts w:ascii="Arial" w:eastAsia="Calibri" w:hAnsi="Arial" w:cs="Arial"/>
        </w:rPr>
        <w:t>El Poder Legislativo contará con un presupuesto total de 301.5 millones de pesos, que representa un incremento nominal del 24.7% respecto de 2018, integrado como sigue:</w:t>
      </w:r>
    </w:p>
    <w:p w:rsidR="004A1725" w:rsidRPr="007F5A62" w:rsidRDefault="004A1725" w:rsidP="005F66CD">
      <w:pPr>
        <w:spacing w:line="360" w:lineRule="auto"/>
        <w:jc w:val="both"/>
        <w:rPr>
          <w:rFonts w:ascii="Arial" w:eastAsia="Calibri" w:hAnsi="Arial" w:cs="Arial"/>
        </w:rPr>
      </w:pPr>
    </w:p>
    <w:tbl>
      <w:tblPr>
        <w:tblW w:w="5117" w:type="dxa"/>
        <w:jc w:val="center"/>
        <w:tblCellMar>
          <w:left w:w="70" w:type="dxa"/>
          <w:right w:w="70" w:type="dxa"/>
        </w:tblCellMar>
        <w:tblLook w:val="04A0" w:firstRow="1" w:lastRow="0" w:firstColumn="1" w:lastColumn="0" w:noHBand="0" w:noVBand="1"/>
      </w:tblPr>
      <w:tblGrid>
        <w:gridCol w:w="3685"/>
        <w:gridCol w:w="1432"/>
      </w:tblGrid>
      <w:tr w:rsidR="00B8501C" w:rsidRPr="007F5A62" w:rsidTr="00B8501C">
        <w:trPr>
          <w:trHeight w:val="960"/>
          <w:jc w:val="center"/>
        </w:trPr>
        <w:tc>
          <w:tcPr>
            <w:tcW w:w="3685" w:type="dxa"/>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Poder Legislativo</w:t>
            </w:r>
          </w:p>
        </w:tc>
        <w:tc>
          <w:tcPr>
            <w:tcW w:w="1432"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Monto (MDP)</w:t>
            </w:r>
          </w:p>
        </w:tc>
      </w:tr>
      <w:tr w:rsidR="00B8501C" w:rsidRPr="007F5A62" w:rsidTr="00B8501C">
        <w:trPr>
          <w:trHeight w:val="615"/>
          <w:jc w:val="center"/>
        </w:trPr>
        <w:tc>
          <w:tcPr>
            <w:tcW w:w="368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Cámara de Diputados</w:t>
            </w:r>
          </w:p>
        </w:tc>
        <w:tc>
          <w:tcPr>
            <w:tcW w:w="1432"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235.1</w:t>
            </w:r>
          </w:p>
        </w:tc>
      </w:tr>
      <w:tr w:rsidR="00B8501C" w:rsidRPr="007F5A62" w:rsidTr="00B8501C">
        <w:trPr>
          <w:trHeight w:val="581"/>
          <w:jc w:val="center"/>
        </w:trPr>
        <w:tc>
          <w:tcPr>
            <w:tcW w:w="3685"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 xml:space="preserve">Órgano de Fiscalización Superior </w:t>
            </w:r>
          </w:p>
        </w:tc>
        <w:tc>
          <w:tcPr>
            <w:tcW w:w="1432"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66.4</w:t>
            </w:r>
          </w:p>
        </w:tc>
      </w:tr>
      <w:tr w:rsidR="00B8501C" w:rsidRPr="007F5A62" w:rsidTr="00B8501C">
        <w:trPr>
          <w:trHeight w:val="330"/>
          <w:jc w:val="center"/>
        </w:trPr>
        <w:tc>
          <w:tcPr>
            <w:tcW w:w="3685" w:type="dxa"/>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c>
          <w:tcPr>
            <w:tcW w:w="1432"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301.5</w:t>
            </w:r>
          </w:p>
        </w:tc>
      </w:tr>
    </w:tbl>
    <w:p w:rsidR="00B8501C" w:rsidRDefault="00B8501C" w:rsidP="005F66CD">
      <w:pPr>
        <w:spacing w:line="360" w:lineRule="auto"/>
        <w:jc w:val="center"/>
        <w:rPr>
          <w:rFonts w:ascii="Arial" w:eastAsia="Calibri" w:hAnsi="Arial" w:cs="Arial"/>
          <w:b/>
        </w:rPr>
      </w:pPr>
    </w:p>
    <w:p w:rsidR="004A1725" w:rsidRPr="007F5A62" w:rsidRDefault="004A1725" w:rsidP="005F66CD">
      <w:pPr>
        <w:spacing w:line="360" w:lineRule="auto"/>
        <w:jc w:val="center"/>
        <w:rPr>
          <w:rFonts w:ascii="Arial" w:eastAsia="Calibri" w:hAnsi="Arial" w:cs="Arial"/>
          <w:b/>
        </w:rPr>
      </w:pPr>
    </w:p>
    <w:p w:rsidR="00B8501C" w:rsidRDefault="00B8501C" w:rsidP="004A1725">
      <w:pPr>
        <w:spacing w:line="360" w:lineRule="auto"/>
        <w:rPr>
          <w:rFonts w:ascii="Arial" w:eastAsia="Calibri" w:hAnsi="Arial" w:cs="Arial"/>
        </w:rPr>
      </w:pPr>
      <w:r w:rsidRPr="007F5A62">
        <w:rPr>
          <w:rFonts w:ascii="Arial" w:eastAsia="Calibri" w:hAnsi="Arial" w:cs="Arial"/>
          <w:b/>
        </w:rPr>
        <w:t>ÓRGANOS AUTÓNOMOS</w:t>
      </w:r>
      <w:r w:rsidRPr="007F5A62">
        <w:rPr>
          <w:rFonts w:ascii="Arial" w:eastAsia="Calibri" w:hAnsi="Arial" w:cs="Arial"/>
        </w:rPr>
        <w:t xml:space="preserve">.  </w:t>
      </w:r>
    </w:p>
    <w:p w:rsidR="004A1725" w:rsidRPr="007F5A62" w:rsidRDefault="004A1725" w:rsidP="005F66CD">
      <w:pPr>
        <w:spacing w:line="360" w:lineRule="auto"/>
        <w:jc w:val="center"/>
        <w:rPr>
          <w:rFonts w:ascii="Arial" w:eastAsia="Calibri" w:hAnsi="Arial" w:cs="Arial"/>
          <w:b/>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Los órganos autónomos tendrán de presupuesto global 256.4 millones de pesos, como a continuación se detalla:</w:t>
      </w:r>
    </w:p>
    <w:p w:rsidR="004A1725" w:rsidRDefault="004A1725" w:rsidP="005F66CD">
      <w:pPr>
        <w:spacing w:line="360" w:lineRule="auto"/>
        <w:jc w:val="center"/>
        <w:rPr>
          <w:rFonts w:ascii="Arial" w:hAnsi="Arial" w:cs="Arial"/>
          <w:b/>
        </w:rPr>
      </w:pPr>
    </w:p>
    <w:p w:rsidR="004A1725" w:rsidRDefault="004A1725" w:rsidP="005F66CD">
      <w:pPr>
        <w:spacing w:line="360" w:lineRule="auto"/>
        <w:jc w:val="center"/>
        <w:rPr>
          <w:rFonts w:ascii="Arial" w:hAnsi="Arial" w:cs="Arial"/>
          <w:b/>
        </w:rPr>
      </w:pPr>
    </w:p>
    <w:p w:rsidR="00B8501C" w:rsidRPr="007F5A62" w:rsidRDefault="00B8501C" w:rsidP="005F66CD">
      <w:pPr>
        <w:spacing w:line="360" w:lineRule="auto"/>
        <w:jc w:val="center"/>
        <w:rPr>
          <w:rFonts w:ascii="Arial" w:hAnsi="Arial" w:cs="Arial"/>
          <w:b/>
        </w:rPr>
      </w:pPr>
      <w:r w:rsidRPr="007F5A62">
        <w:rPr>
          <w:rFonts w:ascii="Arial" w:hAnsi="Arial" w:cs="Arial"/>
          <w:b/>
        </w:rPr>
        <w:lastRenderedPageBreak/>
        <w:t>Órganos Autónomos</w:t>
      </w:r>
    </w:p>
    <w:tbl>
      <w:tblPr>
        <w:tblW w:w="7654" w:type="dxa"/>
        <w:tblInd w:w="354" w:type="dxa"/>
        <w:tblCellMar>
          <w:left w:w="70" w:type="dxa"/>
          <w:right w:w="70" w:type="dxa"/>
        </w:tblCellMar>
        <w:tblLook w:val="04A0" w:firstRow="1" w:lastRow="0" w:firstColumn="1" w:lastColumn="0" w:noHBand="0" w:noVBand="1"/>
      </w:tblPr>
      <w:tblGrid>
        <w:gridCol w:w="4819"/>
        <w:gridCol w:w="2835"/>
      </w:tblGrid>
      <w:tr w:rsidR="00B8501C" w:rsidRPr="007F5A62" w:rsidTr="00B8501C">
        <w:trPr>
          <w:trHeight w:val="645"/>
        </w:trPr>
        <w:tc>
          <w:tcPr>
            <w:tcW w:w="4819" w:type="dxa"/>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Autónomos</w:t>
            </w:r>
          </w:p>
        </w:tc>
        <w:tc>
          <w:tcPr>
            <w:tcW w:w="2835"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Monto (MDP)</w:t>
            </w:r>
          </w:p>
        </w:tc>
      </w:tr>
      <w:tr w:rsidR="00B8501C" w:rsidRPr="007F5A62" w:rsidTr="00B8501C">
        <w:trPr>
          <w:trHeight w:val="315"/>
        </w:trPr>
        <w:tc>
          <w:tcPr>
            <w:tcW w:w="4819"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Universidad Autónoma de Tlaxcala</w:t>
            </w:r>
          </w:p>
        </w:tc>
        <w:tc>
          <w:tcPr>
            <w:tcW w:w="2835"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103.4</w:t>
            </w:r>
          </w:p>
        </w:tc>
      </w:tr>
      <w:tr w:rsidR="00B8501C" w:rsidRPr="007F5A62" w:rsidTr="00B8501C">
        <w:trPr>
          <w:trHeight w:val="6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Comisión Estatal de Derechos Humanos</w:t>
            </w:r>
          </w:p>
        </w:tc>
        <w:tc>
          <w:tcPr>
            <w:tcW w:w="283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21.4</w:t>
            </w:r>
          </w:p>
        </w:tc>
      </w:tr>
      <w:tr w:rsidR="00B8501C" w:rsidRPr="007F5A62" w:rsidTr="00B8501C">
        <w:trPr>
          <w:trHeight w:val="3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Instituto Tlaxcalteca de Elecciones</w:t>
            </w:r>
          </w:p>
        </w:tc>
        <w:tc>
          <w:tcPr>
            <w:tcW w:w="283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80.0</w:t>
            </w:r>
          </w:p>
        </w:tc>
      </w:tr>
      <w:tr w:rsidR="00B8501C" w:rsidRPr="007F5A62" w:rsidTr="00B8501C">
        <w:trPr>
          <w:trHeight w:val="12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Instituto de Acceso a la Información Pública y Protección de Datos Personales para el Estado de Tlaxcala</w:t>
            </w:r>
          </w:p>
        </w:tc>
        <w:tc>
          <w:tcPr>
            <w:tcW w:w="283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13.3</w:t>
            </w:r>
          </w:p>
        </w:tc>
      </w:tr>
      <w:tr w:rsidR="00B8501C" w:rsidRPr="007F5A62" w:rsidTr="00B8501C">
        <w:trPr>
          <w:trHeight w:val="3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Tribunal de Conciliación y Arbitraje</w:t>
            </w:r>
          </w:p>
        </w:tc>
        <w:tc>
          <w:tcPr>
            <w:tcW w:w="283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13.0</w:t>
            </w:r>
          </w:p>
        </w:tc>
      </w:tr>
      <w:tr w:rsidR="00B8501C" w:rsidRPr="007F5A62" w:rsidTr="00B8501C">
        <w:trPr>
          <w:trHeight w:val="315"/>
        </w:trPr>
        <w:tc>
          <w:tcPr>
            <w:tcW w:w="4819"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Tribunal Electoral de Tlaxcala</w:t>
            </w:r>
          </w:p>
        </w:tc>
        <w:tc>
          <w:tcPr>
            <w:tcW w:w="283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25.3</w:t>
            </w:r>
          </w:p>
        </w:tc>
      </w:tr>
      <w:tr w:rsidR="00B8501C" w:rsidRPr="007F5A62" w:rsidTr="00B8501C">
        <w:trPr>
          <w:trHeight w:val="330"/>
        </w:trPr>
        <w:tc>
          <w:tcPr>
            <w:tcW w:w="4819" w:type="dxa"/>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c>
          <w:tcPr>
            <w:tcW w:w="2835"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256.4</w:t>
            </w:r>
          </w:p>
        </w:tc>
      </w:tr>
    </w:tbl>
    <w:p w:rsidR="00B8501C" w:rsidRPr="007F5A62" w:rsidRDefault="00B8501C" w:rsidP="005F66CD">
      <w:pPr>
        <w:spacing w:line="360" w:lineRule="auto"/>
        <w:jc w:val="center"/>
        <w:rPr>
          <w:rFonts w:ascii="Arial" w:hAnsi="Arial" w:cs="Arial"/>
          <w:b/>
        </w:rPr>
      </w:pPr>
    </w:p>
    <w:p w:rsidR="00B8501C" w:rsidRPr="007F5A62" w:rsidRDefault="00B8501C" w:rsidP="005F66CD">
      <w:pPr>
        <w:spacing w:line="360" w:lineRule="auto"/>
        <w:contextualSpacing/>
        <w:jc w:val="center"/>
        <w:rPr>
          <w:rFonts w:ascii="Arial" w:eastAsia="Calibri" w:hAnsi="Arial" w:cs="Arial"/>
          <w:b/>
        </w:rPr>
      </w:pPr>
      <w:r w:rsidRPr="007F5A62">
        <w:rPr>
          <w:rFonts w:ascii="Arial" w:eastAsia="Calibri" w:hAnsi="Arial" w:cs="Arial"/>
          <w:b/>
        </w:rPr>
        <w:t>RECURSOS FEDERALES A MUNICIPIOS</w:t>
      </w:r>
    </w:p>
    <w:p w:rsidR="00B8501C" w:rsidRPr="007F5A62" w:rsidRDefault="00B8501C" w:rsidP="005F66CD">
      <w:pPr>
        <w:spacing w:line="360" w:lineRule="auto"/>
        <w:jc w:val="center"/>
        <w:rPr>
          <w:rFonts w:ascii="Arial" w:eastAsia="Calibri" w:hAnsi="Arial" w:cs="Arial"/>
        </w:rPr>
      </w:pPr>
      <w:r w:rsidRPr="007F5A62">
        <w:rPr>
          <w:rFonts w:ascii="Arial" w:eastAsia="Calibri" w:hAnsi="Arial" w:cs="Arial"/>
        </w:rPr>
        <w:t>(Millones de pesos)</w:t>
      </w:r>
    </w:p>
    <w:tbl>
      <w:tblPr>
        <w:tblW w:w="7654" w:type="dxa"/>
        <w:tblInd w:w="354" w:type="dxa"/>
        <w:tblCellMar>
          <w:left w:w="70" w:type="dxa"/>
          <w:right w:w="70" w:type="dxa"/>
        </w:tblCellMar>
        <w:tblLook w:val="04A0" w:firstRow="1" w:lastRow="0" w:firstColumn="1" w:lastColumn="0" w:noHBand="0" w:noVBand="1"/>
      </w:tblPr>
      <w:tblGrid>
        <w:gridCol w:w="3969"/>
        <w:gridCol w:w="1276"/>
        <w:gridCol w:w="1134"/>
        <w:gridCol w:w="1275"/>
      </w:tblGrid>
      <w:tr w:rsidR="00B8501C" w:rsidRPr="007F5A62" w:rsidTr="00B8501C">
        <w:trPr>
          <w:trHeight w:val="330"/>
        </w:trPr>
        <w:tc>
          <w:tcPr>
            <w:tcW w:w="3969" w:type="dxa"/>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Municipios</w:t>
            </w:r>
          </w:p>
        </w:tc>
        <w:tc>
          <w:tcPr>
            <w:tcW w:w="1276"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2017</w:t>
            </w:r>
          </w:p>
        </w:tc>
        <w:tc>
          <w:tcPr>
            <w:tcW w:w="1134"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2018</w:t>
            </w:r>
          </w:p>
        </w:tc>
        <w:tc>
          <w:tcPr>
            <w:tcW w:w="1275"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2019</w:t>
            </w:r>
          </w:p>
        </w:tc>
      </w:tr>
      <w:tr w:rsidR="00B8501C" w:rsidRPr="007F5A62" w:rsidTr="00B8501C">
        <w:trPr>
          <w:trHeight w:val="315"/>
        </w:trPr>
        <w:tc>
          <w:tcPr>
            <w:tcW w:w="3969"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Ingresos</w:t>
            </w:r>
          </w:p>
        </w:tc>
        <w:tc>
          <w:tcPr>
            <w:tcW w:w="1276"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37.4</w:t>
            </w:r>
          </w:p>
        </w:tc>
        <w:tc>
          <w:tcPr>
            <w:tcW w:w="1134"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35.6</w:t>
            </w:r>
          </w:p>
        </w:tc>
        <w:tc>
          <w:tcPr>
            <w:tcW w:w="1275"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37.4</w:t>
            </w:r>
          </w:p>
        </w:tc>
      </w:tr>
      <w:tr w:rsidR="00B8501C" w:rsidRPr="007F5A62" w:rsidTr="00B8501C">
        <w:trPr>
          <w:trHeight w:val="315"/>
        </w:trPr>
        <w:tc>
          <w:tcPr>
            <w:tcW w:w="3969"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 xml:space="preserve">Participaciones e Incentivos </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1,666.9</w:t>
            </w:r>
          </w:p>
        </w:tc>
        <w:tc>
          <w:tcPr>
            <w:tcW w:w="1134"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1,811.1</w:t>
            </w:r>
          </w:p>
        </w:tc>
        <w:tc>
          <w:tcPr>
            <w:tcW w:w="127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1,858.8</w:t>
            </w:r>
          </w:p>
        </w:tc>
      </w:tr>
      <w:tr w:rsidR="00B8501C" w:rsidRPr="007F5A62" w:rsidTr="00B8501C">
        <w:trPr>
          <w:trHeight w:val="615"/>
        </w:trPr>
        <w:tc>
          <w:tcPr>
            <w:tcW w:w="3969"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Aportaciones Federales (Ramo 33)</w:t>
            </w:r>
          </w:p>
        </w:tc>
        <w:tc>
          <w:tcPr>
            <w:tcW w:w="1276"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1,281.5</w:t>
            </w:r>
          </w:p>
        </w:tc>
        <w:tc>
          <w:tcPr>
            <w:tcW w:w="1134"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1,410.9</w:t>
            </w:r>
          </w:p>
        </w:tc>
        <w:tc>
          <w:tcPr>
            <w:tcW w:w="127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1,424.0</w:t>
            </w:r>
          </w:p>
        </w:tc>
      </w:tr>
      <w:tr w:rsidR="00B8501C" w:rsidRPr="007F5A62" w:rsidTr="00B8501C">
        <w:trPr>
          <w:trHeight w:val="330"/>
        </w:trPr>
        <w:tc>
          <w:tcPr>
            <w:tcW w:w="3969" w:type="dxa"/>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c>
          <w:tcPr>
            <w:tcW w:w="1276"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2,985.8</w:t>
            </w:r>
          </w:p>
        </w:tc>
        <w:tc>
          <w:tcPr>
            <w:tcW w:w="1134"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3,257.6</w:t>
            </w:r>
          </w:p>
        </w:tc>
        <w:tc>
          <w:tcPr>
            <w:tcW w:w="1275"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3,320.2</w:t>
            </w:r>
          </w:p>
        </w:tc>
      </w:tr>
    </w:tbl>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 xml:space="preserve">Por lo que se refiere a recursos derivados de </w:t>
      </w:r>
      <w:r w:rsidRPr="007F5A62">
        <w:rPr>
          <w:rFonts w:ascii="Arial" w:eastAsia="Calibri" w:hAnsi="Arial" w:cs="Arial"/>
          <w:b/>
        </w:rPr>
        <w:t>Aportaciones Federales</w:t>
      </w:r>
      <w:r w:rsidRPr="007F5A62">
        <w:rPr>
          <w:rFonts w:ascii="Arial" w:eastAsia="Calibri" w:hAnsi="Arial" w:cs="Arial"/>
        </w:rPr>
        <w:t xml:space="preserve"> previstas en el Ramo 33 del Presupuesto de Egresos de la Federación, los </w:t>
      </w:r>
      <w:r w:rsidRPr="007F5A62">
        <w:rPr>
          <w:rFonts w:ascii="Arial" w:eastAsia="Calibri" w:hAnsi="Arial" w:cs="Arial"/>
        </w:rPr>
        <w:lastRenderedPageBreak/>
        <w:t>Municipios tuvieron un incremento equivalente al 0.9%, correspondiente a los recursos de los Fondos de Aportaciones para el Fortalecimiento de los Municipios y de las Demarcaciones Territoriales del Distrito Federal (FORTAMUN) y del Fondo para Infraestructura Social Municipal y de las Demarcaciones Territoriales del Distrito Federal (FISM).</w:t>
      </w:r>
    </w:p>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b/>
        </w:rPr>
      </w:pPr>
      <w:r w:rsidRPr="007F5A62">
        <w:rPr>
          <w:rFonts w:ascii="Arial" w:eastAsia="Calibri" w:hAnsi="Arial" w:cs="Arial"/>
          <w:b/>
        </w:rPr>
        <w:t xml:space="preserve">CLASIFICACIÓN ADMINISTRATIVA </w:t>
      </w:r>
    </w:p>
    <w:p w:rsidR="004A1725" w:rsidRDefault="004A1725"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 xml:space="preserve">En la clasificación administrativa del presupuesto, presenta una proporción bajo el siguiente detalle; con el 27.3% del presupuesto para la Administración Pública Centralizada, el 1.5% para la Administración Desconcentrada, el 49.1% para la Administración Pública Descentralizada, el 17.8% para Municipios, y 4.3% para Poderes y Órganos Autónomos, como sigue: </w:t>
      </w:r>
    </w:p>
    <w:p w:rsidR="004A1725" w:rsidRDefault="004A1725" w:rsidP="005F66CD">
      <w:pPr>
        <w:spacing w:line="360" w:lineRule="auto"/>
        <w:contextualSpacing/>
        <w:jc w:val="center"/>
        <w:rPr>
          <w:rFonts w:ascii="Arial" w:eastAsia="Calibri" w:hAnsi="Arial" w:cs="Arial"/>
          <w:b/>
        </w:rPr>
      </w:pPr>
    </w:p>
    <w:p w:rsidR="00B8501C" w:rsidRPr="007F5A62" w:rsidRDefault="00B8501C" w:rsidP="005F66CD">
      <w:pPr>
        <w:spacing w:line="360" w:lineRule="auto"/>
        <w:contextualSpacing/>
        <w:jc w:val="center"/>
        <w:rPr>
          <w:rFonts w:ascii="Arial" w:eastAsia="Calibri" w:hAnsi="Arial" w:cs="Arial"/>
          <w:b/>
        </w:rPr>
      </w:pPr>
      <w:r w:rsidRPr="007F5A62">
        <w:rPr>
          <w:rFonts w:ascii="Arial" w:eastAsia="Calibri" w:hAnsi="Arial" w:cs="Arial"/>
          <w:b/>
        </w:rPr>
        <w:t>Clasificación Administrativa</w:t>
      </w:r>
    </w:p>
    <w:p w:rsidR="00B8501C" w:rsidRPr="007F5A62" w:rsidRDefault="00B8501C" w:rsidP="005F66CD">
      <w:pPr>
        <w:spacing w:line="360" w:lineRule="auto"/>
        <w:jc w:val="center"/>
        <w:rPr>
          <w:rFonts w:ascii="Arial" w:eastAsia="Calibri" w:hAnsi="Arial" w:cs="Arial"/>
        </w:rPr>
      </w:pPr>
      <w:r w:rsidRPr="007F5A62">
        <w:rPr>
          <w:rFonts w:ascii="Arial" w:eastAsia="Calibri" w:hAnsi="Arial" w:cs="Arial"/>
        </w:rPr>
        <w:t>(Millones de pesos)</w:t>
      </w:r>
    </w:p>
    <w:tbl>
      <w:tblPr>
        <w:tblW w:w="5158" w:type="dxa"/>
        <w:jc w:val="center"/>
        <w:tblCellMar>
          <w:left w:w="70" w:type="dxa"/>
          <w:right w:w="70" w:type="dxa"/>
        </w:tblCellMar>
        <w:tblLook w:val="04A0" w:firstRow="1" w:lastRow="0" w:firstColumn="1" w:lastColumn="0" w:noHBand="0" w:noVBand="1"/>
      </w:tblPr>
      <w:tblGrid>
        <w:gridCol w:w="2583"/>
        <w:gridCol w:w="1200"/>
        <w:gridCol w:w="1375"/>
      </w:tblGrid>
      <w:tr w:rsidR="00B8501C" w:rsidRPr="007F5A62" w:rsidTr="00B8501C">
        <w:trPr>
          <w:trHeight w:val="960"/>
          <w:jc w:val="center"/>
        </w:trPr>
        <w:tc>
          <w:tcPr>
            <w:tcW w:w="2583" w:type="dxa"/>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Ramos presupuestarios</w:t>
            </w:r>
          </w:p>
        </w:tc>
        <w:tc>
          <w:tcPr>
            <w:tcW w:w="1200"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 xml:space="preserve">Monto </w:t>
            </w:r>
          </w:p>
        </w:tc>
        <w:tc>
          <w:tcPr>
            <w:tcW w:w="1375"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w:t>
            </w:r>
          </w:p>
        </w:tc>
      </w:tr>
      <w:tr w:rsidR="00B8501C" w:rsidRPr="007F5A62" w:rsidTr="00B8501C">
        <w:trPr>
          <w:trHeight w:val="315"/>
          <w:jc w:val="center"/>
        </w:trPr>
        <w:tc>
          <w:tcPr>
            <w:tcW w:w="2583"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 xml:space="preserve">Centralizadas </w:t>
            </w:r>
          </w:p>
        </w:tc>
        <w:tc>
          <w:tcPr>
            <w:tcW w:w="1200"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5,101.3</w:t>
            </w:r>
          </w:p>
        </w:tc>
        <w:tc>
          <w:tcPr>
            <w:tcW w:w="1375"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27.3</w:t>
            </w:r>
          </w:p>
        </w:tc>
      </w:tr>
      <w:tr w:rsidR="00B8501C" w:rsidRPr="007F5A62" w:rsidTr="00B8501C">
        <w:trPr>
          <w:trHeight w:val="3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 xml:space="preserve">Desconcentradas </w:t>
            </w:r>
          </w:p>
        </w:tc>
        <w:tc>
          <w:tcPr>
            <w:tcW w:w="1200"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284.0</w:t>
            </w:r>
          </w:p>
        </w:tc>
        <w:tc>
          <w:tcPr>
            <w:tcW w:w="137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1.5</w:t>
            </w:r>
          </w:p>
        </w:tc>
      </w:tr>
      <w:tr w:rsidR="00B8501C" w:rsidRPr="007F5A62" w:rsidTr="00B8501C">
        <w:trPr>
          <w:trHeight w:val="3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 xml:space="preserve">Descentralizadas </w:t>
            </w:r>
          </w:p>
        </w:tc>
        <w:tc>
          <w:tcPr>
            <w:tcW w:w="1200"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9,189.8</w:t>
            </w:r>
          </w:p>
        </w:tc>
        <w:tc>
          <w:tcPr>
            <w:tcW w:w="137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49.1</w:t>
            </w:r>
          </w:p>
        </w:tc>
      </w:tr>
      <w:tr w:rsidR="00B8501C" w:rsidRPr="007F5A62" w:rsidTr="00B8501C">
        <w:trPr>
          <w:trHeight w:val="6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Poder Legislativo y Judicial</w:t>
            </w:r>
          </w:p>
        </w:tc>
        <w:tc>
          <w:tcPr>
            <w:tcW w:w="1200"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553.4</w:t>
            </w:r>
          </w:p>
        </w:tc>
        <w:tc>
          <w:tcPr>
            <w:tcW w:w="137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2.9</w:t>
            </w:r>
          </w:p>
        </w:tc>
      </w:tr>
      <w:tr w:rsidR="00B8501C" w:rsidRPr="007F5A62" w:rsidTr="00B8501C">
        <w:trPr>
          <w:trHeight w:val="3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lastRenderedPageBreak/>
              <w:t>Órganos Autónomos</w:t>
            </w:r>
          </w:p>
        </w:tc>
        <w:tc>
          <w:tcPr>
            <w:tcW w:w="1200"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256.4</w:t>
            </w:r>
          </w:p>
        </w:tc>
        <w:tc>
          <w:tcPr>
            <w:tcW w:w="137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1.4</w:t>
            </w:r>
          </w:p>
        </w:tc>
      </w:tr>
      <w:tr w:rsidR="00B8501C" w:rsidRPr="007F5A62" w:rsidTr="00B8501C">
        <w:trPr>
          <w:trHeight w:val="315"/>
          <w:jc w:val="center"/>
        </w:trPr>
        <w:tc>
          <w:tcPr>
            <w:tcW w:w="2583"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 xml:space="preserve">Municipios </w:t>
            </w:r>
          </w:p>
        </w:tc>
        <w:tc>
          <w:tcPr>
            <w:tcW w:w="1200"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3,320.2</w:t>
            </w:r>
          </w:p>
        </w:tc>
        <w:tc>
          <w:tcPr>
            <w:tcW w:w="1375"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center"/>
              <w:rPr>
                <w:rFonts w:ascii="Arial" w:hAnsi="Arial" w:cs="Arial"/>
                <w:lang w:eastAsia="es-MX"/>
              </w:rPr>
            </w:pPr>
            <w:r w:rsidRPr="007F5A62">
              <w:rPr>
                <w:rFonts w:ascii="Arial" w:hAnsi="Arial" w:cs="Arial"/>
                <w:lang w:eastAsia="es-MX"/>
              </w:rPr>
              <w:t>17.8</w:t>
            </w:r>
          </w:p>
        </w:tc>
      </w:tr>
      <w:tr w:rsidR="00B8501C" w:rsidRPr="007F5A62" w:rsidTr="00B8501C">
        <w:trPr>
          <w:trHeight w:val="330"/>
          <w:jc w:val="center"/>
        </w:trPr>
        <w:tc>
          <w:tcPr>
            <w:tcW w:w="2583" w:type="dxa"/>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c>
          <w:tcPr>
            <w:tcW w:w="1200"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18,705.1</w:t>
            </w:r>
          </w:p>
        </w:tc>
        <w:tc>
          <w:tcPr>
            <w:tcW w:w="1375"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100.0</w:t>
            </w:r>
          </w:p>
        </w:tc>
      </w:tr>
    </w:tbl>
    <w:p w:rsidR="00B8501C" w:rsidRPr="007F5A62" w:rsidRDefault="00B8501C"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b/>
        </w:rPr>
      </w:pPr>
      <w:r w:rsidRPr="007F5A62">
        <w:rPr>
          <w:rFonts w:ascii="Arial" w:eastAsia="Calibri" w:hAnsi="Arial" w:cs="Arial"/>
          <w:b/>
        </w:rPr>
        <w:t>PODER EJECUTIVO</w:t>
      </w:r>
    </w:p>
    <w:p w:rsidR="004A1725" w:rsidRDefault="004A1725"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El presupuesto de recursos estatales del Poder Ejecutivo asciende a un monto total de 6,255.2 millones de pesos, el cual representa un incremento porcentual de 2.2%.</w:t>
      </w:r>
    </w:p>
    <w:p w:rsidR="004A1725" w:rsidRDefault="004A1725" w:rsidP="005F66CD">
      <w:pPr>
        <w:spacing w:line="360" w:lineRule="auto"/>
        <w:jc w:val="both"/>
        <w:rPr>
          <w:rFonts w:ascii="Arial" w:eastAsia="Calibri" w:hAnsi="Arial" w:cs="Arial"/>
        </w:rPr>
      </w:pPr>
    </w:p>
    <w:p w:rsidR="00B8501C" w:rsidRPr="007F5A62" w:rsidRDefault="00B8501C" w:rsidP="005F66CD">
      <w:pPr>
        <w:spacing w:line="360" w:lineRule="auto"/>
        <w:jc w:val="both"/>
        <w:rPr>
          <w:rFonts w:ascii="Arial" w:eastAsia="Calibri" w:hAnsi="Arial" w:cs="Arial"/>
        </w:rPr>
      </w:pPr>
      <w:r w:rsidRPr="007F5A62">
        <w:rPr>
          <w:rFonts w:ascii="Arial" w:eastAsia="Calibri" w:hAnsi="Arial" w:cs="Arial"/>
        </w:rPr>
        <w:t>Por lo que se refiere a las Aportaciones Federales, del Ramo 33, etiquetadas en el Presupuesto de Egresos de la Federación, presentan un incremento del 3.3%.</w:t>
      </w:r>
    </w:p>
    <w:p w:rsidR="004A1725" w:rsidRDefault="004A1725" w:rsidP="005F66CD">
      <w:pPr>
        <w:spacing w:line="360" w:lineRule="auto"/>
        <w:jc w:val="center"/>
        <w:rPr>
          <w:rFonts w:ascii="Arial" w:eastAsia="Calibri" w:hAnsi="Arial" w:cs="Arial"/>
          <w:b/>
        </w:rPr>
      </w:pPr>
    </w:p>
    <w:p w:rsidR="00B8501C" w:rsidRPr="007F5A62" w:rsidRDefault="00B8501C" w:rsidP="005F66CD">
      <w:pPr>
        <w:spacing w:line="360" w:lineRule="auto"/>
        <w:jc w:val="center"/>
        <w:rPr>
          <w:rFonts w:ascii="Arial" w:eastAsia="Calibri" w:hAnsi="Arial" w:cs="Arial"/>
          <w:b/>
        </w:rPr>
      </w:pPr>
      <w:r w:rsidRPr="007F5A62">
        <w:rPr>
          <w:rFonts w:ascii="Arial" w:eastAsia="Calibri" w:hAnsi="Arial" w:cs="Arial"/>
          <w:b/>
        </w:rPr>
        <w:t xml:space="preserve">Poder Ejecutivo por Subfuente de Financiamiento </w:t>
      </w:r>
    </w:p>
    <w:p w:rsidR="00B8501C" w:rsidRPr="007F5A62" w:rsidRDefault="00B8501C" w:rsidP="005F66CD">
      <w:pPr>
        <w:spacing w:line="360" w:lineRule="auto"/>
        <w:jc w:val="center"/>
        <w:rPr>
          <w:rFonts w:ascii="Arial" w:eastAsia="Calibri" w:hAnsi="Arial" w:cs="Arial"/>
        </w:rPr>
      </w:pPr>
      <w:r w:rsidRPr="007F5A62">
        <w:rPr>
          <w:rFonts w:ascii="Arial" w:eastAsia="Calibri" w:hAnsi="Arial" w:cs="Arial"/>
        </w:rPr>
        <w:t>(millones de pesos)</w:t>
      </w:r>
    </w:p>
    <w:tbl>
      <w:tblPr>
        <w:tblW w:w="5122" w:type="dxa"/>
        <w:jc w:val="center"/>
        <w:tblCellMar>
          <w:left w:w="70" w:type="dxa"/>
          <w:right w:w="70" w:type="dxa"/>
        </w:tblCellMar>
        <w:tblLook w:val="04A0" w:firstRow="1" w:lastRow="0" w:firstColumn="1" w:lastColumn="0" w:noHBand="0" w:noVBand="1"/>
      </w:tblPr>
      <w:tblGrid>
        <w:gridCol w:w="3800"/>
        <w:gridCol w:w="1322"/>
      </w:tblGrid>
      <w:tr w:rsidR="00B8501C" w:rsidRPr="007F5A62" w:rsidTr="00B8501C">
        <w:trPr>
          <w:trHeight w:val="1275"/>
          <w:jc w:val="center"/>
        </w:trPr>
        <w:tc>
          <w:tcPr>
            <w:tcW w:w="3800" w:type="dxa"/>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Fuente de Financiamiento</w:t>
            </w:r>
          </w:p>
        </w:tc>
        <w:tc>
          <w:tcPr>
            <w:tcW w:w="1322"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Monto</w:t>
            </w:r>
          </w:p>
        </w:tc>
      </w:tr>
      <w:tr w:rsidR="00B8501C" w:rsidRPr="007F5A62" w:rsidTr="00B8501C">
        <w:trPr>
          <w:trHeight w:val="315"/>
          <w:jc w:val="center"/>
        </w:trPr>
        <w:tc>
          <w:tcPr>
            <w:tcW w:w="3800"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Fuentes locales</w:t>
            </w:r>
          </w:p>
        </w:tc>
        <w:tc>
          <w:tcPr>
            <w:tcW w:w="1322"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1,002.2</w:t>
            </w:r>
          </w:p>
        </w:tc>
      </w:tr>
      <w:tr w:rsidR="00B8501C" w:rsidRPr="007F5A62" w:rsidTr="00B8501C">
        <w:trPr>
          <w:trHeight w:val="417"/>
          <w:jc w:val="center"/>
        </w:trPr>
        <w:tc>
          <w:tcPr>
            <w:tcW w:w="3800"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Participaciones e Incentivos</w:t>
            </w:r>
          </w:p>
        </w:tc>
        <w:tc>
          <w:tcPr>
            <w:tcW w:w="1322"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5,253.0</w:t>
            </w:r>
          </w:p>
        </w:tc>
      </w:tr>
      <w:tr w:rsidR="00B8501C" w:rsidRPr="007F5A62" w:rsidTr="00B8501C">
        <w:trPr>
          <w:trHeight w:val="330"/>
          <w:jc w:val="center"/>
        </w:trPr>
        <w:tc>
          <w:tcPr>
            <w:tcW w:w="3800"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b/>
                <w:bCs/>
                <w:lang w:eastAsia="es-MX"/>
              </w:rPr>
            </w:pPr>
            <w:r w:rsidRPr="007F5A62">
              <w:rPr>
                <w:rFonts w:ascii="Arial" w:hAnsi="Arial" w:cs="Arial"/>
                <w:b/>
                <w:bCs/>
                <w:lang w:eastAsia="es-MX"/>
              </w:rPr>
              <w:t>Subtotal Estatales</w:t>
            </w:r>
          </w:p>
        </w:tc>
        <w:tc>
          <w:tcPr>
            <w:tcW w:w="1322"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6,255.2</w:t>
            </w:r>
          </w:p>
        </w:tc>
      </w:tr>
      <w:tr w:rsidR="00B8501C" w:rsidRPr="007F5A62" w:rsidTr="00B8501C">
        <w:trPr>
          <w:trHeight w:val="357"/>
          <w:jc w:val="center"/>
        </w:trPr>
        <w:tc>
          <w:tcPr>
            <w:tcW w:w="3800"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Aportaciones Federales</w:t>
            </w:r>
          </w:p>
        </w:tc>
        <w:tc>
          <w:tcPr>
            <w:tcW w:w="1322"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8,319.9</w:t>
            </w:r>
          </w:p>
        </w:tc>
      </w:tr>
      <w:tr w:rsidR="00B8501C" w:rsidRPr="007F5A62" w:rsidTr="00B8501C">
        <w:trPr>
          <w:trHeight w:val="330"/>
          <w:jc w:val="center"/>
        </w:trPr>
        <w:tc>
          <w:tcPr>
            <w:tcW w:w="3800" w:type="dxa"/>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c>
          <w:tcPr>
            <w:tcW w:w="1322"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14,575.1</w:t>
            </w:r>
          </w:p>
        </w:tc>
      </w:tr>
    </w:tbl>
    <w:p w:rsidR="00B8501C" w:rsidRDefault="00B8501C" w:rsidP="005F66CD">
      <w:pPr>
        <w:spacing w:line="360" w:lineRule="auto"/>
        <w:jc w:val="both"/>
        <w:rPr>
          <w:rFonts w:ascii="Arial" w:eastAsia="Calibri" w:hAnsi="Arial" w:cs="Arial"/>
          <w:b/>
        </w:rPr>
      </w:pPr>
      <w:r w:rsidRPr="007F5A62">
        <w:rPr>
          <w:rFonts w:ascii="Arial" w:eastAsia="Calibri" w:hAnsi="Arial" w:cs="Arial"/>
          <w:b/>
        </w:rPr>
        <w:lastRenderedPageBreak/>
        <w:t xml:space="preserve">PODERES Y ÓRGANOS AUTÓNOMOS </w:t>
      </w:r>
    </w:p>
    <w:p w:rsidR="004A1725" w:rsidRPr="007F5A62" w:rsidRDefault="004A1725" w:rsidP="005F66CD">
      <w:pPr>
        <w:spacing w:line="360" w:lineRule="auto"/>
        <w:jc w:val="both"/>
        <w:rPr>
          <w:rFonts w:ascii="Arial" w:eastAsia="Calibri" w:hAnsi="Arial" w:cs="Arial"/>
          <w:b/>
        </w:rPr>
      </w:pPr>
    </w:p>
    <w:tbl>
      <w:tblPr>
        <w:tblW w:w="8789" w:type="dxa"/>
        <w:tblInd w:w="-497" w:type="dxa"/>
        <w:tblCellMar>
          <w:left w:w="70" w:type="dxa"/>
          <w:right w:w="70" w:type="dxa"/>
        </w:tblCellMar>
        <w:tblLook w:val="04A0" w:firstRow="1" w:lastRow="0" w:firstColumn="1" w:lastColumn="0" w:noHBand="0" w:noVBand="1"/>
      </w:tblPr>
      <w:tblGrid>
        <w:gridCol w:w="3671"/>
        <w:gridCol w:w="1394"/>
        <w:gridCol w:w="1687"/>
        <w:gridCol w:w="2037"/>
      </w:tblGrid>
      <w:tr w:rsidR="00B8501C" w:rsidRPr="007F5A62" w:rsidTr="00B8501C">
        <w:trPr>
          <w:trHeight w:val="960"/>
        </w:trPr>
        <w:tc>
          <w:tcPr>
            <w:tcW w:w="3671" w:type="dxa"/>
            <w:tcBorders>
              <w:top w:val="single" w:sz="8" w:space="0" w:color="A6A6A6"/>
              <w:left w:val="single" w:sz="8" w:space="0" w:color="A6A6A6"/>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Poderes y Órganos Autónomos</w:t>
            </w:r>
          </w:p>
        </w:tc>
        <w:tc>
          <w:tcPr>
            <w:tcW w:w="1394"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Autorizado  2018</w:t>
            </w:r>
          </w:p>
        </w:tc>
        <w:tc>
          <w:tcPr>
            <w:tcW w:w="1687"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Anteproyecto 2019</w:t>
            </w:r>
          </w:p>
        </w:tc>
        <w:tc>
          <w:tcPr>
            <w:tcW w:w="2037" w:type="dxa"/>
            <w:tcBorders>
              <w:top w:val="single" w:sz="8" w:space="0" w:color="A6A6A6"/>
              <w:left w:val="nil"/>
              <w:bottom w:val="nil"/>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Iniciativa final propuesta 2019</w:t>
            </w:r>
          </w:p>
        </w:tc>
      </w:tr>
      <w:tr w:rsidR="00B8501C" w:rsidRPr="007F5A62" w:rsidTr="00B8501C">
        <w:trPr>
          <w:trHeight w:val="315"/>
        </w:trPr>
        <w:tc>
          <w:tcPr>
            <w:tcW w:w="3671"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Poder Legislativo</w:t>
            </w:r>
          </w:p>
        </w:tc>
        <w:tc>
          <w:tcPr>
            <w:tcW w:w="1394"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241.7</w:t>
            </w:r>
          </w:p>
        </w:tc>
        <w:tc>
          <w:tcPr>
            <w:tcW w:w="1687"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301.5</w:t>
            </w:r>
          </w:p>
        </w:tc>
        <w:tc>
          <w:tcPr>
            <w:tcW w:w="2037" w:type="dxa"/>
            <w:tcBorders>
              <w:top w:val="single" w:sz="8" w:space="0" w:color="A6A6A6"/>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301.5</w:t>
            </w:r>
          </w:p>
        </w:tc>
      </w:tr>
      <w:tr w:rsidR="00B8501C" w:rsidRPr="007F5A62" w:rsidTr="00B8501C">
        <w:trPr>
          <w:trHeight w:val="3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Poder Judicial</w:t>
            </w:r>
          </w:p>
        </w:tc>
        <w:tc>
          <w:tcPr>
            <w:tcW w:w="1394"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220.0</w:t>
            </w:r>
          </w:p>
        </w:tc>
        <w:tc>
          <w:tcPr>
            <w:tcW w:w="168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377.4</w:t>
            </w:r>
          </w:p>
        </w:tc>
        <w:tc>
          <w:tcPr>
            <w:tcW w:w="203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251.9</w:t>
            </w:r>
          </w:p>
        </w:tc>
      </w:tr>
      <w:tr w:rsidR="00B8501C" w:rsidRPr="007F5A62" w:rsidTr="00B8501C">
        <w:trPr>
          <w:trHeight w:val="9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Universidad Autónoma de Tlaxcala</w:t>
            </w:r>
          </w:p>
        </w:tc>
        <w:tc>
          <w:tcPr>
            <w:tcW w:w="1394"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100.4</w:t>
            </w:r>
          </w:p>
        </w:tc>
        <w:tc>
          <w:tcPr>
            <w:tcW w:w="168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161.5</w:t>
            </w:r>
          </w:p>
        </w:tc>
        <w:tc>
          <w:tcPr>
            <w:tcW w:w="203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103.4</w:t>
            </w:r>
          </w:p>
        </w:tc>
      </w:tr>
      <w:tr w:rsidR="00B8501C" w:rsidRPr="007F5A62" w:rsidTr="00B8501C">
        <w:trPr>
          <w:trHeight w:val="6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Comisión Estatal de Derechos Humanos</w:t>
            </w:r>
          </w:p>
        </w:tc>
        <w:tc>
          <w:tcPr>
            <w:tcW w:w="1394"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21.4</w:t>
            </w:r>
          </w:p>
        </w:tc>
        <w:tc>
          <w:tcPr>
            <w:tcW w:w="168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27.3</w:t>
            </w:r>
          </w:p>
        </w:tc>
        <w:tc>
          <w:tcPr>
            <w:tcW w:w="203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21.4</w:t>
            </w:r>
          </w:p>
        </w:tc>
      </w:tr>
      <w:tr w:rsidR="00B8501C" w:rsidRPr="007F5A62" w:rsidTr="00B8501C">
        <w:trPr>
          <w:trHeight w:val="6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Instituto Tlaxcalteca de Elecciones</w:t>
            </w:r>
          </w:p>
        </w:tc>
        <w:tc>
          <w:tcPr>
            <w:tcW w:w="1394"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75.0</w:t>
            </w:r>
          </w:p>
        </w:tc>
        <w:tc>
          <w:tcPr>
            <w:tcW w:w="168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84.7</w:t>
            </w:r>
          </w:p>
        </w:tc>
        <w:tc>
          <w:tcPr>
            <w:tcW w:w="203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80.0</w:t>
            </w:r>
          </w:p>
        </w:tc>
      </w:tr>
      <w:tr w:rsidR="00B8501C" w:rsidRPr="007F5A62" w:rsidTr="00B8501C">
        <w:trPr>
          <w:trHeight w:val="15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Instituto de Acceso a la Información Pública y Protección de Datos Personales</w:t>
            </w:r>
          </w:p>
        </w:tc>
        <w:tc>
          <w:tcPr>
            <w:tcW w:w="1394"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12.9</w:t>
            </w:r>
          </w:p>
        </w:tc>
        <w:tc>
          <w:tcPr>
            <w:tcW w:w="168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26.1</w:t>
            </w:r>
          </w:p>
        </w:tc>
        <w:tc>
          <w:tcPr>
            <w:tcW w:w="203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13.3</w:t>
            </w:r>
          </w:p>
        </w:tc>
      </w:tr>
      <w:tr w:rsidR="00B8501C" w:rsidRPr="007F5A62" w:rsidTr="00B8501C">
        <w:trPr>
          <w:trHeight w:val="9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Tribunal de Conciliación y Arbitraje</w:t>
            </w:r>
          </w:p>
        </w:tc>
        <w:tc>
          <w:tcPr>
            <w:tcW w:w="1394"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11.5</w:t>
            </w:r>
          </w:p>
        </w:tc>
        <w:tc>
          <w:tcPr>
            <w:tcW w:w="168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16.0</w:t>
            </w:r>
          </w:p>
        </w:tc>
        <w:tc>
          <w:tcPr>
            <w:tcW w:w="203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13.0</w:t>
            </w:r>
          </w:p>
        </w:tc>
      </w:tr>
      <w:tr w:rsidR="00B8501C" w:rsidRPr="007F5A62" w:rsidTr="00B8501C">
        <w:trPr>
          <w:trHeight w:val="615"/>
        </w:trPr>
        <w:tc>
          <w:tcPr>
            <w:tcW w:w="3671" w:type="dxa"/>
            <w:tcBorders>
              <w:top w:val="nil"/>
              <w:left w:val="single" w:sz="8" w:space="0" w:color="A6A6A6"/>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both"/>
              <w:rPr>
                <w:rFonts w:ascii="Arial" w:hAnsi="Arial" w:cs="Arial"/>
                <w:lang w:eastAsia="es-MX"/>
              </w:rPr>
            </w:pPr>
            <w:r w:rsidRPr="007F5A62">
              <w:rPr>
                <w:rFonts w:ascii="Arial" w:hAnsi="Arial" w:cs="Arial"/>
                <w:lang w:eastAsia="es-MX"/>
              </w:rPr>
              <w:t>Tribunal Electoral de Tlaxcala</w:t>
            </w:r>
          </w:p>
        </w:tc>
        <w:tc>
          <w:tcPr>
            <w:tcW w:w="1394"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20.8</w:t>
            </w:r>
          </w:p>
        </w:tc>
        <w:tc>
          <w:tcPr>
            <w:tcW w:w="168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25.3</w:t>
            </w:r>
          </w:p>
        </w:tc>
        <w:tc>
          <w:tcPr>
            <w:tcW w:w="2037" w:type="dxa"/>
            <w:tcBorders>
              <w:top w:val="nil"/>
              <w:left w:val="nil"/>
              <w:bottom w:val="single" w:sz="8" w:space="0" w:color="A6A6A6"/>
              <w:right w:val="single" w:sz="8" w:space="0" w:color="A6A6A6"/>
            </w:tcBorders>
            <w:shd w:val="clear" w:color="auto" w:fill="auto"/>
            <w:vAlign w:val="center"/>
            <w:hideMark/>
          </w:tcPr>
          <w:p w:rsidR="00B8501C" w:rsidRPr="007F5A62" w:rsidRDefault="00B8501C" w:rsidP="005F66CD">
            <w:pPr>
              <w:spacing w:line="360" w:lineRule="auto"/>
              <w:jc w:val="right"/>
              <w:rPr>
                <w:rFonts w:ascii="Arial" w:hAnsi="Arial" w:cs="Arial"/>
                <w:lang w:eastAsia="es-MX"/>
              </w:rPr>
            </w:pPr>
            <w:r w:rsidRPr="007F5A62">
              <w:rPr>
                <w:rFonts w:ascii="Arial" w:hAnsi="Arial" w:cs="Arial"/>
                <w:lang w:eastAsia="es-MX"/>
              </w:rPr>
              <w:t>25.3</w:t>
            </w:r>
          </w:p>
        </w:tc>
      </w:tr>
      <w:tr w:rsidR="00B8501C" w:rsidRPr="007F5A62" w:rsidTr="00B8501C">
        <w:trPr>
          <w:trHeight w:val="330"/>
        </w:trPr>
        <w:tc>
          <w:tcPr>
            <w:tcW w:w="3671" w:type="dxa"/>
            <w:tcBorders>
              <w:top w:val="nil"/>
              <w:left w:val="single" w:sz="8" w:space="0" w:color="A6A6A6"/>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center"/>
              <w:rPr>
                <w:rFonts w:ascii="Arial" w:hAnsi="Arial" w:cs="Arial"/>
                <w:b/>
                <w:bCs/>
                <w:lang w:eastAsia="es-MX"/>
              </w:rPr>
            </w:pPr>
            <w:r w:rsidRPr="007F5A62">
              <w:rPr>
                <w:rFonts w:ascii="Arial" w:hAnsi="Arial" w:cs="Arial"/>
                <w:b/>
                <w:bCs/>
                <w:lang w:eastAsia="es-MX"/>
              </w:rPr>
              <w:t>TOTAL</w:t>
            </w:r>
          </w:p>
        </w:tc>
        <w:tc>
          <w:tcPr>
            <w:tcW w:w="1394"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703.7</w:t>
            </w:r>
          </w:p>
        </w:tc>
        <w:tc>
          <w:tcPr>
            <w:tcW w:w="1687"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1,019.8</w:t>
            </w:r>
          </w:p>
        </w:tc>
        <w:tc>
          <w:tcPr>
            <w:tcW w:w="2037" w:type="dxa"/>
            <w:tcBorders>
              <w:top w:val="nil"/>
              <w:left w:val="nil"/>
              <w:bottom w:val="single" w:sz="8" w:space="0" w:color="A6A6A6"/>
              <w:right w:val="single" w:sz="8" w:space="0" w:color="A6A6A6"/>
            </w:tcBorders>
            <w:shd w:val="clear" w:color="000000" w:fill="CCCCCC"/>
            <w:vAlign w:val="center"/>
            <w:hideMark/>
          </w:tcPr>
          <w:p w:rsidR="00B8501C" w:rsidRPr="007F5A62" w:rsidRDefault="00B8501C" w:rsidP="005F66CD">
            <w:pPr>
              <w:spacing w:line="360" w:lineRule="auto"/>
              <w:jc w:val="right"/>
              <w:rPr>
                <w:rFonts w:ascii="Arial" w:hAnsi="Arial" w:cs="Arial"/>
                <w:b/>
                <w:bCs/>
                <w:lang w:eastAsia="es-MX"/>
              </w:rPr>
            </w:pPr>
            <w:r w:rsidRPr="007F5A62">
              <w:rPr>
                <w:rFonts w:ascii="Arial" w:hAnsi="Arial" w:cs="Arial"/>
                <w:b/>
                <w:bCs/>
                <w:lang w:eastAsia="es-MX"/>
              </w:rPr>
              <w:t>809.8</w:t>
            </w:r>
          </w:p>
        </w:tc>
      </w:tr>
    </w:tbl>
    <w:p w:rsidR="00B8501C" w:rsidRPr="007F5A62" w:rsidRDefault="00B8501C" w:rsidP="005F66CD">
      <w:pPr>
        <w:spacing w:line="360" w:lineRule="auto"/>
        <w:jc w:val="both"/>
        <w:rPr>
          <w:rFonts w:ascii="Arial" w:eastAsia="Calibri" w:hAnsi="Arial" w:cs="Arial"/>
          <w:b/>
          <w:i/>
        </w:rPr>
      </w:pPr>
      <w:r w:rsidRPr="007F5A62">
        <w:rPr>
          <w:rFonts w:ascii="Arial" w:eastAsia="Calibri" w:hAnsi="Arial" w:cs="Arial"/>
          <w:i/>
        </w:rPr>
        <w:t>*Cifras en millones de pesos.</w:t>
      </w:r>
    </w:p>
    <w:p w:rsidR="00B8501C" w:rsidRPr="007F5A62" w:rsidRDefault="00B8501C" w:rsidP="005F66CD">
      <w:pPr>
        <w:spacing w:line="360" w:lineRule="auto"/>
        <w:jc w:val="both"/>
        <w:rPr>
          <w:rFonts w:ascii="Arial" w:eastAsia="Calibri" w:hAnsi="Arial" w:cs="Arial"/>
          <w:b/>
        </w:rPr>
      </w:pPr>
    </w:p>
    <w:sectPr w:rsidR="00B8501C" w:rsidRPr="007F5A62" w:rsidSect="00711CF9">
      <w:footerReference w:type="default" r:id="rId40"/>
      <w:pgSz w:w="12240" w:h="15840"/>
      <w:pgMar w:top="2835" w:right="851" w:bottom="1242" w:left="323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E38" w:rsidRDefault="00253E38" w:rsidP="0037578E">
      <w:r>
        <w:separator/>
      </w:r>
    </w:p>
  </w:endnote>
  <w:endnote w:type="continuationSeparator" w:id="0">
    <w:p w:rsidR="00253E38" w:rsidRDefault="00253E38" w:rsidP="00375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font>
  <w:font w:name="Lohit Hindi">
    <w:altName w:val="MS Mincho"/>
    <w:charset w:val="80"/>
    <w:family w:val="auto"/>
    <w:pitch w:val="variable"/>
  </w:font>
  <w:font w:name="Calibri Light">
    <w:panose1 w:val="020F0302020204030204"/>
    <w:charset w:val="00"/>
    <w:family w:val="swiss"/>
    <w:pitch w:val="variable"/>
    <w:sig w:usb0="A00002EF" w:usb1="4000207B" w:usb2="00000000" w:usb3="00000000" w:csb0="0000019F" w:csb1="00000000"/>
  </w:font>
  <w:font w:name="Soberana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01C" w:rsidRDefault="00B8501C">
    <w:pPr>
      <w:pStyle w:val="Piedepgina"/>
      <w:jc w:val="right"/>
    </w:pPr>
    <w:r>
      <w:fldChar w:fldCharType="begin"/>
    </w:r>
    <w:r>
      <w:instrText>PAGE   \* MERGEFORMAT</w:instrText>
    </w:r>
    <w:r>
      <w:fldChar w:fldCharType="separate"/>
    </w:r>
    <w:r w:rsidR="00AD3533">
      <w:rPr>
        <w:noProof/>
      </w:rPr>
      <w:t>4</w:t>
    </w:r>
    <w:r>
      <w:fldChar w:fldCharType="end"/>
    </w:r>
  </w:p>
  <w:p w:rsidR="00B8501C" w:rsidRDefault="00B8501C" w:rsidP="00B8501C">
    <w:pPr>
      <w:pStyle w:val="Piedepgina"/>
      <w:spacing w:after="15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E38" w:rsidRDefault="00253E38" w:rsidP="0037578E">
      <w:r>
        <w:separator/>
      </w:r>
    </w:p>
  </w:footnote>
  <w:footnote w:type="continuationSeparator" w:id="0">
    <w:p w:rsidR="00253E38" w:rsidRDefault="00253E38" w:rsidP="0037578E">
      <w:r>
        <w:continuationSeparator/>
      </w:r>
    </w:p>
  </w:footnote>
  <w:footnote w:id="1">
    <w:p w:rsidR="00B8501C" w:rsidRDefault="00B8501C" w:rsidP="0037578E">
      <w:pPr>
        <w:pStyle w:val="Textonotapie"/>
        <w:rPr>
          <w:sz w:val="16"/>
        </w:rPr>
      </w:pPr>
      <w:r>
        <w:rPr>
          <w:rStyle w:val="Refdenotaalpie"/>
          <w:b/>
          <w:sz w:val="16"/>
        </w:rPr>
        <w:footnoteRef/>
      </w:r>
      <w:r>
        <w:rPr>
          <w:sz w:val="16"/>
        </w:rPr>
        <w:t xml:space="preserve"> Valuaciones Actuariales del Norte, S.C. Consultoría Actuarial.</w:t>
      </w:r>
    </w:p>
  </w:footnote>
  <w:footnote w:id="2">
    <w:p w:rsidR="00B8501C" w:rsidRDefault="00B8501C" w:rsidP="00B8501C">
      <w:pPr>
        <w:pStyle w:val="Textonotapie"/>
        <w:rPr>
          <w:sz w:val="16"/>
        </w:rPr>
      </w:pPr>
      <w:r>
        <w:rPr>
          <w:rStyle w:val="Refdenotaalpie"/>
          <w:b/>
          <w:sz w:val="16"/>
        </w:rPr>
        <w:footnoteRef/>
      </w:r>
      <w:r>
        <w:rPr>
          <w:sz w:val="16"/>
        </w:rPr>
        <w:t xml:space="preserve"> Valuaciones Actuariales del Norte, S.C. Consultoría Actuarial.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70A3BA7"/>
    <w:multiLevelType w:val="hybridMultilevel"/>
    <w:tmpl w:val="24D8E102"/>
    <w:lvl w:ilvl="0" w:tplc="D0DE75BC">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A03E3C"/>
    <w:multiLevelType w:val="hybridMultilevel"/>
    <w:tmpl w:val="A134F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182A69"/>
    <w:multiLevelType w:val="hybridMultilevel"/>
    <w:tmpl w:val="43323D2A"/>
    <w:lvl w:ilvl="0" w:tplc="FA70276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CD54C6"/>
    <w:multiLevelType w:val="hybridMultilevel"/>
    <w:tmpl w:val="894819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697622"/>
    <w:multiLevelType w:val="hybridMultilevel"/>
    <w:tmpl w:val="7D686EF2"/>
    <w:lvl w:ilvl="0" w:tplc="442223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C676F1"/>
    <w:multiLevelType w:val="hybridMultilevel"/>
    <w:tmpl w:val="9642F218"/>
    <w:lvl w:ilvl="0" w:tplc="199E1698">
      <w:start w:val="1"/>
      <w:numFmt w:val="lowerLetter"/>
      <w:lvlText w:val="%1)"/>
      <w:lvlJc w:val="left"/>
      <w:pPr>
        <w:ind w:left="720" w:hanging="360"/>
      </w:pPr>
      <w:rPr>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836CAF"/>
    <w:multiLevelType w:val="hybridMultilevel"/>
    <w:tmpl w:val="E70C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B71590"/>
    <w:multiLevelType w:val="hybridMultilevel"/>
    <w:tmpl w:val="C52820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9BE7C4F"/>
    <w:multiLevelType w:val="hybridMultilevel"/>
    <w:tmpl w:val="B12EA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824F46"/>
    <w:multiLevelType w:val="hybridMultilevel"/>
    <w:tmpl w:val="1D0E1B28"/>
    <w:lvl w:ilvl="0" w:tplc="7E5C234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C93244"/>
    <w:multiLevelType w:val="hybridMultilevel"/>
    <w:tmpl w:val="28BC35A0"/>
    <w:lvl w:ilvl="0" w:tplc="080A0017">
      <w:start w:val="1"/>
      <w:numFmt w:val="lowerLetter"/>
      <w:lvlText w:val="%1)"/>
      <w:lvlJc w:val="left"/>
      <w:pPr>
        <w:ind w:left="720" w:hanging="360"/>
      </w:pPr>
      <w:rPr>
        <w:rFonts w:hint="default"/>
      </w:rPr>
    </w:lvl>
    <w:lvl w:ilvl="1" w:tplc="83468B94">
      <w:numFmt w:val="bullet"/>
      <w:lvlText w:val=""/>
      <w:lvlJc w:val="left"/>
      <w:pPr>
        <w:ind w:left="1440" w:hanging="36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135E64"/>
    <w:multiLevelType w:val="hybridMultilevel"/>
    <w:tmpl w:val="E70C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4220534"/>
    <w:multiLevelType w:val="hybridMultilevel"/>
    <w:tmpl w:val="FDBE0C7E"/>
    <w:lvl w:ilvl="0" w:tplc="95C404F4">
      <w:start w:val="1"/>
      <w:numFmt w:val="lowerLetter"/>
      <w:lvlText w:val="%1)"/>
      <w:lvlJc w:val="left"/>
      <w:pPr>
        <w:ind w:left="720" w:hanging="360"/>
      </w:pPr>
      <w:rPr>
        <w:rFonts w:hint="default"/>
        <w:b/>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1E08DC"/>
    <w:multiLevelType w:val="hybridMultilevel"/>
    <w:tmpl w:val="9564831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4B3556"/>
    <w:multiLevelType w:val="hybridMultilevel"/>
    <w:tmpl w:val="B12EA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121794A"/>
    <w:multiLevelType w:val="hybridMultilevel"/>
    <w:tmpl w:val="E22EB6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C30C39"/>
    <w:multiLevelType w:val="hybridMultilevel"/>
    <w:tmpl w:val="DF209128"/>
    <w:lvl w:ilvl="0" w:tplc="2D96443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3A87740"/>
    <w:multiLevelType w:val="hybridMultilevel"/>
    <w:tmpl w:val="4A9A54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2C08B2"/>
    <w:multiLevelType w:val="hybridMultilevel"/>
    <w:tmpl w:val="05A60950"/>
    <w:lvl w:ilvl="0" w:tplc="080A000F">
      <w:start w:val="1"/>
      <w:numFmt w:val="decimal"/>
      <w:lvlText w:val="%1."/>
      <w:lvlJc w:val="left"/>
      <w:pPr>
        <w:ind w:left="720" w:hanging="360"/>
      </w:pPr>
      <w:rPr>
        <w:rFonts w:hint="default"/>
      </w:rPr>
    </w:lvl>
    <w:lvl w:ilvl="1" w:tplc="080A0011">
      <w:start w:val="1"/>
      <w:numFmt w:val="decimal"/>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A771271"/>
    <w:multiLevelType w:val="hybridMultilevel"/>
    <w:tmpl w:val="4606A306"/>
    <w:lvl w:ilvl="0" w:tplc="73AC09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6E69E9"/>
    <w:multiLevelType w:val="hybridMultilevel"/>
    <w:tmpl w:val="5CDA7654"/>
    <w:lvl w:ilvl="0" w:tplc="1F08F61E">
      <w:start w:val="1"/>
      <w:numFmt w:val="decimal"/>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23">
    <w:nsid w:val="74E95410"/>
    <w:multiLevelType w:val="hybridMultilevel"/>
    <w:tmpl w:val="44A28A1A"/>
    <w:lvl w:ilvl="0" w:tplc="31866904">
      <w:start w:val="1"/>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7FD7CEC"/>
    <w:multiLevelType w:val="hybridMultilevel"/>
    <w:tmpl w:val="28ACA2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7"/>
  </w:num>
  <w:num w:numId="4">
    <w:abstractNumId w:val="22"/>
  </w:num>
  <w:num w:numId="5">
    <w:abstractNumId w:val="5"/>
  </w:num>
  <w:num w:numId="6">
    <w:abstractNumId w:val="12"/>
  </w:num>
  <w:num w:numId="7">
    <w:abstractNumId w:val="11"/>
  </w:num>
  <w:num w:numId="8">
    <w:abstractNumId w:val="17"/>
  </w:num>
  <w:num w:numId="9">
    <w:abstractNumId w:val="2"/>
  </w:num>
  <w:num w:numId="10">
    <w:abstractNumId w:val="16"/>
  </w:num>
  <w:num w:numId="11">
    <w:abstractNumId w:val="24"/>
  </w:num>
  <w:num w:numId="12">
    <w:abstractNumId w:val="19"/>
  </w:num>
  <w:num w:numId="13">
    <w:abstractNumId w:val="4"/>
  </w:num>
  <w:num w:numId="14">
    <w:abstractNumId w:val="21"/>
  </w:num>
  <w:num w:numId="15">
    <w:abstractNumId w:val="1"/>
  </w:num>
  <w:num w:numId="16">
    <w:abstractNumId w:val="14"/>
  </w:num>
  <w:num w:numId="17">
    <w:abstractNumId w:val="8"/>
  </w:num>
  <w:num w:numId="18">
    <w:abstractNumId w:val="20"/>
  </w:num>
  <w:num w:numId="19">
    <w:abstractNumId w:val="18"/>
  </w:num>
  <w:num w:numId="20">
    <w:abstractNumId w:val="3"/>
  </w:num>
  <w:num w:numId="21">
    <w:abstractNumId w:val="15"/>
  </w:num>
  <w:num w:numId="22">
    <w:abstractNumId w:val="6"/>
  </w:num>
  <w:num w:numId="23">
    <w:abstractNumId w:val="23"/>
  </w:num>
  <w:num w:numId="24">
    <w:abstractNumId w:val="10"/>
  </w:num>
  <w:num w:numId="2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78E"/>
    <w:rsid w:val="00017584"/>
    <w:rsid w:val="001559A2"/>
    <w:rsid w:val="001F2F78"/>
    <w:rsid w:val="00220F6D"/>
    <w:rsid w:val="00253E38"/>
    <w:rsid w:val="00372711"/>
    <w:rsid w:val="0037578E"/>
    <w:rsid w:val="003D457A"/>
    <w:rsid w:val="00404E4A"/>
    <w:rsid w:val="00423BFC"/>
    <w:rsid w:val="004336DD"/>
    <w:rsid w:val="004A1725"/>
    <w:rsid w:val="00521596"/>
    <w:rsid w:val="00521EE6"/>
    <w:rsid w:val="005F66CD"/>
    <w:rsid w:val="006239B3"/>
    <w:rsid w:val="00626D20"/>
    <w:rsid w:val="00627CEC"/>
    <w:rsid w:val="0070499F"/>
    <w:rsid w:val="00711CF9"/>
    <w:rsid w:val="00765750"/>
    <w:rsid w:val="007A5775"/>
    <w:rsid w:val="007A6FDB"/>
    <w:rsid w:val="007D2807"/>
    <w:rsid w:val="007F2A68"/>
    <w:rsid w:val="00835955"/>
    <w:rsid w:val="009B2EE6"/>
    <w:rsid w:val="00A72206"/>
    <w:rsid w:val="00A94BE5"/>
    <w:rsid w:val="00AB32BA"/>
    <w:rsid w:val="00AD3533"/>
    <w:rsid w:val="00AF6BAD"/>
    <w:rsid w:val="00B408D6"/>
    <w:rsid w:val="00B572C1"/>
    <w:rsid w:val="00B8501C"/>
    <w:rsid w:val="00BA08B6"/>
    <w:rsid w:val="00CE2E85"/>
    <w:rsid w:val="00DC05D7"/>
    <w:rsid w:val="00DE1663"/>
    <w:rsid w:val="00DE7C9C"/>
    <w:rsid w:val="00EB2EF3"/>
    <w:rsid w:val="00F3036F"/>
    <w:rsid w:val="00F36D7A"/>
    <w:rsid w:val="00F76312"/>
    <w:rsid w:val="00FF58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A136ED-F902-4EBD-87D9-C3EF507A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78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7578E"/>
    <w:pPr>
      <w:keepNext/>
      <w:tabs>
        <w:tab w:val="left" w:pos="5580"/>
      </w:tabs>
      <w:jc w:val="center"/>
      <w:outlineLvl w:val="0"/>
    </w:pPr>
    <w:rPr>
      <w:b/>
      <w:lang w:val="en-US"/>
    </w:rPr>
  </w:style>
  <w:style w:type="paragraph" w:styleId="Ttulo2">
    <w:name w:val="heading 2"/>
    <w:basedOn w:val="Normal"/>
    <w:next w:val="Normal"/>
    <w:link w:val="Ttulo2Car"/>
    <w:qFormat/>
    <w:rsid w:val="0037578E"/>
    <w:pPr>
      <w:keepNext/>
      <w:numPr>
        <w:numId w:val="1"/>
      </w:numPr>
      <w:tabs>
        <w:tab w:val="clear" w:pos="1080"/>
      </w:tabs>
      <w:ind w:left="0" w:firstLine="0"/>
      <w:outlineLvl w:val="1"/>
    </w:pPr>
    <w:rPr>
      <w:b/>
      <w:bCs/>
      <w:lang w:val="es-MX"/>
    </w:rPr>
  </w:style>
  <w:style w:type="paragraph" w:styleId="Ttulo3">
    <w:name w:val="heading 3"/>
    <w:basedOn w:val="Normal"/>
    <w:next w:val="Normal"/>
    <w:link w:val="Ttulo3Car"/>
    <w:qFormat/>
    <w:rsid w:val="0037578E"/>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37578E"/>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37578E"/>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37578E"/>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37578E"/>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37578E"/>
    <w:pPr>
      <w:keepNext/>
      <w:jc w:val="both"/>
      <w:outlineLvl w:val="7"/>
    </w:pPr>
    <w:rPr>
      <w:rFonts w:ascii="Arial" w:hAnsi="Arial" w:cs="Arial"/>
      <w:b/>
      <w:bCs/>
      <w:color w:val="FF0000"/>
    </w:rPr>
  </w:style>
  <w:style w:type="paragraph" w:styleId="Ttulo9">
    <w:name w:val="heading 9"/>
    <w:basedOn w:val="Normal"/>
    <w:next w:val="Normal"/>
    <w:link w:val="Ttulo9Car"/>
    <w:qFormat/>
    <w:rsid w:val="0037578E"/>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7578E"/>
    <w:rPr>
      <w:rFonts w:ascii="Times New Roman" w:eastAsia="Times New Roman" w:hAnsi="Times New Roman" w:cs="Times New Roman"/>
      <w:b/>
      <w:sz w:val="24"/>
      <w:szCs w:val="24"/>
      <w:lang w:val="en-US" w:eastAsia="es-ES"/>
    </w:rPr>
  </w:style>
  <w:style w:type="character" w:customStyle="1" w:styleId="Ttulo2Car">
    <w:name w:val="Título 2 Car"/>
    <w:basedOn w:val="Fuentedeprrafopredeter"/>
    <w:link w:val="Ttulo2"/>
    <w:rsid w:val="0037578E"/>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7578E"/>
    <w:rPr>
      <w:rFonts w:ascii="Arial Narrow" w:eastAsia="Times New Roman" w:hAnsi="Arial Narrow" w:cs="Arial"/>
      <w:b/>
      <w:szCs w:val="24"/>
      <w:lang w:val="es-ES" w:eastAsia="es-ES"/>
    </w:rPr>
  </w:style>
  <w:style w:type="character" w:customStyle="1" w:styleId="Ttulo4Car">
    <w:name w:val="Título 4 Car"/>
    <w:basedOn w:val="Fuentedeprrafopredeter"/>
    <w:link w:val="Ttulo4"/>
    <w:rsid w:val="0037578E"/>
    <w:rPr>
      <w:rFonts w:ascii="Arial" w:eastAsia="Times New Roman" w:hAnsi="Arial" w:cs="Arial"/>
      <w:sz w:val="28"/>
      <w:szCs w:val="24"/>
      <w:lang w:val="es-ES" w:eastAsia="es-ES"/>
    </w:rPr>
  </w:style>
  <w:style w:type="character" w:customStyle="1" w:styleId="Ttulo5Car">
    <w:name w:val="Título 5 Car"/>
    <w:basedOn w:val="Fuentedeprrafopredeter"/>
    <w:link w:val="Ttulo5"/>
    <w:rsid w:val="0037578E"/>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37578E"/>
    <w:rPr>
      <w:rFonts w:ascii="Arial Narrow" w:eastAsia="Times New Roman" w:hAnsi="Arial Narrow" w:cs="Arial"/>
      <w:b/>
      <w:szCs w:val="24"/>
      <w:lang w:val="es-ES" w:eastAsia="es-ES"/>
    </w:rPr>
  </w:style>
  <w:style w:type="character" w:customStyle="1" w:styleId="Ttulo7Car">
    <w:name w:val="Título 7 Car"/>
    <w:basedOn w:val="Fuentedeprrafopredeter"/>
    <w:link w:val="Ttulo7"/>
    <w:rsid w:val="0037578E"/>
    <w:rPr>
      <w:rFonts w:ascii="Arial" w:eastAsia="Times New Roman" w:hAnsi="Arial" w:cs="Arial"/>
      <w:b/>
      <w:bCs/>
      <w:sz w:val="20"/>
      <w:szCs w:val="24"/>
      <w:lang w:val="es-ES" w:eastAsia="es-ES"/>
    </w:rPr>
  </w:style>
  <w:style w:type="character" w:customStyle="1" w:styleId="Ttulo8Car">
    <w:name w:val="Título 8 Car"/>
    <w:basedOn w:val="Fuentedeprrafopredeter"/>
    <w:link w:val="Ttulo8"/>
    <w:rsid w:val="0037578E"/>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rsid w:val="0037578E"/>
    <w:rPr>
      <w:rFonts w:ascii="Arial" w:eastAsia="Times New Roman" w:hAnsi="Arial" w:cs="Times New Roman"/>
      <w:sz w:val="24"/>
      <w:szCs w:val="20"/>
      <w:lang w:val="es-ES" w:eastAsia="es-ES"/>
    </w:rPr>
  </w:style>
  <w:style w:type="paragraph" w:styleId="Textoindependiente">
    <w:name w:val="Body Text"/>
    <w:basedOn w:val="Normal"/>
    <w:link w:val="TextoindependienteCar"/>
    <w:rsid w:val="0037578E"/>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37578E"/>
    <w:rPr>
      <w:rFonts w:ascii="Arial" w:eastAsia="Times New Roman" w:hAnsi="Arial" w:cs="Arial"/>
      <w:b/>
      <w:bCs/>
      <w:sz w:val="20"/>
      <w:szCs w:val="24"/>
      <w:lang w:val="es-ES" w:eastAsia="es-ES"/>
    </w:rPr>
  </w:style>
  <w:style w:type="paragraph" w:styleId="Textoindependiente3">
    <w:name w:val="Body Text 3"/>
    <w:basedOn w:val="Normal"/>
    <w:link w:val="Textoindependiente3Car"/>
    <w:rsid w:val="0037578E"/>
    <w:pPr>
      <w:spacing w:line="360" w:lineRule="auto"/>
      <w:jc w:val="both"/>
    </w:pPr>
    <w:rPr>
      <w:rFonts w:ascii="Arial" w:hAnsi="Arial"/>
      <w:sz w:val="20"/>
    </w:rPr>
  </w:style>
  <w:style w:type="character" w:customStyle="1" w:styleId="Textoindependiente3Car">
    <w:name w:val="Texto independiente 3 Car"/>
    <w:basedOn w:val="Fuentedeprrafopredeter"/>
    <w:link w:val="Textoindependiente3"/>
    <w:rsid w:val="0037578E"/>
    <w:rPr>
      <w:rFonts w:ascii="Arial" w:eastAsia="Times New Roman" w:hAnsi="Arial" w:cs="Times New Roman"/>
      <w:sz w:val="20"/>
      <w:szCs w:val="24"/>
      <w:lang w:val="es-ES" w:eastAsia="es-ES"/>
    </w:rPr>
  </w:style>
  <w:style w:type="paragraph" w:styleId="Textoindependiente2">
    <w:name w:val="Body Text 2"/>
    <w:basedOn w:val="Normal"/>
    <w:link w:val="Textoindependiente2Car"/>
    <w:rsid w:val="0037578E"/>
    <w:rPr>
      <w:rFonts w:ascii="Tahoma" w:hAnsi="Tahoma" w:cs="Tahoma"/>
      <w:sz w:val="28"/>
      <w:lang w:val="es-MX"/>
    </w:rPr>
  </w:style>
  <w:style w:type="character" w:customStyle="1" w:styleId="Textoindependiente2Car">
    <w:name w:val="Texto independiente 2 Car"/>
    <w:basedOn w:val="Fuentedeprrafopredeter"/>
    <w:link w:val="Textoindependiente2"/>
    <w:rsid w:val="0037578E"/>
    <w:rPr>
      <w:rFonts w:ascii="Tahoma" w:eastAsia="Times New Roman" w:hAnsi="Tahoma" w:cs="Tahoma"/>
      <w:sz w:val="28"/>
      <w:szCs w:val="24"/>
      <w:lang w:eastAsia="es-ES"/>
    </w:rPr>
  </w:style>
  <w:style w:type="paragraph" w:customStyle="1" w:styleId="PRIMERAPLANA">
    <w:name w:val="PRIMERA PLANA"/>
    <w:basedOn w:val="Normal"/>
    <w:rsid w:val="0037578E"/>
    <w:pPr>
      <w:jc w:val="both"/>
    </w:pPr>
    <w:rPr>
      <w:rFonts w:ascii="Arial" w:hAnsi="Arial"/>
      <w:sz w:val="20"/>
      <w:szCs w:val="20"/>
      <w:lang w:val="es-ES_tradnl"/>
    </w:rPr>
  </w:style>
  <w:style w:type="paragraph" w:styleId="NormalWeb">
    <w:name w:val="Normal (Web)"/>
    <w:basedOn w:val="Normal"/>
    <w:uiPriority w:val="99"/>
    <w:rsid w:val="0037578E"/>
    <w:pPr>
      <w:spacing w:before="100" w:beforeAutospacing="1" w:after="100" w:afterAutospacing="1"/>
    </w:pPr>
  </w:style>
  <w:style w:type="paragraph" w:customStyle="1" w:styleId="Default">
    <w:name w:val="Default"/>
    <w:rsid w:val="0037578E"/>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iedepgina">
    <w:name w:val="footer"/>
    <w:basedOn w:val="Normal"/>
    <w:link w:val="PiedepginaCar"/>
    <w:uiPriority w:val="99"/>
    <w:rsid w:val="0037578E"/>
    <w:pPr>
      <w:tabs>
        <w:tab w:val="center" w:pos="4419"/>
        <w:tab w:val="right" w:pos="8838"/>
      </w:tabs>
    </w:pPr>
  </w:style>
  <w:style w:type="character" w:customStyle="1" w:styleId="PiedepginaCar">
    <w:name w:val="Pie de página Car"/>
    <w:basedOn w:val="Fuentedeprrafopredeter"/>
    <w:link w:val="Piedepgina"/>
    <w:uiPriority w:val="99"/>
    <w:rsid w:val="0037578E"/>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7578E"/>
  </w:style>
  <w:style w:type="paragraph" w:styleId="Encabezado">
    <w:name w:val="header"/>
    <w:basedOn w:val="Normal"/>
    <w:link w:val="EncabezadoCar"/>
    <w:rsid w:val="0037578E"/>
    <w:pPr>
      <w:tabs>
        <w:tab w:val="center" w:pos="4419"/>
        <w:tab w:val="right" w:pos="8838"/>
      </w:tabs>
    </w:pPr>
  </w:style>
  <w:style w:type="character" w:customStyle="1" w:styleId="EncabezadoCar">
    <w:name w:val="Encabezado Car"/>
    <w:basedOn w:val="Fuentedeprrafopredeter"/>
    <w:link w:val="Encabezado"/>
    <w:rsid w:val="0037578E"/>
    <w:rPr>
      <w:rFonts w:ascii="Times New Roman" w:eastAsia="Times New Roman" w:hAnsi="Times New Roman" w:cs="Times New Roman"/>
      <w:sz w:val="24"/>
      <w:szCs w:val="24"/>
      <w:lang w:val="es-ES" w:eastAsia="es-ES"/>
    </w:rPr>
  </w:style>
  <w:style w:type="character" w:styleId="Hipervnculo">
    <w:name w:val="Hyperlink"/>
    <w:uiPriority w:val="99"/>
    <w:unhideWhenUsed/>
    <w:rsid w:val="0037578E"/>
    <w:rPr>
      <w:color w:val="0000FF"/>
      <w:u w:val="single"/>
    </w:rPr>
  </w:style>
  <w:style w:type="paragraph" w:styleId="Prrafodelista">
    <w:name w:val="List Paragraph"/>
    <w:basedOn w:val="Normal"/>
    <w:uiPriority w:val="34"/>
    <w:qFormat/>
    <w:rsid w:val="0037578E"/>
    <w:pPr>
      <w:ind w:left="708"/>
    </w:pPr>
  </w:style>
  <w:style w:type="character" w:customStyle="1" w:styleId="Sangra2detindependienteCar">
    <w:name w:val="Sangría 2 de t. independiente Car"/>
    <w:basedOn w:val="Fuentedeprrafopredeter"/>
    <w:link w:val="Sangra2detindependiente"/>
    <w:uiPriority w:val="99"/>
    <w:semiHidden/>
    <w:rsid w:val="0037578E"/>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semiHidden/>
    <w:unhideWhenUsed/>
    <w:rsid w:val="0037578E"/>
    <w:pPr>
      <w:spacing w:after="120" w:line="480" w:lineRule="auto"/>
      <w:ind w:left="283"/>
    </w:pPr>
  </w:style>
  <w:style w:type="character" w:customStyle="1" w:styleId="A12">
    <w:name w:val="A12"/>
    <w:uiPriority w:val="99"/>
    <w:rsid w:val="0037578E"/>
    <w:rPr>
      <w:rFonts w:cs="Univers LT"/>
      <w:b/>
      <w:bCs/>
      <w:color w:val="000000"/>
      <w:sz w:val="97"/>
      <w:szCs w:val="97"/>
    </w:rPr>
  </w:style>
  <w:style w:type="character" w:customStyle="1" w:styleId="TextodegloboCar">
    <w:name w:val="Texto de globo Car"/>
    <w:basedOn w:val="Fuentedeprrafopredeter"/>
    <w:link w:val="Textodeglobo"/>
    <w:uiPriority w:val="99"/>
    <w:rsid w:val="0037578E"/>
    <w:rPr>
      <w:rFonts w:ascii="Tahoma" w:eastAsia="Times New Roman" w:hAnsi="Tahoma" w:cs="Times New Roman"/>
      <w:sz w:val="16"/>
      <w:szCs w:val="16"/>
      <w:lang w:val="es-ES" w:eastAsia="es-ES"/>
    </w:rPr>
  </w:style>
  <w:style w:type="paragraph" w:styleId="Textodeglobo">
    <w:name w:val="Balloon Text"/>
    <w:basedOn w:val="Normal"/>
    <w:link w:val="TextodegloboCar"/>
    <w:uiPriority w:val="99"/>
    <w:unhideWhenUsed/>
    <w:rsid w:val="0037578E"/>
    <w:rPr>
      <w:rFonts w:ascii="Tahoma" w:hAnsi="Tahoma"/>
      <w:sz w:val="16"/>
      <w:szCs w:val="16"/>
    </w:rPr>
  </w:style>
  <w:style w:type="character" w:styleId="nfasis">
    <w:name w:val="Emphasis"/>
    <w:uiPriority w:val="20"/>
    <w:qFormat/>
    <w:rsid w:val="0037578E"/>
    <w:rPr>
      <w:i/>
      <w:iCs/>
    </w:rPr>
  </w:style>
  <w:style w:type="paragraph" w:styleId="Citadestacada">
    <w:name w:val="Intense Quote"/>
    <w:basedOn w:val="Normal"/>
    <w:next w:val="Normal"/>
    <w:link w:val="CitadestacadaCar"/>
    <w:uiPriority w:val="30"/>
    <w:qFormat/>
    <w:rsid w:val="0037578E"/>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37578E"/>
    <w:rPr>
      <w:rFonts w:ascii="Calibri" w:eastAsia="Calibri" w:hAnsi="Calibri" w:cs="Times New Roman"/>
      <w:b/>
      <w:bCs/>
      <w:i/>
      <w:iCs/>
      <w:color w:val="4F81BD"/>
      <w:lang w:val="es-ES"/>
    </w:rPr>
  </w:style>
  <w:style w:type="paragraph" w:styleId="Textonotapie">
    <w:name w:val="footnote text"/>
    <w:basedOn w:val="Normal"/>
    <w:link w:val="TextonotapieCar"/>
    <w:uiPriority w:val="99"/>
    <w:semiHidden/>
    <w:unhideWhenUsed/>
    <w:rsid w:val="0037578E"/>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37578E"/>
    <w:rPr>
      <w:rFonts w:ascii="Calibri" w:eastAsia="Calibri" w:hAnsi="Calibri" w:cs="Times New Roman"/>
      <w:sz w:val="20"/>
      <w:szCs w:val="20"/>
      <w:lang w:val="es-ES"/>
    </w:rPr>
  </w:style>
  <w:style w:type="character" w:styleId="Refdenotaalpie">
    <w:name w:val="footnote reference"/>
    <w:uiPriority w:val="99"/>
    <w:semiHidden/>
    <w:unhideWhenUsed/>
    <w:rsid w:val="0037578E"/>
    <w:rPr>
      <w:vertAlign w:val="superscript"/>
    </w:rPr>
  </w:style>
  <w:style w:type="character" w:customStyle="1" w:styleId="apple-converted-space">
    <w:name w:val="apple-converted-space"/>
    <w:basedOn w:val="Fuentedeprrafopredeter"/>
    <w:rsid w:val="0037578E"/>
  </w:style>
  <w:style w:type="character" w:styleId="Textoennegrita">
    <w:name w:val="Strong"/>
    <w:uiPriority w:val="22"/>
    <w:qFormat/>
    <w:rsid w:val="0037578E"/>
    <w:rPr>
      <w:b/>
      <w:bCs/>
    </w:rPr>
  </w:style>
  <w:style w:type="paragraph" w:customStyle="1" w:styleId="xl63">
    <w:name w:val="xl63"/>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37578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37578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3757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37578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37578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37578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37578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37578E"/>
    <w:pPr>
      <w:spacing w:before="100" w:beforeAutospacing="1" w:after="100" w:afterAutospacing="1"/>
    </w:pPr>
    <w:rPr>
      <w:sz w:val="16"/>
      <w:szCs w:val="16"/>
      <w:lang w:val="es-MX" w:eastAsia="es-MX"/>
    </w:rPr>
  </w:style>
  <w:style w:type="paragraph" w:customStyle="1" w:styleId="xl91">
    <w:name w:val="xl91"/>
    <w:basedOn w:val="Normal"/>
    <w:rsid w:val="0037578E"/>
    <w:pPr>
      <w:spacing w:before="100" w:beforeAutospacing="1" w:after="100" w:afterAutospacing="1"/>
    </w:pPr>
    <w:rPr>
      <w:sz w:val="16"/>
      <w:szCs w:val="16"/>
      <w:lang w:val="es-MX" w:eastAsia="es-MX"/>
    </w:rPr>
  </w:style>
  <w:style w:type="paragraph" w:customStyle="1" w:styleId="xl92">
    <w:name w:val="xl92"/>
    <w:basedOn w:val="Normal"/>
    <w:rsid w:val="0037578E"/>
    <w:pPr>
      <w:spacing w:before="100" w:beforeAutospacing="1" w:after="100" w:afterAutospacing="1"/>
      <w:textAlignment w:val="center"/>
    </w:pPr>
    <w:rPr>
      <w:sz w:val="16"/>
      <w:szCs w:val="16"/>
      <w:lang w:val="es-MX" w:eastAsia="es-MX"/>
    </w:rPr>
  </w:style>
  <w:style w:type="paragraph" w:customStyle="1" w:styleId="xl93">
    <w:name w:val="xl93"/>
    <w:basedOn w:val="Normal"/>
    <w:rsid w:val="0037578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37578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3757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37578E"/>
    <w:pPr>
      <w:spacing w:before="100" w:beforeAutospacing="1" w:after="100" w:afterAutospacing="1"/>
    </w:pPr>
    <w:rPr>
      <w:sz w:val="16"/>
      <w:szCs w:val="16"/>
      <w:lang w:val="es-MX" w:eastAsia="es-MX"/>
    </w:rPr>
  </w:style>
  <w:style w:type="character" w:customStyle="1" w:styleId="TextocomentarioCar">
    <w:name w:val="Texto comentario Car"/>
    <w:basedOn w:val="Fuentedeprrafopredeter"/>
    <w:link w:val="Textocomentario"/>
    <w:uiPriority w:val="99"/>
    <w:rsid w:val="0037578E"/>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unhideWhenUsed/>
    <w:rsid w:val="0037578E"/>
    <w:rPr>
      <w:sz w:val="20"/>
      <w:szCs w:val="20"/>
    </w:rPr>
  </w:style>
  <w:style w:type="character" w:customStyle="1" w:styleId="AsuntodelcomentarioCar">
    <w:name w:val="Asunto del comentario Car"/>
    <w:basedOn w:val="TextocomentarioCar"/>
    <w:link w:val="Asuntodelcomentario"/>
    <w:uiPriority w:val="99"/>
    <w:semiHidden/>
    <w:rsid w:val="0037578E"/>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7578E"/>
    <w:rPr>
      <w:b/>
      <w:bCs/>
    </w:rPr>
  </w:style>
  <w:style w:type="paragraph" w:customStyle="1" w:styleId="Texto">
    <w:name w:val="Texto"/>
    <w:basedOn w:val="Normal"/>
    <w:link w:val="TextoCar"/>
    <w:qFormat/>
    <w:rsid w:val="0037578E"/>
    <w:pPr>
      <w:spacing w:after="101" w:line="216" w:lineRule="exact"/>
      <w:ind w:firstLine="288"/>
      <w:jc w:val="both"/>
    </w:pPr>
    <w:rPr>
      <w:rFonts w:ascii="Arial" w:hAnsi="Arial" w:cs="Arial"/>
      <w:sz w:val="18"/>
      <w:szCs w:val="20"/>
    </w:rPr>
  </w:style>
  <w:style w:type="character" w:customStyle="1" w:styleId="TextoCar">
    <w:name w:val="Texto Car"/>
    <w:link w:val="Texto"/>
    <w:locked/>
    <w:rsid w:val="0037578E"/>
    <w:rPr>
      <w:rFonts w:ascii="Arial" w:eastAsia="Times New Roman" w:hAnsi="Arial" w:cs="Arial"/>
      <w:sz w:val="18"/>
      <w:szCs w:val="20"/>
      <w:lang w:val="es-ES" w:eastAsia="es-ES"/>
    </w:rPr>
  </w:style>
  <w:style w:type="paragraph" w:styleId="Textosinformato">
    <w:name w:val="Plain Text"/>
    <w:basedOn w:val="Normal"/>
    <w:link w:val="TextosinformatoCar"/>
    <w:rsid w:val="0037578E"/>
    <w:rPr>
      <w:rFonts w:ascii="Courier New" w:hAnsi="Courier New" w:cs="Courier New"/>
      <w:sz w:val="20"/>
      <w:szCs w:val="20"/>
    </w:rPr>
  </w:style>
  <w:style w:type="character" w:customStyle="1" w:styleId="TextosinformatoCar">
    <w:name w:val="Texto sin formato Car"/>
    <w:basedOn w:val="Fuentedeprrafopredeter"/>
    <w:link w:val="Textosinformato"/>
    <w:rsid w:val="0037578E"/>
    <w:rPr>
      <w:rFonts w:ascii="Courier New" w:eastAsia="Times New Roman" w:hAnsi="Courier New" w:cs="Courier New"/>
      <w:sz w:val="20"/>
      <w:szCs w:val="20"/>
      <w:lang w:val="es-ES" w:eastAsia="es-ES"/>
    </w:rPr>
  </w:style>
  <w:style w:type="numbering" w:customStyle="1" w:styleId="Sinlista1">
    <w:name w:val="Sin lista1"/>
    <w:next w:val="Sinlista"/>
    <w:uiPriority w:val="99"/>
    <w:semiHidden/>
    <w:unhideWhenUsed/>
    <w:rsid w:val="00B8501C"/>
  </w:style>
  <w:style w:type="table" w:styleId="Tablaconcuadrcula">
    <w:name w:val="Table Grid"/>
    <w:basedOn w:val="Tablanormal"/>
    <w:uiPriority w:val="39"/>
    <w:rsid w:val="00B8501C"/>
    <w:pPr>
      <w:spacing w:after="0" w:line="240" w:lineRule="auto"/>
    </w:pPr>
    <w:rPr>
      <w:rFonts w:ascii="Arial" w:eastAsia="Calibri" w:hAnsi="Arial" w:cs="Arial"/>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B8501C"/>
    <w:rPr>
      <w:sz w:val="16"/>
      <w:szCs w:val="16"/>
    </w:rPr>
  </w:style>
  <w:style w:type="paragraph" w:styleId="Revisin">
    <w:name w:val="Revision"/>
    <w:hidden/>
    <w:uiPriority w:val="99"/>
    <w:semiHidden/>
    <w:rsid w:val="00B8501C"/>
    <w:pPr>
      <w:spacing w:after="0" w:line="240" w:lineRule="auto"/>
    </w:pPr>
    <w:rPr>
      <w:rFonts w:ascii="Arial" w:eastAsia="Calibri" w:hAnsi="Arial" w:cs="Arial"/>
      <w:sz w:val="24"/>
      <w:szCs w:val="24"/>
    </w:rPr>
  </w:style>
  <w:style w:type="numbering" w:customStyle="1" w:styleId="Sinlista11">
    <w:name w:val="Sin lista11"/>
    <w:next w:val="Sinlista"/>
    <w:uiPriority w:val="99"/>
    <w:semiHidden/>
    <w:unhideWhenUsed/>
    <w:rsid w:val="00B8501C"/>
  </w:style>
  <w:style w:type="paragraph" w:customStyle="1" w:styleId="Estilo">
    <w:name w:val="Estilo"/>
    <w:basedOn w:val="Sinespaciado"/>
    <w:link w:val="EstiloCar"/>
    <w:qFormat/>
    <w:rsid w:val="00B8501C"/>
    <w:rPr>
      <w:rFonts w:ascii="Arial" w:eastAsia="Times New Roman" w:hAnsi="Arial"/>
      <w:sz w:val="20"/>
    </w:rPr>
  </w:style>
  <w:style w:type="paragraph" w:styleId="Sinespaciado">
    <w:name w:val="No Spacing"/>
    <w:link w:val="SinespaciadoCar"/>
    <w:uiPriority w:val="1"/>
    <w:qFormat/>
    <w:rsid w:val="00B8501C"/>
    <w:pPr>
      <w:spacing w:after="0" w:line="240" w:lineRule="auto"/>
      <w:jc w:val="both"/>
    </w:pPr>
    <w:rPr>
      <w:rFonts w:ascii="Calibri" w:eastAsia="Calibri" w:hAnsi="Calibri" w:cs="Times New Roman"/>
      <w:lang w:val="es-ES" w:eastAsia="es-ES"/>
    </w:rPr>
  </w:style>
  <w:style w:type="character" w:customStyle="1" w:styleId="EstiloCar">
    <w:name w:val="Estilo Car"/>
    <w:link w:val="Estilo"/>
    <w:rsid w:val="00B8501C"/>
    <w:rPr>
      <w:rFonts w:ascii="Arial" w:eastAsia="Times New Roman" w:hAnsi="Arial" w:cs="Times New Roman"/>
      <w:sz w:val="20"/>
      <w:lang w:val="es-ES" w:eastAsia="es-ES"/>
    </w:rPr>
  </w:style>
  <w:style w:type="character" w:customStyle="1" w:styleId="TextodegloboCar1">
    <w:name w:val="Texto de globo Car1"/>
    <w:uiPriority w:val="99"/>
    <w:semiHidden/>
    <w:rsid w:val="00B8501C"/>
    <w:rPr>
      <w:rFonts w:ascii="Tahoma" w:hAnsi="Tahoma" w:cs="Tahoma"/>
      <w:sz w:val="16"/>
      <w:szCs w:val="16"/>
    </w:rPr>
  </w:style>
  <w:style w:type="character" w:customStyle="1" w:styleId="PuestoCar">
    <w:name w:val="Puesto Car"/>
    <w:link w:val="Puesto"/>
    <w:rsid w:val="00B8501C"/>
    <w:rPr>
      <w:rFonts w:ascii="Cambria" w:eastAsia="Times New Roman" w:hAnsi="Cambria" w:cs="Times New Roman"/>
      <w:color w:val="17365D"/>
      <w:spacing w:val="5"/>
      <w:kern w:val="28"/>
      <w:sz w:val="52"/>
      <w:szCs w:val="52"/>
      <w:lang w:val="es-ES" w:eastAsia="es-ES"/>
    </w:rPr>
  </w:style>
  <w:style w:type="character" w:styleId="Ttulodellibro">
    <w:name w:val="Book Title"/>
    <w:uiPriority w:val="33"/>
    <w:qFormat/>
    <w:rsid w:val="00B8501C"/>
    <w:rPr>
      <w:b/>
      <w:bCs/>
      <w:smallCaps/>
      <w:spacing w:val="5"/>
    </w:rPr>
  </w:style>
  <w:style w:type="character" w:styleId="Referenciasutil">
    <w:name w:val="Subtle Reference"/>
    <w:uiPriority w:val="31"/>
    <w:qFormat/>
    <w:rsid w:val="00B8501C"/>
    <w:rPr>
      <w:smallCaps/>
      <w:color w:val="C0504D"/>
      <w:u w:val="single"/>
    </w:rPr>
  </w:style>
  <w:style w:type="paragraph" w:customStyle="1" w:styleId="Estilo2">
    <w:name w:val="Estilo2"/>
    <w:basedOn w:val="Estilo"/>
    <w:link w:val="Estilo2Car"/>
    <w:rsid w:val="00B8501C"/>
    <w:pPr>
      <w:spacing w:line="360" w:lineRule="auto"/>
    </w:pPr>
  </w:style>
  <w:style w:type="character" w:customStyle="1" w:styleId="Estilo2Car">
    <w:name w:val="Estilo2 Car"/>
    <w:link w:val="Estilo2"/>
    <w:rsid w:val="00B8501C"/>
    <w:rPr>
      <w:rFonts w:ascii="Arial" w:eastAsia="Times New Roman" w:hAnsi="Arial" w:cs="Times New Roman"/>
      <w:sz w:val="20"/>
      <w:lang w:val="es-ES" w:eastAsia="es-ES"/>
    </w:rPr>
  </w:style>
  <w:style w:type="paragraph" w:customStyle="1" w:styleId="WW-BodyText2">
    <w:name w:val="WW-Body Text 2"/>
    <w:basedOn w:val="Normal"/>
    <w:rsid w:val="00B8501C"/>
    <w:pPr>
      <w:suppressAutoHyphens/>
      <w:ind w:right="424"/>
      <w:jc w:val="both"/>
    </w:pPr>
    <w:rPr>
      <w:rFonts w:ascii="Arial" w:hAnsi="Arial" w:cs="Arial"/>
      <w:szCs w:val="20"/>
      <w:lang w:val="es-ES_tradnl" w:eastAsia="ar-SA"/>
    </w:rPr>
  </w:style>
  <w:style w:type="character" w:customStyle="1" w:styleId="AsuntodelcomentarioCar1">
    <w:name w:val="Asunto del comentario Car1"/>
    <w:basedOn w:val="TextocomentarioCar"/>
    <w:uiPriority w:val="99"/>
    <w:rsid w:val="00B8501C"/>
    <w:rPr>
      <w:rFonts w:ascii="Calibri" w:eastAsia="Times New Roman" w:hAnsi="Calibri" w:cs="Times New Roman"/>
      <w:b/>
      <w:bCs/>
      <w:sz w:val="20"/>
      <w:szCs w:val="20"/>
      <w:lang w:val="es-ES" w:eastAsia="es-ES"/>
    </w:rPr>
  </w:style>
  <w:style w:type="paragraph" w:customStyle="1" w:styleId="Textoindependiente22">
    <w:name w:val="Texto independiente 22"/>
    <w:basedOn w:val="Normal"/>
    <w:rsid w:val="00B8501C"/>
    <w:pPr>
      <w:overflowPunct w:val="0"/>
      <w:autoSpaceDE w:val="0"/>
      <w:autoSpaceDN w:val="0"/>
      <w:adjustRightInd w:val="0"/>
      <w:ind w:right="424"/>
      <w:jc w:val="both"/>
      <w:textAlignment w:val="baseline"/>
    </w:pPr>
    <w:rPr>
      <w:rFonts w:ascii="Arial" w:hAnsi="Arial"/>
      <w:szCs w:val="20"/>
      <w:lang w:val="es-ES_tradnl"/>
    </w:rPr>
  </w:style>
  <w:style w:type="paragraph" w:styleId="Sangra3detindependiente">
    <w:name w:val="Body Text Indent 3"/>
    <w:basedOn w:val="Normal"/>
    <w:link w:val="Sangra3detindependienteCar"/>
    <w:rsid w:val="00B8501C"/>
    <w:pPr>
      <w:spacing w:after="120"/>
      <w:ind w:left="283"/>
    </w:pPr>
    <w:rPr>
      <w:sz w:val="16"/>
      <w:szCs w:val="16"/>
      <w:lang w:val="es-MX" w:eastAsia="es-MX"/>
    </w:rPr>
  </w:style>
  <w:style w:type="character" w:customStyle="1" w:styleId="Sangra3detindependienteCar">
    <w:name w:val="Sangría 3 de t. independiente Car"/>
    <w:basedOn w:val="Fuentedeprrafopredeter"/>
    <w:link w:val="Sangra3detindependiente"/>
    <w:rsid w:val="00B8501C"/>
    <w:rPr>
      <w:rFonts w:ascii="Times New Roman" w:eastAsia="Times New Roman" w:hAnsi="Times New Roman" w:cs="Times New Roman"/>
      <w:sz w:val="16"/>
      <w:szCs w:val="16"/>
      <w:lang w:eastAsia="es-MX"/>
    </w:rPr>
  </w:style>
  <w:style w:type="paragraph" w:customStyle="1" w:styleId="xl30">
    <w:name w:val="xl30"/>
    <w:basedOn w:val="Normal"/>
    <w:rsid w:val="00B8501C"/>
    <w:pPr>
      <w:spacing w:before="100" w:beforeAutospacing="1" w:after="100" w:afterAutospacing="1"/>
    </w:pPr>
    <w:rPr>
      <w:rFonts w:ascii="Arial" w:eastAsia="Arial Unicode MS" w:hAnsi="Arial" w:cs="Arial"/>
    </w:rPr>
  </w:style>
  <w:style w:type="character" w:customStyle="1" w:styleId="SinespaciadoCar">
    <w:name w:val="Sin espaciado Car"/>
    <w:link w:val="Sinespaciado"/>
    <w:uiPriority w:val="1"/>
    <w:rsid w:val="00B8501C"/>
    <w:rPr>
      <w:rFonts w:ascii="Calibri" w:eastAsia="Calibri" w:hAnsi="Calibri" w:cs="Times New Roman"/>
      <w:lang w:val="es-ES" w:eastAsia="es-ES"/>
    </w:rPr>
  </w:style>
  <w:style w:type="character" w:styleId="Hipervnculovisitado">
    <w:name w:val="FollowedHyperlink"/>
    <w:uiPriority w:val="99"/>
    <w:semiHidden/>
    <w:unhideWhenUsed/>
    <w:rsid w:val="00B8501C"/>
    <w:rPr>
      <w:color w:val="800080"/>
      <w:u w:val="single"/>
    </w:rPr>
  </w:style>
  <w:style w:type="character" w:customStyle="1" w:styleId="ANOTACIONCar">
    <w:name w:val="ANOTACION Car"/>
    <w:link w:val="ANOTACION"/>
    <w:locked/>
    <w:rsid w:val="00B8501C"/>
    <w:rPr>
      <w:b/>
      <w:bCs/>
      <w:lang w:eastAsia="es-ES"/>
    </w:rPr>
  </w:style>
  <w:style w:type="paragraph" w:customStyle="1" w:styleId="ANOTACION">
    <w:name w:val="ANOTACION"/>
    <w:basedOn w:val="Normal"/>
    <w:link w:val="ANOTACIONCar"/>
    <w:rsid w:val="00B8501C"/>
    <w:pPr>
      <w:spacing w:before="101" w:after="101" w:line="216" w:lineRule="atLeast"/>
      <w:jc w:val="center"/>
    </w:pPr>
    <w:rPr>
      <w:rFonts w:asciiTheme="minorHAnsi" w:eastAsiaTheme="minorHAnsi" w:hAnsiTheme="minorHAnsi" w:cstheme="minorBidi"/>
      <w:b/>
      <w:bCs/>
      <w:sz w:val="22"/>
      <w:szCs w:val="22"/>
      <w:lang w:val="es-MX"/>
    </w:rPr>
  </w:style>
  <w:style w:type="character" w:customStyle="1" w:styleId="estilocorreo34">
    <w:name w:val="estilocorreo34"/>
    <w:semiHidden/>
    <w:rsid w:val="00B8501C"/>
    <w:rPr>
      <w:rFonts w:ascii="Calibri" w:hAnsi="Calibri" w:cs="Calibri" w:hint="default"/>
      <w:color w:val="auto"/>
    </w:rPr>
  </w:style>
  <w:style w:type="numbering" w:customStyle="1" w:styleId="Sinlista111">
    <w:name w:val="Sin lista111"/>
    <w:next w:val="Sinlista"/>
    <w:uiPriority w:val="99"/>
    <w:semiHidden/>
    <w:unhideWhenUsed/>
    <w:rsid w:val="00B8501C"/>
  </w:style>
  <w:style w:type="table" w:customStyle="1" w:styleId="Tablaconcuadrcula1">
    <w:name w:val="Tabla con cuadrícula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8">
    <w:name w:val="xl98"/>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99">
    <w:name w:val="xl99"/>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00">
    <w:name w:val="xl100"/>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01">
    <w:name w:val="xl101"/>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02">
    <w:name w:val="xl102"/>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03">
    <w:name w:val="xl103"/>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04">
    <w:name w:val="xl104"/>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05">
    <w:name w:val="xl105"/>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06">
    <w:name w:val="xl106"/>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7">
    <w:name w:val="xl107"/>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08">
    <w:name w:val="xl108"/>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09">
    <w:name w:val="xl109"/>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10">
    <w:name w:val="xl110"/>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1">
    <w:name w:val="xl111"/>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12">
    <w:name w:val="xl112"/>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13">
    <w:name w:val="xl113"/>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14">
    <w:name w:val="xl114"/>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5">
    <w:name w:val="xl115"/>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16">
    <w:name w:val="xl116"/>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7">
    <w:name w:val="xl117"/>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8">
    <w:name w:val="xl118"/>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19">
    <w:name w:val="xl119"/>
    <w:basedOn w:val="Normal"/>
    <w:rsid w:val="00B8501C"/>
    <w:pPr>
      <w:pBdr>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0">
    <w:name w:val="xl120"/>
    <w:basedOn w:val="Normal"/>
    <w:rsid w:val="00B8501C"/>
    <w:pPr>
      <w:pBdr>
        <w:bottom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1">
    <w:name w:val="xl121"/>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2">
    <w:name w:val="xl122"/>
    <w:basedOn w:val="Normal"/>
    <w:rsid w:val="00B8501C"/>
    <w:pPr>
      <w:pBdr>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23">
    <w:name w:val="xl123"/>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4">
    <w:name w:val="xl124"/>
    <w:basedOn w:val="Normal"/>
    <w:rsid w:val="00B8501C"/>
    <w:pPr>
      <w:pBdr>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25">
    <w:name w:val="xl12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26">
    <w:name w:val="xl126"/>
    <w:basedOn w:val="Normal"/>
    <w:rsid w:val="00B8501C"/>
    <w:pPr>
      <w:pBdr>
        <w:bottom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27">
    <w:name w:val="xl127"/>
    <w:basedOn w:val="Normal"/>
    <w:rsid w:val="00B8501C"/>
    <w:pPr>
      <w:pBdr>
        <w:bottom w:val="single" w:sz="8" w:space="0" w:color="auto"/>
        <w:right w:val="single" w:sz="8" w:space="0" w:color="auto"/>
      </w:pBdr>
      <w:spacing w:before="100" w:beforeAutospacing="1" w:after="100" w:afterAutospacing="1"/>
      <w:textAlignment w:val="center"/>
    </w:pPr>
    <w:rPr>
      <w:color w:val="000000"/>
      <w:sz w:val="18"/>
      <w:szCs w:val="18"/>
      <w:lang w:val="es-MX" w:eastAsia="es-MX"/>
    </w:rPr>
  </w:style>
  <w:style w:type="paragraph" w:customStyle="1" w:styleId="xl128">
    <w:name w:val="xl128"/>
    <w:basedOn w:val="Normal"/>
    <w:rsid w:val="00B8501C"/>
    <w:pPr>
      <w:pBdr>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29">
    <w:name w:val="xl129"/>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0">
    <w:name w:val="xl130"/>
    <w:basedOn w:val="Normal"/>
    <w:rsid w:val="00B8501C"/>
    <w:pPr>
      <w:pBdr>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31">
    <w:name w:val="xl131"/>
    <w:basedOn w:val="Normal"/>
    <w:rsid w:val="00B8501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2">
    <w:name w:val="xl132"/>
    <w:basedOn w:val="Normal"/>
    <w:rsid w:val="00B8501C"/>
    <w:pPr>
      <w:pBdr>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3">
    <w:name w:val="xl133"/>
    <w:basedOn w:val="Normal"/>
    <w:rsid w:val="00B8501C"/>
    <w:pPr>
      <w:pBdr>
        <w:bottom w:val="single" w:sz="8" w:space="0" w:color="auto"/>
        <w:right w:val="single" w:sz="8" w:space="0" w:color="auto"/>
      </w:pBdr>
      <w:spacing w:before="100" w:beforeAutospacing="1" w:after="100" w:afterAutospacing="1"/>
      <w:jc w:val="center"/>
      <w:textAlignment w:val="center"/>
    </w:pPr>
    <w:rPr>
      <w:b/>
      <w:bCs/>
      <w:color w:val="000000"/>
      <w:sz w:val="16"/>
      <w:szCs w:val="16"/>
      <w:lang w:val="es-MX" w:eastAsia="es-MX"/>
    </w:rPr>
  </w:style>
  <w:style w:type="paragraph" w:customStyle="1" w:styleId="xl134">
    <w:name w:val="xl134"/>
    <w:basedOn w:val="Normal"/>
    <w:rsid w:val="00B8501C"/>
    <w:pPr>
      <w:pBdr>
        <w:left w:val="single" w:sz="8" w:space="0" w:color="auto"/>
        <w:bottom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35">
    <w:name w:val="xl135"/>
    <w:basedOn w:val="Normal"/>
    <w:rsid w:val="00B8501C"/>
    <w:pPr>
      <w:pBdr>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36">
    <w:name w:val="xl136"/>
    <w:basedOn w:val="Normal"/>
    <w:rsid w:val="00B8501C"/>
    <w:pPr>
      <w:pBdr>
        <w:top w:val="single" w:sz="8" w:space="0" w:color="auto"/>
        <w:lef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7">
    <w:name w:val="xl137"/>
    <w:basedOn w:val="Normal"/>
    <w:rsid w:val="00B8501C"/>
    <w:pPr>
      <w:pBdr>
        <w:top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8">
    <w:name w:val="xl138"/>
    <w:basedOn w:val="Normal"/>
    <w:rsid w:val="00B8501C"/>
    <w:pPr>
      <w:pBdr>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39">
    <w:name w:val="xl139"/>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0">
    <w:name w:val="xl140"/>
    <w:basedOn w:val="Normal"/>
    <w:rsid w:val="00B8501C"/>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141">
    <w:name w:val="xl141"/>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42">
    <w:name w:val="xl14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3">
    <w:name w:val="xl14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44">
    <w:name w:val="xl144"/>
    <w:basedOn w:val="Normal"/>
    <w:rsid w:val="00B8501C"/>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5">
    <w:name w:val="xl145"/>
    <w:basedOn w:val="Normal"/>
    <w:rsid w:val="00B8501C"/>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46">
    <w:name w:val="xl146"/>
    <w:basedOn w:val="Normal"/>
    <w:rsid w:val="00B8501C"/>
    <w:pPr>
      <w:pBdr>
        <w:top w:val="single" w:sz="8" w:space="0" w:color="auto"/>
        <w:left w:val="single" w:sz="8" w:space="0" w:color="auto"/>
        <w:right w:val="single" w:sz="8" w:space="0" w:color="auto"/>
      </w:pBdr>
      <w:spacing w:before="100" w:beforeAutospacing="1" w:after="100" w:afterAutospacing="1"/>
      <w:jc w:val="both"/>
      <w:textAlignment w:val="center"/>
    </w:pPr>
    <w:rPr>
      <w:b/>
      <w:bCs/>
      <w:color w:val="000000"/>
      <w:sz w:val="18"/>
      <w:szCs w:val="18"/>
      <w:lang w:val="es-MX" w:eastAsia="es-MX"/>
    </w:rPr>
  </w:style>
  <w:style w:type="paragraph" w:customStyle="1" w:styleId="xl147">
    <w:name w:val="xl147"/>
    <w:basedOn w:val="Normal"/>
    <w:rsid w:val="00B8501C"/>
    <w:pPr>
      <w:pBdr>
        <w:top w:val="single" w:sz="8" w:space="0" w:color="auto"/>
        <w:left w:val="single" w:sz="8" w:space="0" w:color="auto"/>
      </w:pBdr>
      <w:spacing w:before="100" w:beforeAutospacing="1" w:after="100" w:afterAutospacing="1"/>
      <w:textAlignment w:val="top"/>
    </w:pPr>
    <w:rPr>
      <w:lang w:val="es-MX" w:eastAsia="es-MX"/>
    </w:rPr>
  </w:style>
  <w:style w:type="paragraph" w:customStyle="1" w:styleId="xl148">
    <w:name w:val="xl148"/>
    <w:basedOn w:val="Normal"/>
    <w:rsid w:val="00B8501C"/>
    <w:pPr>
      <w:pBdr>
        <w:top w:val="single" w:sz="8" w:space="0" w:color="auto"/>
      </w:pBdr>
      <w:spacing w:before="100" w:beforeAutospacing="1" w:after="100" w:afterAutospacing="1"/>
      <w:textAlignment w:val="top"/>
    </w:pPr>
    <w:rPr>
      <w:lang w:val="es-MX" w:eastAsia="es-MX"/>
    </w:rPr>
  </w:style>
  <w:style w:type="paragraph" w:customStyle="1" w:styleId="xl149">
    <w:name w:val="xl149"/>
    <w:basedOn w:val="Normal"/>
    <w:rsid w:val="00B8501C"/>
    <w:pPr>
      <w:pBdr>
        <w:top w:val="single" w:sz="8" w:space="0" w:color="auto"/>
        <w:right w:val="single" w:sz="8" w:space="0" w:color="auto"/>
      </w:pBdr>
      <w:spacing w:before="100" w:beforeAutospacing="1" w:after="100" w:afterAutospacing="1"/>
      <w:textAlignment w:val="top"/>
    </w:pPr>
    <w:rPr>
      <w:lang w:val="es-MX" w:eastAsia="es-MX"/>
    </w:rPr>
  </w:style>
  <w:style w:type="paragraph" w:customStyle="1" w:styleId="xl150">
    <w:name w:val="xl150"/>
    <w:basedOn w:val="Normal"/>
    <w:rsid w:val="00B8501C"/>
    <w:pPr>
      <w:pBdr>
        <w:left w:val="single" w:sz="8" w:space="0" w:color="auto"/>
        <w:bottom w:val="single" w:sz="8" w:space="0" w:color="auto"/>
      </w:pBdr>
      <w:spacing w:before="100" w:beforeAutospacing="1" w:after="100" w:afterAutospacing="1"/>
      <w:textAlignment w:val="top"/>
    </w:pPr>
    <w:rPr>
      <w:lang w:val="es-MX" w:eastAsia="es-MX"/>
    </w:rPr>
  </w:style>
  <w:style w:type="paragraph" w:customStyle="1" w:styleId="xl151">
    <w:name w:val="xl151"/>
    <w:basedOn w:val="Normal"/>
    <w:rsid w:val="00B8501C"/>
    <w:pPr>
      <w:pBdr>
        <w:bottom w:val="single" w:sz="8" w:space="0" w:color="auto"/>
      </w:pBdr>
      <w:spacing w:before="100" w:beforeAutospacing="1" w:after="100" w:afterAutospacing="1"/>
      <w:textAlignment w:val="top"/>
    </w:pPr>
    <w:rPr>
      <w:lang w:val="es-MX" w:eastAsia="es-MX"/>
    </w:rPr>
  </w:style>
  <w:style w:type="paragraph" w:customStyle="1" w:styleId="xl152">
    <w:name w:val="xl152"/>
    <w:basedOn w:val="Normal"/>
    <w:rsid w:val="00B8501C"/>
    <w:pPr>
      <w:pBdr>
        <w:top w:val="single" w:sz="8" w:space="0" w:color="auto"/>
        <w:left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3">
    <w:name w:val="xl153"/>
    <w:basedOn w:val="Normal"/>
    <w:rsid w:val="00B8501C"/>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MX" w:eastAsia="es-MX"/>
    </w:rPr>
  </w:style>
  <w:style w:type="paragraph" w:customStyle="1" w:styleId="xl154">
    <w:name w:val="xl154"/>
    <w:basedOn w:val="Normal"/>
    <w:rsid w:val="00B8501C"/>
    <w:pPr>
      <w:pBdr>
        <w:top w:val="single" w:sz="8" w:space="0" w:color="auto"/>
        <w:left w:val="single" w:sz="8" w:space="0" w:color="auto"/>
        <w:right w:val="single" w:sz="8" w:space="0" w:color="auto"/>
      </w:pBdr>
      <w:spacing w:before="100" w:beforeAutospacing="1" w:after="100" w:afterAutospacing="1"/>
      <w:textAlignment w:val="top"/>
    </w:pPr>
    <w:rPr>
      <w:lang w:val="es-MX" w:eastAsia="es-MX"/>
    </w:rPr>
  </w:style>
  <w:style w:type="paragraph" w:customStyle="1" w:styleId="xl155">
    <w:name w:val="xl155"/>
    <w:basedOn w:val="Normal"/>
    <w:rsid w:val="00B8501C"/>
    <w:pPr>
      <w:pBdr>
        <w:left w:val="single" w:sz="8" w:space="0" w:color="auto"/>
        <w:bottom w:val="single" w:sz="8" w:space="0" w:color="auto"/>
        <w:right w:val="single" w:sz="8" w:space="0" w:color="auto"/>
      </w:pBdr>
      <w:spacing w:before="100" w:beforeAutospacing="1" w:after="100" w:afterAutospacing="1"/>
      <w:textAlignment w:val="top"/>
    </w:pPr>
    <w:rPr>
      <w:lang w:val="es-MX" w:eastAsia="es-MX"/>
    </w:rPr>
  </w:style>
  <w:style w:type="paragraph" w:customStyle="1" w:styleId="xl156">
    <w:name w:val="xl156"/>
    <w:basedOn w:val="Normal"/>
    <w:rsid w:val="00B8501C"/>
    <w:pPr>
      <w:pBdr>
        <w:top w:val="single" w:sz="8" w:space="0" w:color="auto"/>
        <w:left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7">
    <w:name w:val="xl157"/>
    <w:basedOn w:val="Normal"/>
    <w:rsid w:val="00B8501C"/>
    <w:pPr>
      <w:pBdr>
        <w:top w:val="single" w:sz="8" w:space="0" w:color="auto"/>
        <w:bottom w:val="single" w:sz="8" w:space="0" w:color="auto"/>
      </w:pBdr>
      <w:spacing w:before="100" w:beforeAutospacing="1" w:after="100" w:afterAutospacing="1"/>
      <w:textAlignment w:val="top"/>
    </w:pPr>
    <w:rPr>
      <w:b/>
      <w:bCs/>
      <w:sz w:val="18"/>
      <w:szCs w:val="18"/>
      <w:lang w:val="es-MX" w:eastAsia="es-MX"/>
    </w:rPr>
  </w:style>
  <w:style w:type="paragraph" w:customStyle="1" w:styleId="xl158">
    <w:name w:val="xl158"/>
    <w:basedOn w:val="Normal"/>
    <w:rsid w:val="00B8501C"/>
    <w:pPr>
      <w:pBdr>
        <w:top w:val="single" w:sz="8" w:space="0" w:color="auto"/>
        <w:bottom w:val="single" w:sz="8" w:space="0" w:color="auto"/>
        <w:right w:val="single" w:sz="8" w:space="0" w:color="auto"/>
      </w:pBdr>
      <w:spacing w:before="100" w:beforeAutospacing="1" w:after="100" w:afterAutospacing="1"/>
      <w:textAlignment w:val="top"/>
    </w:pPr>
    <w:rPr>
      <w:b/>
      <w:bCs/>
      <w:sz w:val="18"/>
      <w:szCs w:val="18"/>
      <w:lang w:val="es-MX" w:eastAsia="es-MX"/>
    </w:rPr>
  </w:style>
  <w:style w:type="paragraph" w:customStyle="1" w:styleId="xl159">
    <w:name w:val="xl159"/>
    <w:basedOn w:val="Normal"/>
    <w:rsid w:val="00B8501C"/>
    <w:pPr>
      <w:pBdr>
        <w:left w:val="single" w:sz="8" w:space="0" w:color="auto"/>
        <w:right w:val="single" w:sz="8" w:space="0" w:color="auto"/>
      </w:pBdr>
      <w:spacing w:before="100" w:beforeAutospacing="1" w:after="100" w:afterAutospacing="1"/>
      <w:jc w:val="both"/>
      <w:textAlignment w:val="center"/>
    </w:pPr>
    <w:rPr>
      <w:color w:val="000000"/>
      <w:sz w:val="18"/>
      <w:szCs w:val="18"/>
      <w:lang w:val="es-MX" w:eastAsia="es-MX"/>
    </w:rPr>
  </w:style>
  <w:style w:type="paragraph" w:customStyle="1" w:styleId="xl160">
    <w:name w:val="xl160"/>
    <w:basedOn w:val="Normal"/>
    <w:rsid w:val="00B8501C"/>
    <w:pPr>
      <w:pBdr>
        <w:top w:val="single" w:sz="8" w:space="0" w:color="auto"/>
        <w:left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1">
    <w:name w:val="xl161"/>
    <w:basedOn w:val="Normal"/>
    <w:rsid w:val="00B8501C"/>
    <w:pPr>
      <w:pBdr>
        <w:top w:val="single" w:sz="8" w:space="0" w:color="auto"/>
        <w:bottom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162">
    <w:name w:val="xl162"/>
    <w:basedOn w:val="Normal"/>
    <w:rsid w:val="00B8501C"/>
    <w:pPr>
      <w:pBdr>
        <w:top w:val="single" w:sz="8"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ecxmsonormal">
    <w:name w:val="ecxmsonormal"/>
    <w:basedOn w:val="Normal"/>
    <w:rsid w:val="00B8501C"/>
    <w:pPr>
      <w:spacing w:after="324"/>
    </w:pPr>
    <w:rPr>
      <w:lang w:val="es-MX" w:eastAsia="es-MX"/>
    </w:rPr>
  </w:style>
  <w:style w:type="paragraph" w:customStyle="1" w:styleId="font5">
    <w:name w:val="font5"/>
    <w:basedOn w:val="Normal"/>
    <w:rsid w:val="00B8501C"/>
    <w:pP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4">
    <w:name w:val="xl164"/>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5">
    <w:name w:val="xl165"/>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6">
    <w:name w:val="xl166"/>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7">
    <w:name w:val="xl167"/>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8">
    <w:name w:val="xl168"/>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69">
    <w:name w:val="xl169"/>
    <w:basedOn w:val="Normal"/>
    <w:rsid w:val="00B8501C"/>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0">
    <w:name w:val="xl170"/>
    <w:basedOn w:val="Normal"/>
    <w:rsid w:val="00B8501C"/>
    <w:pPr>
      <w:pBdr>
        <w:top w:val="single" w:sz="8" w:space="0" w:color="auto"/>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1">
    <w:name w:val="xl171"/>
    <w:basedOn w:val="Normal"/>
    <w:rsid w:val="00B8501C"/>
    <w:pPr>
      <w:pBdr>
        <w:top w:val="single" w:sz="8" w:space="0" w:color="auto"/>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2">
    <w:name w:val="xl172"/>
    <w:basedOn w:val="Normal"/>
    <w:rsid w:val="00B8501C"/>
    <w:pPr>
      <w:pBdr>
        <w:top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3">
    <w:name w:val="xl173"/>
    <w:basedOn w:val="Normal"/>
    <w:rsid w:val="00B8501C"/>
    <w:pPr>
      <w:pBdr>
        <w:top w:val="single" w:sz="8" w:space="0" w:color="auto"/>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4">
    <w:name w:val="xl174"/>
    <w:basedOn w:val="Normal"/>
    <w:rsid w:val="00B8501C"/>
    <w:pPr>
      <w:pBdr>
        <w:top w:val="single" w:sz="8" w:space="0" w:color="333333"/>
        <w:left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5">
    <w:name w:val="xl175"/>
    <w:basedOn w:val="Normal"/>
    <w:rsid w:val="00B8501C"/>
    <w:pPr>
      <w:pBdr>
        <w:top w:val="single" w:sz="8" w:space="0" w:color="333333"/>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6">
    <w:name w:val="xl176"/>
    <w:basedOn w:val="Normal"/>
    <w:rsid w:val="00B8501C"/>
    <w:pPr>
      <w:pBdr>
        <w:top w:val="single" w:sz="8" w:space="0" w:color="333333"/>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7">
    <w:name w:val="xl177"/>
    <w:basedOn w:val="Normal"/>
    <w:rsid w:val="00B8501C"/>
    <w:pPr>
      <w:pBdr>
        <w:top w:val="single" w:sz="8" w:space="0" w:color="333333"/>
        <w:left w:val="single" w:sz="8" w:space="0" w:color="auto"/>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8">
    <w:name w:val="xl178"/>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79">
    <w:name w:val="xl179"/>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0">
    <w:name w:val="xl180"/>
    <w:basedOn w:val="Normal"/>
    <w:rsid w:val="00B8501C"/>
    <w:pPr>
      <w:pBdr>
        <w:top w:val="single" w:sz="8" w:space="0" w:color="333333"/>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1">
    <w:name w:val="xl181"/>
    <w:basedOn w:val="Normal"/>
    <w:rsid w:val="00B8501C"/>
    <w:pPr>
      <w:pBdr>
        <w:top w:val="single" w:sz="8" w:space="0" w:color="333333"/>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2">
    <w:name w:val="xl182"/>
    <w:basedOn w:val="Normal"/>
    <w:rsid w:val="00B8501C"/>
    <w:pPr>
      <w:pBdr>
        <w:top w:val="single" w:sz="8" w:space="0" w:color="auto"/>
        <w:bottom w:val="single" w:sz="8" w:space="0" w:color="333333"/>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83">
    <w:name w:val="xl183"/>
    <w:basedOn w:val="Normal"/>
    <w:rsid w:val="00B8501C"/>
    <w:pPr>
      <w:pBdr>
        <w:top w:val="single" w:sz="8" w:space="0" w:color="auto"/>
        <w:lef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4">
    <w:name w:val="xl184"/>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5">
    <w:name w:val="xl185"/>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6">
    <w:name w:val="xl186"/>
    <w:basedOn w:val="Normal"/>
    <w:rsid w:val="00B8501C"/>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7">
    <w:name w:val="xl187"/>
    <w:basedOn w:val="Normal"/>
    <w:rsid w:val="00B8501C"/>
    <w:pPr>
      <w:pBdr>
        <w:bottom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8">
    <w:name w:val="xl188"/>
    <w:basedOn w:val="Normal"/>
    <w:rsid w:val="00B8501C"/>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189">
    <w:name w:val="xl189"/>
    <w:basedOn w:val="Normal"/>
    <w:rsid w:val="00B8501C"/>
    <w:pPr>
      <w:pBdr>
        <w:right w:val="single" w:sz="8" w:space="0" w:color="333333"/>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0">
    <w:name w:val="xl190"/>
    <w:basedOn w:val="Normal"/>
    <w:rsid w:val="00B8501C"/>
    <w:pPr>
      <w:pBdr>
        <w:top w:val="single" w:sz="8" w:space="0" w:color="auto"/>
        <w:lef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1">
    <w:name w:val="xl191"/>
    <w:basedOn w:val="Normal"/>
    <w:rsid w:val="00B8501C"/>
    <w:pPr>
      <w:pBdr>
        <w:top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2">
    <w:name w:val="xl192"/>
    <w:basedOn w:val="Normal"/>
    <w:rsid w:val="00B8501C"/>
    <w:pPr>
      <w:pBdr>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3">
    <w:name w:val="xl193"/>
    <w:basedOn w:val="Normal"/>
    <w:rsid w:val="00B8501C"/>
    <w:pPr>
      <w:pBdr>
        <w:bottom w:val="single" w:sz="8" w:space="0" w:color="auto"/>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4">
    <w:name w:val="xl194"/>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6"/>
      <w:szCs w:val="16"/>
      <w:lang w:val="es-MX" w:eastAsia="es-MX"/>
    </w:rPr>
  </w:style>
  <w:style w:type="paragraph" w:customStyle="1" w:styleId="xl195">
    <w:name w:val="xl195"/>
    <w:basedOn w:val="Normal"/>
    <w:rsid w:val="00B8501C"/>
    <w:pPr>
      <w:pBdr>
        <w:top w:val="single" w:sz="8" w:space="0" w:color="auto"/>
        <w:bottom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6">
    <w:name w:val="xl196"/>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197">
    <w:name w:val="xl197"/>
    <w:basedOn w:val="Normal"/>
    <w:rsid w:val="00B8501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8">
    <w:name w:val="xl198"/>
    <w:basedOn w:val="Normal"/>
    <w:rsid w:val="00B8501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16"/>
      <w:szCs w:val="16"/>
      <w:lang w:val="es-MX" w:eastAsia="es-MX"/>
    </w:rPr>
  </w:style>
  <w:style w:type="paragraph" w:customStyle="1" w:styleId="xl199">
    <w:name w:val="xl199"/>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0">
    <w:name w:val="xl200"/>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1">
    <w:name w:val="xl201"/>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2">
    <w:name w:val="xl20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3">
    <w:name w:val="xl20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4">
    <w:name w:val="xl204"/>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5">
    <w:name w:val="xl205"/>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b/>
      <w:bCs/>
      <w:color w:val="000000"/>
      <w:sz w:val="20"/>
      <w:szCs w:val="20"/>
      <w:lang w:val="es-MX" w:eastAsia="es-MX"/>
    </w:rPr>
  </w:style>
  <w:style w:type="paragraph" w:customStyle="1" w:styleId="xl206">
    <w:name w:val="xl206"/>
    <w:basedOn w:val="Normal"/>
    <w:rsid w:val="00B8501C"/>
    <w:pPr>
      <w:pBdr>
        <w:bottom w:val="single" w:sz="8" w:space="0" w:color="333333"/>
        <w:right w:val="single" w:sz="8" w:space="0" w:color="auto"/>
      </w:pBdr>
      <w:shd w:val="clear" w:color="000000" w:fill="FFFFFF"/>
      <w:spacing w:before="100" w:beforeAutospacing="1" w:after="100" w:afterAutospacing="1"/>
      <w:jc w:val="right"/>
      <w:textAlignment w:val="center"/>
    </w:pPr>
    <w:rPr>
      <w:rFonts w:ascii="Arial Narrow" w:hAnsi="Arial Narrow"/>
      <w:color w:val="000000"/>
      <w:sz w:val="20"/>
      <w:szCs w:val="20"/>
      <w:lang w:val="es-MX" w:eastAsia="es-MX"/>
    </w:rPr>
  </w:style>
  <w:style w:type="paragraph" w:customStyle="1" w:styleId="xl207">
    <w:name w:val="xl207"/>
    <w:basedOn w:val="Normal"/>
    <w:rsid w:val="00B8501C"/>
    <w:pPr>
      <w:pBdr>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08">
    <w:name w:val="xl208"/>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16"/>
      <w:szCs w:val="16"/>
      <w:lang w:val="es-MX" w:eastAsia="es-MX"/>
    </w:rPr>
  </w:style>
  <w:style w:type="paragraph" w:customStyle="1" w:styleId="xl209">
    <w:name w:val="xl209"/>
    <w:basedOn w:val="Normal"/>
    <w:rsid w:val="00B8501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0">
    <w:name w:val="xl210"/>
    <w:basedOn w:val="Normal"/>
    <w:rsid w:val="00B8501C"/>
    <w:pPr>
      <w:pBdr>
        <w:top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1">
    <w:name w:val="xl211"/>
    <w:basedOn w:val="Normal"/>
    <w:rsid w:val="00B8501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sz w:val="16"/>
      <w:szCs w:val="16"/>
      <w:lang w:val="es-MX" w:eastAsia="es-MX"/>
    </w:rPr>
  </w:style>
  <w:style w:type="paragraph" w:customStyle="1" w:styleId="xl212">
    <w:name w:val="xl212"/>
    <w:basedOn w:val="Normal"/>
    <w:rsid w:val="00B8501C"/>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3">
    <w:name w:val="xl213"/>
    <w:basedOn w:val="Normal"/>
    <w:rsid w:val="00B8501C"/>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4">
    <w:name w:val="xl214"/>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5">
    <w:name w:val="xl215"/>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6">
    <w:name w:val="xl216"/>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7">
    <w:name w:val="xl217"/>
    <w:basedOn w:val="Normal"/>
    <w:rsid w:val="00B8501C"/>
    <w:pPr>
      <w:pBdr>
        <w:left w:val="single" w:sz="8" w:space="0" w:color="auto"/>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8">
    <w:name w:val="xl218"/>
    <w:basedOn w:val="Normal"/>
    <w:rsid w:val="00B8501C"/>
    <w:pPr>
      <w:pBdr>
        <w:bottom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19">
    <w:name w:val="xl219"/>
    <w:basedOn w:val="Normal"/>
    <w:rsid w:val="00B8501C"/>
    <w:pPr>
      <w:pBdr>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0">
    <w:name w:val="xl220"/>
    <w:basedOn w:val="Normal"/>
    <w:rsid w:val="00B8501C"/>
    <w:pPr>
      <w:pBdr>
        <w:top w:val="single" w:sz="8" w:space="0" w:color="333333"/>
        <w:bottom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paragraph" w:customStyle="1" w:styleId="xl221">
    <w:name w:val="xl221"/>
    <w:basedOn w:val="Normal"/>
    <w:rsid w:val="00B8501C"/>
    <w:pPr>
      <w:pBdr>
        <w:top w:val="single" w:sz="8" w:space="0" w:color="333333"/>
        <w:bottom w:val="single" w:sz="8" w:space="0" w:color="333333"/>
        <w:right w:val="single" w:sz="8" w:space="0" w:color="333333"/>
      </w:pBdr>
      <w:shd w:val="clear" w:color="000000" w:fill="FFFFFF"/>
      <w:spacing w:before="100" w:beforeAutospacing="1" w:after="100" w:afterAutospacing="1"/>
      <w:textAlignment w:val="center"/>
    </w:pPr>
    <w:rPr>
      <w:b/>
      <w:bCs/>
      <w:color w:val="000000"/>
      <w:sz w:val="16"/>
      <w:szCs w:val="16"/>
      <w:lang w:val="es-MX" w:eastAsia="es-MX"/>
    </w:rPr>
  </w:style>
  <w:style w:type="character" w:customStyle="1" w:styleId="Absatz-Standardschriftart">
    <w:name w:val="Absatz-Standardschriftart"/>
    <w:rsid w:val="00B8501C"/>
  </w:style>
  <w:style w:type="character" w:customStyle="1" w:styleId="WW-Absatz-Standardschriftart">
    <w:name w:val="WW-Absatz-Standardschriftart"/>
    <w:rsid w:val="00B8501C"/>
  </w:style>
  <w:style w:type="character" w:customStyle="1" w:styleId="WW-Absatz-Standardschriftart1">
    <w:name w:val="WW-Absatz-Standardschriftart1"/>
    <w:rsid w:val="00B8501C"/>
  </w:style>
  <w:style w:type="character" w:customStyle="1" w:styleId="WW-Absatz-Standardschriftart11">
    <w:name w:val="WW-Absatz-Standardschriftart11"/>
    <w:rsid w:val="00B8501C"/>
  </w:style>
  <w:style w:type="character" w:customStyle="1" w:styleId="WW-Absatz-Standardschriftart111">
    <w:name w:val="WW-Absatz-Standardschriftart111"/>
    <w:rsid w:val="00B8501C"/>
  </w:style>
  <w:style w:type="character" w:customStyle="1" w:styleId="WW8Num2z0">
    <w:name w:val="WW8Num2z0"/>
    <w:rsid w:val="00B8501C"/>
    <w:rPr>
      <w:rFonts w:ascii="Wingdings" w:hAnsi="Wingdings" w:cs="Wingdings"/>
    </w:rPr>
  </w:style>
  <w:style w:type="character" w:customStyle="1" w:styleId="WW8Num3z0">
    <w:name w:val="WW8Num3z0"/>
    <w:rsid w:val="00B8501C"/>
    <w:rPr>
      <w:rFonts w:ascii="Symbol" w:hAnsi="Symbol" w:cs="Symbol"/>
    </w:rPr>
  </w:style>
  <w:style w:type="character" w:customStyle="1" w:styleId="WW8Num3z1">
    <w:name w:val="WW8Num3z1"/>
    <w:rsid w:val="00B8501C"/>
    <w:rPr>
      <w:rFonts w:ascii="Courier New" w:hAnsi="Courier New" w:cs="Courier New"/>
    </w:rPr>
  </w:style>
  <w:style w:type="character" w:customStyle="1" w:styleId="WW8Num3z2">
    <w:name w:val="WW8Num3z2"/>
    <w:rsid w:val="00B8501C"/>
    <w:rPr>
      <w:rFonts w:ascii="Wingdings" w:hAnsi="Wingdings" w:cs="Wingdings"/>
    </w:rPr>
  </w:style>
  <w:style w:type="character" w:customStyle="1" w:styleId="WW8Num4z0">
    <w:name w:val="WW8Num4z0"/>
    <w:rsid w:val="00B8501C"/>
    <w:rPr>
      <w:rFonts w:ascii="Symbol" w:hAnsi="Symbol" w:cs="Symbol"/>
    </w:rPr>
  </w:style>
  <w:style w:type="character" w:customStyle="1" w:styleId="WW8Num4z1">
    <w:name w:val="WW8Num4z1"/>
    <w:rsid w:val="00B8501C"/>
    <w:rPr>
      <w:rFonts w:ascii="Courier New" w:hAnsi="Courier New" w:cs="Courier New"/>
    </w:rPr>
  </w:style>
  <w:style w:type="character" w:customStyle="1" w:styleId="WW8Num4z2">
    <w:name w:val="WW8Num4z2"/>
    <w:rsid w:val="00B8501C"/>
    <w:rPr>
      <w:rFonts w:ascii="Wingdings" w:hAnsi="Wingdings" w:cs="Wingdings"/>
    </w:rPr>
  </w:style>
  <w:style w:type="character" w:customStyle="1" w:styleId="WW8Num5z0">
    <w:name w:val="WW8Num5z0"/>
    <w:rsid w:val="00B8501C"/>
    <w:rPr>
      <w:rFonts w:ascii="Symbol" w:hAnsi="Symbol" w:cs="Symbol"/>
    </w:rPr>
  </w:style>
  <w:style w:type="character" w:customStyle="1" w:styleId="WW8Num5z1">
    <w:name w:val="WW8Num5z1"/>
    <w:rsid w:val="00B8501C"/>
    <w:rPr>
      <w:rFonts w:ascii="Courier New" w:hAnsi="Courier New" w:cs="Courier New"/>
    </w:rPr>
  </w:style>
  <w:style w:type="character" w:customStyle="1" w:styleId="WW8Num5z2">
    <w:name w:val="WW8Num5z2"/>
    <w:rsid w:val="00B8501C"/>
    <w:rPr>
      <w:rFonts w:ascii="Wingdings" w:hAnsi="Wingdings" w:cs="Wingdings"/>
    </w:rPr>
  </w:style>
  <w:style w:type="character" w:customStyle="1" w:styleId="WW8Num6z0">
    <w:name w:val="WW8Num6z0"/>
    <w:rsid w:val="00B8501C"/>
    <w:rPr>
      <w:rFonts w:ascii="Symbol" w:hAnsi="Symbol" w:cs="Symbol"/>
    </w:rPr>
  </w:style>
  <w:style w:type="character" w:customStyle="1" w:styleId="WW8Num6z1">
    <w:name w:val="WW8Num6z1"/>
    <w:rsid w:val="00B8501C"/>
    <w:rPr>
      <w:rFonts w:ascii="Courier New" w:hAnsi="Courier New" w:cs="Courier New"/>
    </w:rPr>
  </w:style>
  <w:style w:type="character" w:customStyle="1" w:styleId="WW8Num6z2">
    <w:name w:val="WW8Num6z2"/>
    <w:rsid w:val="00B8501C"/>
    <w:rPr>
      <w:rFonts w:ascii="Wingdings" w:hAnsi="Wingdings" w:cs="Wingdings"/>
    </w:rPr>
  </w:style>
  <w:style w:type="character" w:customStyle="1" w:styleId="WW8Num7z0">
    <w:name w:val="WW8Num7z0"/>
    <w:rsid w:val="00B8501C"/>
    <w:rPr>
      <w:rFonts w:ascii="Symbol" w:hAnsi="Symbol" w:cs="Symbol"/>
    </w:rPr>
  </w:style>
  <w:style w:type="character" w:customStyle="1" w:styleId="WW8Num8z0">
    <w:name w:val="WW8Num8z0"/>
    <w:rsid w:val="00B8501C"/>
    <w:rPr>
      <w:rFonts w:ascii="Wingdings" w:hAnsi="Wingdings" w:cs="Wingdings"/>
    </w:rPr>
  </w:style>
  <w:style w:type="character" w:customStyle="1" w:styleId="WW8Num9z0">
    <w:name w:val="WW8Num9z0"/>
    <w:rsid w:val="00B8501C"/>
    <w:rPr>
      <w:rFonts w:ascii="Wingdings" w:hAnsi="Wingdings" w:cs="Wingdings"/>
    </w:rPr>
  </w:style>
  <w:style w:type="character" w:customStyle="1" w:styleId="WW8NumSt3z0">
    <w:name w:val="WW8NumSt3z0"/>
    <w:rsid w:val="00B8501C"/>
    <w:rPr>
      <w:rFonts w:ascii="Arial" w:hAnsi="Arial" w:cs="Arial"/>
      <w:sz w:val="32"/>
    </w:rPr>
  </w:style>
  <w:style w:type="character" w:customStyle="1" w:styleId="Fuentedeprrafopredeter1">
    <w:name w:val="Fuente de párrafo predeter.1"/>
    <w:rsid w:val="00B8501C"/>
  </w:style>
  <w:style w:type="paragraph" w:customStyle="1" w:styleId="Encabezado1">
    <w:name w:val="Encabezado1"/>
    <w:basedOn w:val="Normal"/>
    <w:next w:val="Textoindependiente"/>
    <w:rsid w:val="00B8501C"/>
    <w:pPr>
      <w:keepNext/>
      <w:suppressAutoHyphens/>
      <w:spacing w:before="240" w:after="120"/>
    </w:pPr>
    <w:rPr>
      <w:rFonts w:ascii="Arial" w:eastAsia="WenQuanYi Micro Hei" w:hAnsi="Arial" w:cs="Lohit Hindi"/>
      <w:sz w:val="28"/>
      <w:szCs w:val="28"/>
      <w:lang w:eastAsia="ar-SA"/>
    </w:rPr>
  </w:style>
  <w:style w:type="paragraph" w:styleId="Lista">
    <w:name w:val="List"/>
    <w:basedOn w:val="Textoindependiente"/>
    <w:rsid w:val="00B8501C"/>
    <w:pPr>
      <w:suppressAutoHyphens/>
      <w:spacing w:line="240" w:lineRule="auto"/>
      <w:jc w:val="left"/>
    </w:pPr>
    <w:rPr>
      <w:rFonts w:cs="Lohit Hindi"/>
      <w:b w:val="0"/>
      <w:bCs w:val="0"/>
      <w:sz w:val="16"/>
      <w:szCs w:val="20"/>
      <w:lang w:eastAsia="ar-SA"/>
    </w:rPr>
  </w:style>
  <w:style w:type="paragraph" w:customStyle="1" w:styleId="Etiqueta">
    <w:name w:val="Etiqueta"/>
    <w:basedOn w:val="Normal"/>
    <w:rsid w:val="00B8501C"/>
    <w:pPr>
      <w:suppressLineNumbers/>
      <w:suppressAutoHyphens/>
      <w:spacing w:before="120" w:after="120"/>
    </w:pPr>
    <w:rPr>
      <w:rFonts w:cs="Lohit Hindi"/>
      <w:i/>
      <w:iCs/>
      <w:lang w:eastAsia="ar-SA"/>
    </w:rPr>
  </w:style>
  <w:style w:type="paragraph" w:customStyle="1" w:styleId="ndice">
    <w:name w:val="Índice"/>
    <w:basedOn w:val="Normal"/>
    <w:rsid w:val="00B8501C"/>
    <w:pPr>
      <w:suppressLineNumbers/>
      <w:suppressAutoHyphens/>
    </w:pPr>
    <w:rPr>
      <w:rFonts w:cs="Lohit Hindi"/>
      <w:sz w:val="20"/>
      <w:szCs w:val="20"/>
      <w:lang w:eastAsia="ar-SA"/>
    </w:rPr>
  </w:style>
  <w:style w:type="paragraph" w:customStyle="1" w:styleId="Contenidodelatabla">
    <w:name w:val="Contenido de la tabla"/>
    <w:basedOn w:val="Normal"/>
    <w:rsid w:val="00B8501C"/>
    <w:pPr>
      <w:suppressLineNumbers/>
      <w:suppressAutoHyphens/>
    </w:pPr>
    <w:rPr>
      <w:sz w:val="20"/>
      <w:szCs w:val="20"/>
      <w:lang w:eastAsia="ar-SA"/>
    </w:rPr>
  </w:style>
  <w:style w:type="paragraph" w:customStyle="1" w:styleId="Encabezadodelatabla">
    <w:name w:val="Encabezado de la tabla"/>
    <w:basedOn w:val="Contenidodelatabla"/>
    <w:rsid w:val="00B8501C"/>
    <w:pPr>
      <w:jc w:val="center"/>
    </w:pPr>
    <w:rPr>
      <w:b/>
      <w:bCs/>
    </w:rPr>
  </w:style>
  <w:style w:type="paragraph" w:customStyle="1" w:styleId="Contenidodelmarco">
    <w:name w:val="Contenido del marco"/>
    <w:basedOn w:val="Textoindependiente"/>
    <w:rsid w:val="00B8501C"/>
    <w:pPr>
      <w:suppressAutoHyphens/>
      <w:spacing w:line="240" w:lineRule="auto"/>
      <w:jc w:val="left"/>
    </w:pPr>
    <w:rPr>
      <w:b w:val="0"/>
      <w:bCs w:val="0"/>
      <w:sz w:val="16"/>
      <w:szCs w:val="20"/>
      <w:lang w:eastAsia="ar-SA"/>
    </w:rPr>
  </w:style>
  <w:style w:type="paragraph" w:customStyle="1" w:styleId="xl222">
    <w:name w:val="xl222"/>
    <w:basedOn w:val="Normal"/>
    <w:rsid w:val="00B8501C"/>
    <w:pPr>
      <w:pBdr>
        <w:top w:val="single" w:sz="8" w:space="0" w:color="auto"/>
        <w:lef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3">
    <w:name w:val="xl223"/>
    <w:basedOn w:val="Normal"/>
    <w:rsid w:val="00B8501C"/>
    <w:pPr>
      <w:pBdr>
        <w:top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4">
    <w:name w:val="xl224"/>
    <w:basedOn w:val="Normal"/>
    <w:rsid w:val="00B8501C"/>
    <w:pPr>
      <w:pBdr>
        <w:top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5">
    <w:name w:val="xl225"/>
    <w:basedOn w:val="Normal"/>
    <w:rsid w:val="00B8501C"/>
    <w:pPr>
      <w:pBdr>
        <w:top w:val="single" w:sz="8" w:space="0" w:color="333333"/>
        <w:left w:val="single" w:sz="8" w:space="0" w:color="333333"/>
        <w:bottom w:val="single" w:sz="8" w:space="0" w:color="333333"/>
        <w:right w:val="single" w:sz="8" w:space="0" w:color="auto"/>
      </w:pBdr>
      <w:spacing w:before="100" w:beforeAutospacing="1" w:after="100" w:afterAutospacing="1"/>
      <w:jc w:val="right"/>
      <w:textAlignment w:val="center"/>
    </w:pPr>
    <w:rPr>
      <w:color w:val="000000"/>
      <w:sz w:val="16"/>
      <w:szCs w:val="16"/>
      <w:lang w:val="es-MX" w:eastAsia="es-MX"/>
    </w:rPr>
  </w:style>
  <w:style w:type="paragraph" w:customStyle="1" w:styleId="xl226">
    <w:name w:val="xl226"/>
    <w:basedOn w:val="Normal"/>
    <w:rsid w:val="00B8501C"/>
    <w:pPr>
      <w:pBdr>
        <w:top w:val="single" w:sz="8" w:space="0" w:color="333333"/>
        <w:left w:val="single" w:sz="8" w:space="0" w:color="333333"/>
        <w:bottom w:val="single" w:sz="8" w:space="0" w:color="auto"/>
        <w:right w:val="single" w:sz="8" w:space="0" w:color="auto"/>
      </w:pBdr>
      <w:shd w:val="clear" w:color="000000" w:fill="FFFFFF"/>
      <w:spacing w:before="100" w:beforeAutospacing="1" w:after="100" w:afterAutospacing="1"/>
      <w:jc w:val="right"/>
      <w:textAlignment w:val="center"/>
    </w:pPr>
    <w:rPr>
      <w:color w:val="000000"/>
      <w:sz w:val="16"/>
      <w:szCs w:val="16"/>
      <w:lang w:val="es-MX" w:eastAsia="es-MX"/>
    </w:rPr>
  </w:style>
  <w:style w:type="paragraph" w:customStyle="1" w:styleId="xl227">
    <w:name w:val="xl227"/>
    <w:basedOn w:val="Normal"/>
    <w:rsid w:val="00B8501C"/>
    <w:pPr>
      <w:pBdr>
        <w:bottom w:val="single" w:sz="8" w:space="0" w:color="333333"/>
        <w:right w:val="single" w:sz="8" w:space="0" w:color="333333"/>
      </w:pBdr>
      <w:shd w:val="clear" w:color="000000" w:fill="FFFF00"/>
      <w:spacing w:before="100" w:beforeAutospacing="1" w:after="100" w:afterAutospacing="1"/>
      <w:jc w:val="right"/>
      <w:textAlignment w:val="center"/>
    </w:pPr>
    <w:rPr>
      <w:b/>
      <w:bCs/>
      <w:color w:val="000000"/>
      <w:sz w:val="16"/>
      <w:szCs w:val="16"/>
      <w:lang w:val="es-MX" w:eastAsia="es-MX"/>
    </w:rPr>
  </w:style>
  <w:style w:type="paragraph" w:customStyle="1" w:styleId="xl228">
    <w:name w:val="xl228"/>
    <w:basedOn w:val="Normal"/>
    <w:rsid w:val="00B8501C"/>
    <w:pPr>
      <w:pBdr>
        <w:bottom w:val="single" w:sz="8" w:space="0" w:color="333333"/>
        <w:right w:val="single" w:sz="8" w:space="0" w:color="333333"/>
      </w:pBdr>
      <w:shd w:val="clear" w:color="000000" w:fill="FFC000"/>
      <w:spacing w:before="100" w:beforeAutospacing="1" w:after="100" w:afterAutospacing="1"/>
      <w:jc w:val="right"/>
      <w:textAlignment w:val="center"/>
    </w:pPr>
    <w:rPr>
      <w:b/>
      <w:bCs/>
      <w:color w:val="000000"/>
      <w:sz w:val="16"/>
      <w:szCs w:val="16"/>
      <w:lang w:val="es-MX" w:eastAsia="es-MX"/>
    </w:rPr>
  </w:style>
  <w:style w:type="paragraph" w:customStyle="1" w:styleId="xl229">
    <w:name w:val="xl229"/>
    <w:basedOn w:val="Normal"/>
    <w:rsid w:val="00B8501C"/>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0">
    <w:name w:val="xl230"/>
    <w:basedOn w:val="Normal"/>
    <w:rsid w:val="00B8501C"/>
    <w:pPr>
      <w:pBdr>
        <w:bottom w:val="single" w:sz="8" w:space="0" w:color="auto"/>
        <w:right w:val="single" w:sz="8" w:space="0" w:color="auto"/>
      </w:pBdr>
      <w:shd w:val="clear" w:color="000000" w:fill="92D050"/>
      <w:spacing w:before="100" w:beforeAutospacing="1" w:after="100" w:afterAutospacing="1"/>
      <w:jc w:val="right"/>
      <w:textAlignment w:val="center"/>
    </w:pPr>
    <w:rPr>
      <w:b/>
      <w:bCs/>
      <w:color w:val="000000"/>
      <w:sz w:val="16"/>
      <w:szCs w:val="16"/>
      <w:lang w:val="es-MX" w:eastAsia="es-MX"/>
    </w:rPr>
  </w:style>
  <w:style w:type="paragraph" w:customStyle="1" w:styleId="xl231">
    <w:name w:val="xl231"/>
    <w:basedOn w:val="Normal"/>
    <w:rsid w:val="00B8501C"/>
    <w:pPr>
      <w:pBdr>
        <w:bottom w:val="single" w:sz="8" w:space="0" w:color="auto"/>
        <w:right w:val="single" w:sz="8" w:space="0" w:color="auto"/>
      </w:pBdr>
      <w:shd w:val="clear" w:color="000000" w:fill="FF0000"/>
      <w:spacing w:before="100" w:beforeAutospacing="1" w:after="100" w:afterAutospacing="1"/>
      <w:jc w:val="right"/>
      <w:textAlignment w:val="center"/>
    </w:pPr>
    <w:rPr>
      <w:b/>
      <w:bCs/>
      <w:color w:val="000000"/>
      <w:sz w:val="16"/>
      <w:szCs w:val="16"/>
      <w:lang w:val="es-MX" w:eastAsia="es-MX"/>
    </w:rPr>
  </w:style>
  <w:style w:type="table" w:customStyle="1" w:styleId="Sombreadoclaro1">
    <w:name w:val="Sombreado claro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B8501C"/>
  </w:style>
  <w:style w:type="table" w:customStyle="1" w:styleId="Tablaconcuadrcula51">
    <w:name w:val="Tabla con cuadrícula5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8501C"/>
  </w:style>
  <w:style w:type="paragraph" w:customStyle="1" w:styleId="ecxmsolistparagraph">
    <w:name w:val="ecxmsolistparagraph"/>
    <w:basedOn w:val="Normal"/>
    <w:rsid w:val="00B8501C"/>
    <w:pPr>
      <w:spacing w:after="324"/>
    </w:pPr>
    <w:rPr>
      <w:lang w:val="es-MX" w:eastAsia="es-MX"/>
    </w:rPr>
  </w:style>
  <w:style w:type="numbering" w:customStyle="1" w:styleId="Sinlista4">
    <w:name w:val="Sin lista4"/>
    <w:next w:val="Sinlista"/>
    <w:uiPriority w:val="99"/>
    <w:semiHidden/>
    <w:unhideWhenUsed/>
    <w:rsid w:val="00B8501C"/>
  </w:style>
  <w:style w:type="table" w:customStyle="1" w:styleId="Tablaconcuadrcula53">
    <w:name w:val="Tabla con cuadrícula5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B8501C"/>
  </w:style>
  <w:style w:type="numbering" w:customStyle="1" w:styleId="Sinlista12">
    <w:name w:val="Sin lista12"/>
    <w:next w:val="Sinlista"/>
    <w:uiPriority w:val="99"/>
    <w:semiHidden/>
    <w:unhideWhenUsed/>
    <w:rsid w:val="00B8501C"/>
  </w:style>
  <w:style w:type="table" w:customStyle="1" w:styleId="Tablaconcuadrcula9">
    <w:name w:val="Tabla con cuadrícula9"/>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
    <w:name w:val="Sin lista1111"/>
    <w:next w:val="Sinlista"/>
    <w:uiPriority w:val="99"/>
    <w:semiHidden/>
    <w:unhideWhenUsed/>
    <w:rsid w:val="00B8501C"/>
  </w:style>
  <w:style w:type="table" w:customStyle="1" w:styleId="Tablaconcuadrcula11">
    <w:name w:val="Tabla con cuadrícula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1">
    <w:name w:val="Sombreado claro11"/>
    <w:basedOn w:val="Tablanormal"/>
    <w:uiPriority w:val="60"/>
    <w:rsid w:val="00B8501C"/>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1">
    <w:name w:val="Tabla con cuadrícula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8501C"/>
  </w:style>
  <w:style w:type="table" w:customStyle="1" w:styleId="Tablaconcuadrcula511">
    <w:name w:val="Tabla con cuadrícula5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1">
    <w:name w:val="Tabla con cuadrícula5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8501C"/>
  </w:style>
  <w:style w:type="numbering" w:customStyle="1" w:styleId="Sinlista41">
    <w:name w:val="Sin lista41"/>
    <w:next w:val="Sinlista"/>
    <w:uiPriority w:val="99"/>
    <w:semiHidden/>
    <w:unhideWhenUsed/>
    <w:rsid w:val="00B8501C"/>
  </w:style>
  <w:style w:type="table" w:customStyle="1" w:styleId="Tablaconcuadrcula531">
    <w:name w:val="Tabla con cuadrícula5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B8501C"/>
    <w:pPr>
      <w:spacing w:after="0" w:line="240" w:lineRule="auto"/>
      <w:jc w:val="both"/>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B8501C"/>
    <w:pPr>
      <w:spacing w:after="0" w:line="240" w:lineRule="auto"/>
    </w:pPr>
    <w:rPr>
      <w:rFonts w:ascii="Calibri" w:eastAsia="Calibri" w:hAnsi="Calibri" w:cs="Times New Roman"/>
      <w:sz w:val="20"/>
      <w:szCs w:val="20"/>
      <w:lang w:val="es-ES_tradnl"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8501C"/>
    <w:pPr>
      <w:spacing w:before="100" w:beforeAutospacing="1" w:after="100" w:afterAutospacing="1"/>
    </w:pPr>
    <w:rPr>
      <w:lang w:val="es-MX" w:eastAsia="es-MX"/>
    </w:rPr>
  </w:style>
  <w:style w:type="table" w:customStyle="1" w:styleId="Tablaconcuadrcula42">
    <w:name w:val="Tabla con cuadrícula42"/>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59"/>
    <w:rsid w:val="00B8501C"/>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uiPriority w:val="10"/>
    <w:rsid w:val="00B8501C"/>
    <w:rPr>
      <w:rFonts w:ascii="Cambria" w:eastAsia="Times New Roman" w:hAnsi="Cambria" w:cs="Times New Roman"/>
      <w:color w:val="17365D"/>
      <w:spacing w:val="5"/>
      <w:kern w:val="28"/>
      <w:sz w:val="52"/>
      <w:szCs w:val="52"/>
    </w:rPr>
  </w:style>
  <w:style w:type="character" w:customStyle="1" w:styleId="PuestoCar1">
    <w:name w:val="Puesto Car1"/>
    <w:uiPriority w:val="10"/>
    <w:rsid w:val="00B8501C"/>
    <w:rPr>
      <w:rFonts w:ascii="Cambria" w:eastAsia="Times New Roman" w:hAnsi="Cambria" w:cs="Times New Roman"/>
      <w:spacing w:val="-10"/>
      <w:kern w:val="28"/>
      <w:sz w:val="56"/>
      <w:szCs w:val="56"/>
    </w:rPr>
  </w:style>
  <w:style w:type="table" w:customStyle="1" w:styleId="Tablaconcuadrcula13">
    <w:name w:val="Tabla con cuadrícula13"/>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B8501C"/>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2detindependienteCar1">
    <w:name w:val="Sangría 2 de t. independiente Car1"/>
    <w:basedOn w:val="Fuentedeprrafopredeter"/>
    <w:uiPriority w:val="99"/>
    <w:semiHidden/>
    <w:rsid w:val="00B8501C"/>
  </w:style>
  <w:style w:type="paragraph" w:styleId="Puesto">
    <w:name w:val="Title"/>
    <w:basedOn w:val="Normal"/>
    <w:next w:val="Normal"/>
    <w:link w:val="PuestoCar"/>
    <w:qFormat/>
    <w:rsid w:val="00B8501C"/>
    <w:pPr>
      <w:contextualSpacing/>
    </w:pPr>
    <w:rPr>
      <w:rFonts w:ascii="Cambria" w:hAnsi="Cambria"/>
      <w:color w:val="17365D"/>
      <w:spacing w:val="5"/>
      <w:kern w:val="28"/>
      <w:sz w:val="52"/>
      <w:szCs w:val="52"/>
    </w:rPr>
  </w:style>
  <w:style w:type="character" w:customStyle="1" w:styleId="TtuloCar1">
    <w:name w:val="Título Car1"/>
    <w:basedOn w:val="Fuentedeprrafopredeter"/>
    <w:uiPriority w:val="10"/>
    <w:rsid w:val="00B8501C"/>
    <w:rPr>
      <w:rFonts w:asciiTheme="majorHAnsi" w:eastAsiaTheme="majorEastAsia" w:hAnsiTheme="majorHAnsi" w:cstheme="majorBidi"/>
      <w:spacing w:val="-10"/>
      <w:kern w:val="28"/>
      <w:sz w:val="56"/>
      <w:szCs w:val="5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microsoft.com/office/2007/relationships/hdphoto" Target="media/hdphoto3.wdp"/><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F86AA-EF36-4267-870D-EE3A98115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20713</Words>
  <Characters>113923</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Ana Maria</cp:lastModifiedBy>
  <cp:revision>3</cp:revision>
  <dcterms:created xsi:type="dcterms:W3CDTF">2018-11-15T03:19:00Z</dcterms:created>
  <dcterms:modified xsi:type="dcterms:W3CDTF">2018-11-15T03:52:00Z</dcterms:modified>
</cp:coreProperties>
</file>