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205" w:rsidRPr="001D4205" w:rsidRDefault="001D4205" w:rsidP="00FC7AD8">
      <w:pPr>
        <w:autoSpaceDE w:val="0"/>
        <w:autoSpaceDN w:val="0"/>
        <w:adjustRightInd w:val="0"/>
        <w:spacing w:before="240" w:after="120"/>
        <w:ind w:left="708" w:hanging="708"/>
        <w:jc w:val="center"/>
        <w:rPr>
          <w:rFonts w:cs="Arial"/>
          <w:b/>
          <w:szCs w:val="18"/>
        </w:rPr>
      </w:pPr>
      <w:r w:rsidRPr="001D4205">
        <w:rPr>
          <w:rFonts w:cs="Arial"/>
          <w:b/>
          <w:szCs w:val="18"/>
        </w:rPr>
        <w:t>INTRODUCCIÓN</w:t>
      </w:r>
    </w:p>
    <w:p w:rsidR="001D4205" w:rsidRPr="001D4205" w:rsidRDefault="001D4205" w:rsidP="00477FA4">
      <w:pPr>
        <w:autoSpaceDE w:val="0"/>
        <w:autoSpaceDN w:val="0"/>
        <w:adjustRightInd w:val="0"/>
        <w:spacing w:before="240" w:after="120"/>
        <w:jc w:val="center"/>
        <w:rPr>
          <w:rFonts w:cs="Arial"/>
          <w:b/>
          <w:szCs w:val="18"/>
        </w:rPr>
      </w:pPr>
    </w:p>
    <w:p w:rsidR="006560EA" w:rsidRDefault="006560EA" w:rsidP="00477FA4">
      <w:pPr>
        <w:autoSpaceDE w:val="0"/>
        <w:autoSpaceDN w:val="0"/>
        <w:adjustRightInd w:val="0"/>
        <w:spacing w:before="80"/>
        <w:jc w:val="both"/>
        <w:rPr>
          <w:rFonts w:cs="Arial"/>
          <w:szCs w:val="18"/>
        </w:rPr>
      </w:pPr>
      <w:r w:rsidRPr="006560EA">
        <w:rPr>
          <w:rFonts w:cs="Arial"/>
          <w:szCs w:val="18"/>
        </w:rPr>
        <w:t xml:space="preserve">Que el segundo párrafo del artículo 1 de la ley general </w:t>
      </w:r>
      <w:r>
        <w:rPr>
          <w:rFonts w:cs="Arial"/>
          <w:szCs w:val="18"/>
        </w:rPr>
        <w:t>de Contabilidad Gubernamental establece que dicha Ley es de observancia obligatoria para los poderes Ejecutivo, Legislativo y Judicial de la Federación, los Estados y el Distrito Federal; los Ayuntamientos de los Municipios; los órganos político-administrativos de las demarcaciones territoriales del Distrito Federal, las entidades de la administración pública paraestatal, ya sean federales, estatales o municipales y los organismos autónomos federales y estatales;</w:t>
      </w:r>
    </w:p>
    <w:p w:rsidR="006560EA" w:rsidRDefault="006560EA" w:rsidP="00477FA4">
      <w:pPr>
        <w:autoSpaceDE w:val="0"/>
        <w:autoSpaceDN w:val="0"/>
        <w:adjustRightInd w:val="0"/>
        <w:spacing w:before="80"/>
        <w:jc w:val="both"/>
        <w:rPr>
          <w:rFonts w:cs="Arial"/>
          <w:szCs w:val="18"/>
        </w:rPr>
      </w:pPr>
      <w:r>
        <w:rPr>
          <w:rFonts w:cs="Arial"/>
          <w:szCs w:val="18"/>
        </w:rPr>
        <w:t xml:space="preserve">Que en términos de lo dispuesto  por el </w:t>
      </w:r>
      <w:r w:rsidR="00477FA4">
        <w:rPr>
          <w:rFonts w:cs="Arial"/>
          <w:szCs w:val="18"/>
        </w:rPr>
        <w:t>artículo</w:t>
      </w:r>
      <w:r>
        <w:rPr>
          <w:rFonts w:cs="Arial"/>
          <w:szCs w:val="18"/>
        </w:rPr>
        <w:t xml:space="preserve"> 52 de la Ley General de Contabilidad Gubernamental, los estados financieros</w:t>
      </w:r>
      <w:r w:rsidR="00477FA4">
        <w:rPr>
          <w:rFonts w:cs="Arial"/>
          <w:szCs w:val="18"/>
        </w:rPr>
        <w:t xml:space="preserve"> y demás información presupuestaria programática y contable que emanen de los entes públicos serán la base para  la formulación de la cuenta pública anual;</w:t>
      </w:r>
    </w:p>
    <w:p w:rsidR="00477FA4" w:rsidRDefault="00477FA4" w:rsidP="00477FA4">
      <w:pPr>
        <w:autoSpaceDE w:val="0"/>
        <w:autoSpaceDN w:val="0"/>
        <w:adjustRightInd w:val="0"/>
        <w:spacing w:before="80"/>
        <w:jc w:val="both"/>
        <w:rPr>
          <w:rFonts w:cs="Arial"/>
          <w:szCs w:val="18"/>
        </w:rPr>
      </w:pPr>
      <w:r>
        <w:rPr>
          <w:rFonts w:cs="Arial"/>
          <w:szCs w:val="18"/>
        </w:rPr>
        <w:t>Que en cumplimiento a lo establecido en el artículo 46 de la Ley General de Contabilidad Gubernamental, la Cuenta Público del Ejecutivo del Estado, que será la formulada por la Secretaria de Planeación y Finanzas, contendrá como mínimo:</w:t>
      </w:r>
    </w:p>
    <w:p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Información contable</w:t>
      </w:r>
    </w:p>
    <w:p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Información Presupuestaria,</w:t>
      </w:r>
    </w:p>
    <w:p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Información Programática,</w:t>
      </w:r>
    </w:p>
    <w:p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 xml:space="preserve">Postura Fiscal, y </w:t>
      </w:r>
    </w:p>
    <w:p w:rsidR="00477FA4" w:rsidRP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La información a que se refieren las fracciones I  a III  de este artículo se presentará por dependencia y entidad.</w:t>
      </w:r>
    </w:p>
    <w:p w:rsidR="00477FA4" w:rsidRDefault="00477FA4" w:rsidP="00477FA4">
      <w:pPr>
        <w:autoSpaceDE w:val="0"/>
        <w:autoSpaceDN w:val="0"/>
        <w:adjustRightInd w:val="0"/>
        <w:spacing w:before="80"/>
        <w:jc w:val="both"/>
        <w:rPr>
          <w:rFonts w:cs="Arial"/>
          <w:szCs w:val="18"/>
        </w:rPr>
      </w:pPr>
      <w:r>
        <w:rPr>
          <w:rFonts w:cs="Arial"/>
          <w:szCs w:val="18"/>
        </w:rPr>
        <w:t>Que con fecha 13 de diciembre de 2013, el Consejo Nacional de Armonización Contable  emitió el Acuerdo por el que se armoniza la estructura de las cuentas públicas, el cual tiene por objeto armonizar  la estructura de la Cuenta Pública del Gobierno Federal, de las Entidades Federativas, de los Ayuntamientos</w:t>
      </w:r>
      <w:r w:rsidR="00C73AD7">
        <w:rPr>
          <w:rFonts w:cs="Arial"/>
          <w:szCs w:val="18"/>
        </w:rPr>
        <w:t xml:space="preserve"> </w:t>
      </w:r>
      <w:r>
        <w:rPr>
          <w:rFonts w:cs="Arial"/>
          <w:szCs w:val="18"/>
        </w:rPr>
        <w:t xml:space="preserve">de los Municipios y de los órganos político-administrativos de las demarcaciones territoriales por conducto del Gobierno del Distrito Federal, a que se refieren los </w:t>
      </w:r>
      <w:r w:rsidR="00C73AD7">
        <w:rPr>
          <w:rFonts w:cs="Arial"/>
          <w:szCs w:val="18"/>
        </w:rPr>
        <w:t>artículos</w:t>
      </w:r>
      <w:r>
        <w:rPr>
          <w:rFonts w:cs="Arial"/>
          <w:szCs w:val="18"/>
        </w:rPr>
        <w:t xml:space="preserve"> 53 y 55 de la Ley General de Contabilidad Gubernamental.</w:t>
      </w:r>
    </w:p>
    <w:p w:rsidR="00C73AD7" w:rsidRDefault="00C73AD7" w:rsidP="00477FA4">
      <w:pPr>
        <w:autoSpaceDE w:val="0"/>
        <w:autoSpaceDN w:val="0"/>
        <w:adjustRightInd w:val="0"/>
        <w:spacing w:before="80"/>
        <w:jc w:val="both"/>
        <w:rPr>
          <w:rFonts w:cs="Arial"/>
          <w:szCs w:val="18"/>
        </w:rPr>
      </w:pPr>
      <w:r>
        <w:rPr>
          <w:rFonts w:cs="Arial"/>
          <w:szCs w:val="18"/>
        </w:rPr>
        <w:t xml:space="preserve">El Colegio de Bachilleres del Estado de Tlaxcala, en apego a la Ley General de Contabilidad Gubernamental, integra  en el contenido de la Cuenta </w:t>
      </w:r>
      <w:r w:rsidR="00C66F53">
        <w:rPr>
          <w:rFonts w:cs="Arial"/>
          <w:szCs w:val="18"/>
        </w:rPr>
        <w:t>Pública</w:t>
      </w:r>
      <w:r>
        <w:rPr>
          <w:rFonts w:cs="Arial"/>
          <w:szCs w:val="18"/>
        </w:rPr>
        <w:t xml:space="preserve"> Armonizada lo siguiente:</w:t>
      </w:r>
    </w:p>
    <w:p w:rsidR="00C73AD7" w:rsidRPr="00C73AD7" w:rsidRDefault="00C73AD7" w:rsidP="00477FA4">
      <w:pPr>
        <w:autoSpaceDE w:val="0"/>
        <w:autoSpaceDN w:val="0"/>
        <w:adjustRightInd w:val="0"/>
        <w:spacing w:before="80"/>
        <w:jc w:val="both"/>
        <w:rPr>
          <w:rFonts w:cs="Arial"/>
          <w:b/>
          <w:szCs w:val="18"/>
        </w:rPr>
      </w:pPr>
      <w:r>
        <w:rPr>
          <w:rFonts w:cs="Arial"/>
          <w:b/>
          <w:szCs w:val="18"/>
        </w:rPr>
        <w:t>INFORMACION CONTABLE</w:t>
      </w:r>
      <w:bookmarkStart w:id="0" w:name="_GoBack"/>
      <w:bookmarkEnd w:id="0"/>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actividades</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situación financiera</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cambios en la situación financiera</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 xml:space="preserve">Estado analítico del activo </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 xml:space="preserve">Estado analítico de la deuda y otros pasivos </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variación de la hacienda publica</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flujos de efectivo</w:t>
      </w:r>
    </w:p>
    <w:p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Informe de pasivos contingentes</w:t>
      </w:r>
    </w:p>
    <w:p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lastRenderedPageBreak/>
        <w:t>Notas a los estados financieros</w:t>
      </w:r>
    </w:p>
    <w:p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 xml:space="preserve">Notas de desglose </w:t>
      </w:r>
    </w:p>
    <w:p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Notas de Memoria (cuentas de orden)</w:t>
      </w:r>
    </w:p>
    <w:p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Notas de Gestión Administrativa.</w:t>
      </w:r>
    </w:p>
    <w:p w:rsidR="00477FA4" w:rsidRDefault="00C73AD7" w:rsidP="001D4205">
      <w:pPr>
        <w:autoSpaceDE w:val="0"/>
        <w:autoSpaceDN w:val="0"/>
        <w:adjustRightInd w:val="0"/>
        <w:spacing w:before="80"/>
        <w:jc w:val="both"/>
        <w:rPr>
          <w:rFonts w:cs="Arial"/>
          <w:b/>
          <w:szCs w:val="18"/>
        </w:rPr>
      </w:pPr>
      <w:r>
        <w:rPr>
          <w:rFonts w:cs="Arial"/>
          <w:b/>
          <w:szCs w:val="18"/>
        </w:rPr>
        <w:t>INFORMACION PRESUPUESTARIA</w:t>
      </w:r>
    </w:p>
    <w:p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Estado analítico de ingresos (por rubro y fuente de financiamiento)</w:t>
      </w:r>
    </w:p>
    <w:p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 xml:space="preserve">Estado analítico del ejercicio del presupuesto de Egresos  </w:t>
      </w:r>
      <w:r w:rsidR="00F21604">
        <w:rPr>
          <w:rFonts w:cs="Arial"/>
          <w:szCs w:val="18"/>
        </w:rPr>
        <w:t>Clasificación</w:t>
      </w:r>
      <w:r>
        <w:rPr>
          <w:rFonts w:cs="Arial"/>
          <w:szCs w:val="18"/>
        </w:rPr>
        <w:t xml:space="preserve"> Administrativa</w:t>
      </w:r>
    </w:p>
    <w:p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 xml:space="preserve">Estado analítico del ejercicio del presupuesto de Egresos </w:t>
      </w:r>
      <w:r w:rsidR="00F21604">
        <w:rPr>
          <w:rFonts w:cs="Arial"/>
          <w:szCs w:val="18"/>
        </w:rPr>
        <w:t>Clasificación</w:t>
      </w:r>
      <w:r>
        <w:rPr>
          <w:rFonts w:cs="Arial"/>
          <w:szCs w:val="18"/>
        </w:rPr>
        <w:t xml:space="preserve"> por Objeto del Gasto (capitulo y concepto)</w:t>
      </w:r>
    </w:p>
    <w:p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 xml:space="preserve">Estado analítico del ejercicio del presupuesto de Egresos </w:t>
      </w:r>
      <w:r w:rsidR="00F21604">
        <w:rPr>
          <w:rFonts w:cs="Arial"/>
          <w:szCs w:val="18"/>
        </w:rPr>
        <w:t>Clasificación</w:t>
      </w:r>
      <w:r>
        <w:rPr>
          <w:rFonts w:cs="Arial"/>
          <w:szCs w:val="18"/>
        </w:rPr>
        <w:t xml:space="preserve"> </w:t>
      </w:r>
      <w:r w:rsidR="00F21604">
        <w:rPr>
          <w:rFonts w:cs="Arial"/>
          <w:szCs w:val="18"/>
        </w:rPr>
        <w:t>Económica</w:t>
      </w:r>
      <w:r>
        <w:rPr>
          <w:rFonts w:cs="Arial"/>
          <w:szCs w:val="18"/>
        </w:rPr>
        <w:t xml:space="preserve"> (por Tipo de Gasto)</w:t>
      </w:r>
    </w:p>
    <w:p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Estado analítico del ejercicio del presupuesto de Egresos</w:t>
      </w:r>
      <w:r w:rsidR="00F21604">
        <w:rPr>
          <w:rFonts w:cs="Arial"/>
          <w:szCs w:val="18"/>
        </w:rPr>
        <w:t xml:space="preserve"> Clasificación Funcional (Finalidad y Función)</w:t>
      </w:r>
    </w:p>
    <w:p w:rsidR="00F21604" w:rsidRDefault="00F21604"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Endeudamiento neto</w:t>
      </w:r>
    </w:p>
    <w:p w:rsidR="00F21604" w:rsidRDefault="00F21604"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Interés de la deuda</w:t>
      </w:r>
    </w:p>
    <w:p w:rsidR="00F21604" w:rsidRDefault="00F21604"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Indicadores de postura fiscal</w:t>
      </w:r>
    </w:p>
    <w:p w:rsidR="00F21604" w:rsidRDefault="00F21604" w:rsidP="00F21604">
      <w:pPr>
        <w:autoSpaceDE w:val="0"/>
        <w:autoSpaceDN w:val="0"/>
        <w:adjustRightInd w:val="0"/>
        <w:spacing w:before="80"/>
        <w:jc w:val="both"/>
        <w:rPr>
          <w:rFonts w:cs="Arial"/>
          <w:b/>
          <w:szCs w:val="18"/>
        </w:rPr>
      </w:pPr>
      <w:r>
        <w:rPr>
          <w:rFonts w:cs="Arial"/>
          <w:b/>
          <w:szCs w:val="18"/>
        </w:rPr>
        <w:t>INFORMACION PROGRAMATICA</w:t>
      </w:r>
    </w:p>
    <w:p w:rsidR="00F21604" w:rsidRPr="00F21604" w:rsidRDefault="00F21604" w:rsidP="00F21604">
      <w:pPr>
        <w:pStyle w:val="Prrafodelista"/>
        <w:numPr>
          <w:ilvl w:val="0"/>
          <w:numId w:val="14"/>
        </w:numPr>
        <w:autoSpaceDE w:val="0"/>
        <w:autoSpaceDN w:val="0"/>
        <w:adjustRightInd w:val="0"/>
        <w:spacing w:before="80"/>
        <w:ind w:left="426" w:hanging="426"/>
        <w:jc w:val="both"/>
        <w:rPr>
          <w:rFonts w:cs="Arial"/>
          <w:szCs w:val="18"/>
        </w:rPr>
      </w:pPr>
      <w:r w:rsidRPr="00F21604">
        <w:rPr>
          <w:rFonts w:cs="Arial"/>
          <w:szCs w:val="18"/>
        </w:rPr>
        <w:t>Gasto por Categoría Programática</w:t>
      </w:r>
    </w:p>
    <w:p w:rsidR="00F21604" w:rsidRPr="00F21604" w:rsidRDefault="00F21604" w:rsidP="00F21604">
      <w:pPr>
        <w:pStyle w:val="Prrafodelista"/>
        <w:numPr>
          <w:ilvl w:val="0"/>
          <w:numId w:val="14"/>
        </w:numPr>
        <w:autoSpaceDE w:val="0"/>
        <w:autoSpaceDN w:val="0"/>
        <w:adjustRightInd w:val="0"/>
        <w:spacing w:before="80"/>
        <w:ind w:left="426" w:hanging="426"/>
        <w:jc w:val="both"/>
        <w:rPr>
          <w:rFonts w:cs="Arial"/>
          <w:szCs w:val="18"/>
        </w:rPr>
      </w:pPr>
      <w:r w:rsidRPr="00F21604">
        <w:rPr>
          <w:rFonts w:cs="Arial"/>
          <w:szCs w:val="18"/>
        </w:rPr>
        <w:t xml:space="preserve">Programas y Proyectos de Inversión </w:t>
      </w:r>
    </w:p>
    <w:p w:rsidR="00F21604" w:rsidRPr="00F21604" w:rsidRDefault="00F21604" w:rsidP="00F21604">
      <w:pPr>
        <w:pStyle w:val="Prrafodelista"/>
        <w:numPr>
          <w:ilvl w:val="0"/>
          <w:numId w:val="14"/>
        </w:numPr>
        <w:autoSpaceDE w:val="0"/>
        <w:autoSpaceDN w:val="0"/>
        <w:adjustRightInd w:val="0"/>
        <w:spacing w:before="80"/>
        <w:ind w:left="426" w:hanging="426"/>
        <w:jc w:val="both"/>
        <w:rPr>
          <w:rFonts w:cs="Arial"/>
          <w:szCs w:val="18"/>
        </w:rPr>
      </w:pPr>
      <w:r w:rsidRPr="00F21604">
        <w:rPr>
          <w:rFonts w:cs="Arial"/>
          <w:szCs w:val="18"/>
        </w:rPr>
        <w:t>Indicadores de Resultados</w:t>
      </w:r>
    </w:p>
    <w:p w:rsidR="00F21604" w:rsidRDefault="00F21604" w:rsidP="00F21604">
      <w:pPr>
        <w:autoSpaceDE w:val="0"/>
        <w:autoSpaceDN w:val="0"/>
        <w:adjustRightInd w:val="0"/>
        <w:spacing w:before="80"/>
        <w:jc w:val="both"/>
        <w:rPr>
          <w:rFonts w:cs="Arial"/>
          <w:b/>
          <w:szCs w:val="18"/>
        </w:rPr>
      </w:pPr>
      <w:r w:rsidRPr="00F21604">
        <w:rPr>
          <w:rFonts w:cs="Arial"/>
          <w:b/>
          <w:szCs w:val="18"/>
        </w:rPr>
        <w:t>ANEXOS</w:t>
      </w:r>
    </w:p>
    <w:p w:rsid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Bienes Muebles que Componen el Patrimonio</w:t>
      </w:r>
    </w:p>
    <w:p w:rsid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Bienes Inmuebles que Componen el Patrimonio</w:t>
      </w:r>
    </w:p>
    <w:p w:rsid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Cuentas Bancarias Productivas Especificas</w:t>
      </w:r>
    </w:p>
    <w:p w:rsidR="00F21604" w:rsidRP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Esquemas Bursátiles y de Coberturas Financieras</w:t>
      </w:r>
    </w:p>
    <w:p w:rsidR="00F21604" w:rsidRPr="00F21604" w:rsidRDefault="00F21604" w:rsidP="00F21604">
      <w:pPr>
        <w:autoSpaceDE w:val="0"/>
        <w:autoSpaceDN w:val="0"/>
        <w:adjustRightInd w:val="0"/>
        <w:spacing w:before="80"/>
        <w:jc w:val="both"/>
        <w:rPr>
          <w:rFonts w:cs="Arial"/>
          <w:b/>
          <w:szCs w:val="18"/>
        </w:rPr>
      </w:pPr>
    </w:p>
    <w:p w:rsidR="006560EA" w:rsidRPr="006560EA" w:rsidRDefault="006560EA" w:rsidP="001D4205">
      <w:pPr>
        <w:autoSpaceDE w:val="0"/>
        <w:autoSpaceDN w:val="0"/>
        <w:adjustRightInd w:val="0"/>
        <w:spacing w:before="80"/>
        <w:jc w:val="both"/>
        <w:rPr>
          <w:rFonts w:cs="Arial"/>
          <w:szCs w:val="18"/>
        </w:rPr>
      </w:pPr>
    </w:p>
    <w:p w:rsidR="00CA2D37" w:rsidRPr="001D4205" w:rsidRDefault="00CA2D37" w:rsidP="001D4205">
      <w:pPr>
        <w:tabs>
          <w:tab w:val="left" w:pos="2430"/>
        </w:tabs>
        <w:jc w:val="center"/>
        <w:rPr>
          <w:rFonts w:cs="Arial"/>
          <w:szCs w:val="18"/>
        </w:rPr>
      </w:pPr>
    </w:p>
    <w:p w:rsidR="00056042" w:rsidRPr="001D4205" w:rsidRDefault="00056042" w:rsidP="001D4205">
      <w:pPr>
        <w:tabs>
          <w:tab w:val="left" w:pos="2430"/>
        </w:tabs>
        <w:jc w:val="center"/>
        <w:rPr>
          <w:rFonts w:cs="Arial"/>
          <w:szCs w:val="18"/>
        </w:rPr>
      </w:pPr>
    </w:p>
    <w:p w:rsidR="00056042" w:rsidRPr="001D4205" w:rsidRDefault="00056042" w:rsidP="001D4205">
      <w:pPr>
        <w:tabs>
          <w:tab w:val="left" w:pos="2430"/>
        </w:tabs>
        <w:jc w:val="center"/>
        <w:rPr>
          <w:rFonts w:cs="Arial"/>
          <w:szCs w:val="18"/>
        </w:rPr>
      </w:pPr>
    </w:p>
    <w:sectPr w:rsidR="00056042" w:rsidRPr="001D4205" w:rsidSect="008E3652">
      <w:headerReference w:type="even" r:id="rId9"/>
      <w:headerReference w:type="default" r:id="rId10"/>
      <w:footerReference w:type="even" r:id="rId11"/>
      <w:footerReference w:type="default" r:id="rId1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BAC" w:rsidRDefault="00B55BAC" w:rsidP="00EA5418">
      <w:pPr>
        <w:spacing w:after="0" w:line="240" w:lineRule="auto"/>
      </w:pPr>
      <w:r>
        <w:separator/>
      </w:r>
    </w:p>
  </w:endnote>
  <w:endnote w:type="continuationSeparator" w:id="0">
    <w:p w:rsidR="00B55BAC" w:rsidRDefault="00B55BA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07" w:rsidRPr="0013011C" w:rsidRDefault="00C66F53"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strokecolor="#622423 [1605]" strokeweight="1.5pt"/>
      </w:pict>
    </w:r>
    <w:r w:rsidR="00342E07">
      <w:rPr>
        <w:rFonts w:ascii="Soberana Sans Light" w:hAnsi="Soberana Sans Light"/>
      </w:rPr>
      <w:t>Introducción</w:t>
    </w:r>
    <w:r w:rsidR="00342E07"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2092B" w:rsidRPr="0013011C">
          <w:rPr>
            <w:rFonts w:ascii="Soberana Sans Light" w:hAnsi="Soberana Sans Light"/>
          </w:rPr>
          <w:fldChar w:fldCharType="begin"/>
        </w:r>
        <w:r w:rsidR="00342E07" w:rsidRPr="0013011C">
          <w:rPr>
            <w:rFonts w:ascii="Soberana Sans Light" w:hAnsi="Soberana Sans Light"/>
          </w:rPr>
          <w:instrText>PAGE   \* MERGEFORMAT</w:instrText>
        </w:r>
        <w:r w:rsidR="0012092B" w:rsidRPr="0013011C">
          <w:rPr>
            <w:rFonts w:ascii="Soberana Sans Light" w:hAnsi="Soberana Sans Light"/>
          </w:rPr>
          <w:fldChar w:fldCharType="separate"/>
        </w:r>
        <w:r w:rsidRPr="00C66F53">
          <w:rPr>
            <w:rFonts w:ascii="Soberana Sans Light" w:hAnsi="Soberana Sans Light"/>
            <w:noProof/>
            <w:lang w:val="es-ES"/>
          </w:rPr>
          <w:t>2</w:t>
        </w:r>
        <w:r w:rsidR="0012092B" w:rsidRPr="0013011C">
          <w:rPr>
            <w:rFonts w:ascii="Soberana Sans Light" w:hAnsi="Soberana Sans Light"/>
          </w:rPr>
          <w:fldChar w:fldCharType="end"/>
        </w:r>
      </w:sdtContent>
    </w:sdt>
  </w:p>
  <w:p w:rsidR="00342E07" w:rsidRDefault="00342E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07" w:rsidRPr="008E3652" w:rsidRDefault="00C66F53"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strokecolor="#622423 [1605]" strokeweight="1.5pt"/>
      </w:pict>
    </w:r>
    <w:sdt>
      <w:sdtPr>
        <w:rPr>
          <w:rFonts w:ascii="Soberana Sans Light" w:hAnsi="Soberana Sans Light"/>
        </w:rPr>
        <w:id w:val="1247304906"/>
        <w:docPartObj>
          <w:docPartGallery w:val="Page Numbers (Bottom of Page)"/>
          <w:docPartUnique/>
        </w:docPartObj>
      </w:sdtPr>
      <w:sdtEndPr/>
      <w:sdtContent>
        <w:r w:rsidR="00342E07">
          <w:rPr>
            <w:rFonts w:ascii="Soberana Sans Light" w:hAnsi="Soberana Sans Light"/>
          </w:rPr>
          <w:t>Introducción</w:t>
        </w:r>
        <w:r w:rsidR="00342E07" w:rsidRPr="008E3652">
          <w:rPr>
            <w:rFonts w:ascii="Soberana Sans Light" w:hAnsi="Soberana Sans Light"/>
          </w:rPr>
          <w:t xml:space="preserve"> / </w:t>
        </w:r>
        <w:r w:rsidR="0012092B" w:rsidRPr="008E3652">
          <w:rPr>
            <w:rFonts w:ascii="Soberana Sans Light" w:hAnsi="Soberana Sans Light"/>
          </w:rPr>
          <w:fldChar w:fldCharType="begin"/>
        </w:r>
        <w:r w:rsidR="00342E07" w:rsidRPr="008E3652">
          <w:rPr>
            <w:rFonts w:ascii="Soberana Sans Light" w:hAnsi="Soberana Sans Light"/>
          </w:rPr>
          <w:instrText>PAGE   \* MERGEFORMAT</w:instrText>
        </w:r>
        <w:r w:rsidR="0012092B" w:rsidRPr="008E3652">
          <w:rPr>
            <w:rFonts w:ascii="Soberana Sans Light" w:hAnsi="Soberana Sans Light"/>
          </w:rPr>
          <w:fldChar w:fldCharType="separate"/>
        </w:r>
        <w:r w:rsidRPr="00C66F53">
          <w:rPr>
            <w:rFonts w:ascii="Soberana Sans Light" w:hAnsi="Soberana Sans Light"/>
            <w:noProof/>
            <w:lang w:val="es-ES"/>
          </w:rPr>
          <w:t>1</w:t>
        </w:r>
        <w:r w:rsidR="0012092B"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BAC" w:rsidRDefault="00B55BAC" w:rsidP="00EA5418">
      <w:pPr>
        <w:spacing w:after="0" w:line="240" w:lineRule="auto"/>
      </w:pPr>
      <w:r>
        <w:separator/>
      </w:r>
    </w:p>
  </w:footnote>
  <w:footnote w:type="continuationSeparator" w:id="0">
    <w:p w:rsidR="00B55BAC" w:rsidRDefault="00B55BAC"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07" w:rsidRDefault="00C66F53">
    <w:pPr>
      <w:pStyle w:val="Encabezado"/>
    </w:pPr>
    <w:r>
      <w:rPr>
        <w:rFonts w:ascii="Soberana Sans Light" w:hAnsi="Soberana Sans Light"/>
        <w:noProof/>
        <w:lang w:eastAsia="es-MX"/>
      </w:rPr>
      <w:pict>
        <v:group id="6 Grupo" o:spid="_x0000_s2053" style="position:absolute;margin-left:155pt;margin-top:-21.85pt;width:325.95pt;height:39.2pt;z-index:251668480;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2054"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C472B4" w:rsidRDefault="00C472B4" w:rsidP="00C472B4">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C472B4" w:rsidRDefault="00C472B4" w:rsidP="00C472B4">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C472B4" w:rsidRPr="00275FC6" w:rsidRDefault="00C472B4" w:rsidP="00C472B4">
                  <w:pPr>
                    <w:jc w:val="right"/>
                    <w:rPr>
                      <w:rFonts w:ascii="Soberana Titular" w:hAnsi="Soberana Titular" w:cs="Arial"/>
                      <w:color w:val="808080" w:themeColor="background1" w:themeShade="80"/>
                      <w:sz w:val="20"/>
                      <w:szCs w:val="20"/>
                    </w:rPr>
                  </w:pPr>
                </w:p>
              </w:txbxContent>
            </v:textbox>
          </v:shape>
          <v:group id="9 Grupo" o:spid="_x0000_s2055"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7"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C472B4" w:rsidRDefault="00FC7AD8" w:rsidP="00C472B4">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w:t>
                    </w:r>
                    <w:r w:rsidR="00AF3C16">
                      <w:rPr>
                        <w:rFonts w:ascii="Soberana Titular" w:hAnsi="Soberana Titular" w:cs="Arial"/>
                        <w:color w:val="808080" w:themeColor="background1" w:themeShade="80"/>
                        <w:sz w:val="42"/>
                        <w:szCs w:val="42"/>
                      </w:rPr>
                      <w:t>20</w:t>
                    </w:r>
                  </w:p>
                  <w:p w:rsidR="00C472B4" w:rsidRDefault="00C472B4" w:rsidP="00C472B4">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C472B4" w:rsidRPr="00275FC6" w:rsidRDefault="00C472B4" w:rsidP="00C472B4">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strokecolor="#622423 [1605]" strokeweight="1.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07" w:rsidRPr="0013011C" w:rsidRDefault="00C66F53" w:rsidP="0013011C">
    <w:pPr>
      <w:pStyle w:val="Encabezado"/>
      <w:jc w:val="center"/>
      <w:rPr>
        <w:rFonts w:ascii="Soberana Sans Light" w:hAnsi="Soberana Sans Light"/>
      </w:rPr>
    </w:pPr>
    <w:r>
      <w:rPr>
        <w:rFonts w:ascii="Soberana Sans Light" w:hAnsi="Soberana Sans Light"/>
        <w:noProof/>
        <w:color w:val="632423" w:themeColor="accent2" w:themeShade="80"/>
        <w:lang w:eastAsia="es-MX"/>
      </w:rPr>
      <w:pict>
        <v:line id="1 Conector recto" o:spid="_x0000_s2051" style="position:absolute;left:0;text-align:left;flip:y;z-index:251659264;visibility:visible;mso-width-relative:margin" from="-56.05pt,14.2pt" to="738pt,15.5pt" strokecolor="#622423 [1605]" strokeweight="1.5pt"/>
      </w:pict>
    </w:r>
    <w:r w:rsidR="00342E07">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C5B169B"/>
    <w:multiLevelType w:val="multilevel"/>
    <w:tmpl w:val="36BAE9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06461FC"/>
    <w:multiLevelType w:val="hybridMultilevel"/>
    <w:tmpl w:val="B7CA59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22513306"/>
    <w:multiLevelType w:val="hybridMultilevel"/>
    <w:tmpl w:val="311A199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6690623"/>
    <w:multiLevelType w:val="hybridMultilevel"/>
    <w:tmpl w:val="43C8C2CC"/>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1A479DD"/>
    <w:multiLevelType w:val="hybridMultilevel"/>
    <w:tmpl w:val="E0547AE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1BA4C02"/>
    <w:multiLevelType w:val="hybridMultilevel"/>
    <w:tmpl w:val="53AA165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6EEC206D"/>
    <w:multiLevelType w:val="multilevel"/>
    <w:tmpl w:val="9E8CFD2A"/>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8"/>
  </w:num>
  <w:num w:numId="4">
    <w:abstractNumId w:val="6"/>
  </w:num>
  <w:num w:numId="5">
    <w:abstractNumId w:val="5"/>
  </w:num>
  <w:num w:numId="6">
    <w:abstractNumId w:val="9"/>
  </w:num>
  <w:num w:numId="7">
    <w:abstractNumId w:val="13"/>
  </w:num>
  <w:num w:numId="8">
    <w:abstractNumId w:val="12"/>
  </w:num>
  <w:num w:numId="9">
    <w:abstractNumId w:val="14"/>
  </w:num>
  <w:num w:numId="10">
    <w:abstractNumId w:val="2"/>
  </w:num>
  <w:num w:numId="11">
    <w:abstractNumId w:val="3"/>
  </w:num>
  <w:num w:numId="12">
    <w:abstractNumId w:val="10"/>
  </w:num>
  <w:num w:numId="13">
    <w:abstractNumId w:val="4"/>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40466"/>
    <w:rsid w:val="00044C24"/>
    <w:rsid w:val="00056042"/>
    <w:rsid w:val="00106D2F"/>
    <w:rsid w:val="00111EB6"/>
    <w:rsid w:val="0012092B"/>
    <w:rsid w:val="0013011C"/>
    <w:rsid w:val="00131EDB"/>
    <w:rsid w:val="001646D9"/>
    <w:rsid w:val="001B1B72"/>
    <w:rsid w:val="001D4205"/>
    <w:rsid w:val="002865A7"/>
    <w:rsid w:val="002A70B3"/>
    <w:rsid w:val="002B373E"/>
    <w:rsid w:val="002E5897"/>
    <w:rsid w:val="00307635"/>
    <w:rsid w:val="00342E07"/>
    <w:rsid w:val="00355821"/>
    <w:rsid w:val="003575A4"/>
    <w:rsid w:val="003610E0"/>
    <w:rsid w:val="00372F40"/>
    <w:rsid w:val="003C5196"/>
    <w:rsid w:val="003D5DBF"/>
    <w:rsid w:val="003E7FD0"/>
    <w:rsid w:val="0044253C"/>
    <w:rsid w:val="00472C20"/>
    <w:rsid w:val="00477FA4"/>
    <w:rsid w:val="00486AE1"/>
    <w:rsid w:val="00497D8B"/>
    <w:rsid w:val="004D41B8"/>
    <w:rsid w:val="00502D8E"/>
    <w:rsid w:val="005117F4"/>
    <w:rsid w:val="00522632"/>
    <w:rsid w:val="00531310"/>
    <w:rsid w:val="00534982"/>
    <w:rsid w:val="00540418"/>
    <w:rsid w:val="00582405"/>
    <w:rsid w:val="005859FA"/>
    <w:rsid w:val="005A6215"/>
    <w:rsid w:val="006048D2"/>
    <w:rsid w:val="00611E39"/>
    <w:rsid w:val="0065402E"/>
    <w:rsid w:val="006560EA"/>
    <w:rsid w:val="006B729B"/>
    <w:rsid w:val="006E6B8E"/>
    <w:rsid w:val="006E77DD"/>
    <w:rsid w:val="0079582C"/>
    <w:rsid w:val="007C57BF"/>
    <w:rsid w:val="007D6E9A"/>
    <w:rsid w:val="007E66BD"/>
    <w:rsid w:val="00850E90"/>
    <w:rsid w:val="00891C37"/>
    <w:rsid w:val="008A6E4D"/>
    <w:rsid w:val="008B0017"/>
    <w:rsid w:val="008B6DA0"/>
    <w:rsid w:val="008D4272"/>
    <w:rsid w:val="008E3652"/>
    <w:rsid w:val="00A14B74"/>
    <w:rsid w:val="00A6199A"/>
    <w:rsid w:val="00AB13B7"/>
    <w:rsid w:val="00AF3C16"/>
    <w:rsid w:val="00B03540"/>
    <w:rsid w:val="00B17423"/>
    <w:rsid w:val="00B42A02"/>
    <w:rsid w:val="00B55BAC"/>
    <w:rsid w:val="00B849EE"/>
    <w:rsid w:val="00BD1307"/>
    <w:rsid w:val="00BE6AE4"/>
    <w:rsid w:val="00C44F01"/>
    <w:rsid w:val="00C472B4"/>
    <w:rsid w:val="00C66F53"/>
    <w:rsid w:val="00C73AD7"/>
    <w:rsid w:val="00C90C08"/>
    <w:rsid w:val="00CA2D37"/>
    <w:rsid w:val="00CC5CB6"/>
    <w:rsid w:val="00CD6C7C"/>
    <w:rsid w:val="00D055EC"/>
    <w:rsid w:val="00D404ED"/>
    <w:rsid w:val="00D51261"/>
    <w:rsid w:val="00D748D3"/>
    <w:rsid w:val="00DD230F"/>
    <w:rsid w:val="00E32708"/>
    <w:rsid w:val="00E91F79"/>
    <w:rsid w:val="00E96B15"/>
    <w:rsid w:val="00EA5418"/>
    <w:rsid w:val="00F21604"/>
    <w:rsid w:val="00F96944"/>
    <w:rsid w:val="00FC7AD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18"/>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2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eastAsia="Times New Roman" w:cs="Arial"/>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eastAsia="Times New Roman" w:cs="Arial"/>
      <w:szCs w:val="18"/>
      <w:lang w:val="es-ES" w:eastAsia="es-ES"/>
    </w:rPr>
  </w:style>
  <w:style w:type="paragraph" w:customStyle="1" w:styleId="INCISO">
    <w:name w:val="INCISO"/>
    <w:basedOn w:val="Normal"/>
    <w:rsid w:val="00540418"/>
    <w:pPr>
      <w:spacing w:after="101" w:line="216" w:lineRule="exact"/>
      <w:ind w:left="1080" w:hanging="360"/>
      <w:jc w:val="both"/>
    </w:pPr>
    <w:rPr>
      <w:rFonts w:eastAsia="Times New Roman" w:cs="Arial"/>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B1EC5-4D9F-45A7-AA60-FE1C194EF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Pages>
  <Words>512</Words>
  <Characters>2819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Contabilidad</cp:lastModifiedBy>
  <cp:revision>28</cp:revision>
  <cp:lastPrinted>2020-04-01T18:19:00Z</cp:lastPrinted>
  <dcterms:created xsi:type="dcterms:W3CDTF">2014-09-01T14:30:00Z</dcterms:created>
  <dcterms:modified xsi:type="dcterms:W3CDTF">2020-10-03T20:53:00Z</dcterms:modified>
</cp:coreProperties>
</file>