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036E31">
        <w:rPr>
          <w:rFonts w:ascii="Arial" w:hAnsi="Arial" w:cs="Arial"/>
          <w:sz w:val="18"/>
          <w:szCs w:val="18"/>
        </w:rPr>
        <w:t>2</w:t>
      </w:r>
      <w:r>
        <w:rPr>
          <w:rFonts w:ascii="Arial" w:hAnsi="Arial" w:cs="Arial"/>
          <w:sz w:val="18"/>
          <w:szCs w:val="18"/>
        </w:rPr>
        <w:t>,</w:t>
      </w:r>
      <w:r w:rsidR="00036E31">
        <w:rPr>
          <w:rFonts w:ascii="Arial" w:hAnsi="Arial" w:cs="Arial"/>
          <w:sz w:val="18"/>
          <w:szCs w:val="18"/>
        </w:rPr>
        <w:t>939</w:t>
      </w:r>
      <w:r>
        <w:rPr>
          <w:rFonts w:ascii="Arial" w:hAnsi="Arial" w:cs="Arial"/>
          <w:sz w:val="18"/>
          <w:szCs w:val="18"/>
        </w:rPr>
        <w:t>,</w:t>
      </w:r>
      <w:r w:rsidR="00036E31">
        <w:rPr>
          <w:rFonts w:ascii="Arial" w:hAnsi="Arial" w:cs="Arial"/>
          <w:sz w:val="18"/>
          <w:szCs w:val="18"/>
        </w:rPr>
        <w:t>643</w:t>
      </w:r>
      <w:r>
        <w:rPr>
          <w:rFonts w:ascii="Arial" w:hAnsi="Arial" w:cs="Arial"/>
          <w:sz w:val="18"/>
          <w:szCs w:val="18"/>
        </w:rPr>
        <w:t>,</w:t>
      </w:r>
      <w:r w:rsidR="00036E31">
        <w:rPr>
          <w:rFonts w:ascii="Arial" w:hAnsi="Arial" w:cs="Arial"/>
          <w:sz w:val="18"/>
          <w:szCs w:val="18"/>
        </w:rPr>
        <w:t>501</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553D3">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20F4C">
        <w:rPr>
          <w:rFonts w:ascii="Arial" w:hAnsi="Arial" w:cs="Arial"/>
          <w:sz w:val="18"/>
          <w:szCs w:val="18"/>
        </w:rPr>
        <w:t>3</w:t>
      </w:r>
      <w:r w:rsidR="004553D3">
        <w:rPr>
          <w:rFonts w:ascii="Arial" w:hAnsi="Arial" w:cs="Arial"/>
          <w:sz w:val="18"/>
          <w:szCs w:val="18"/>
        </w:rPr>
        <w:t>5</w:t>
      </w:r>
      <w:r>
        <w:rPr>
          <w:rFonts w:ascii="Arial" w:hAnsi="Arial" w:cs="Arial"/>
          <w:sz w:val="18"/>
          <w:szCs w:val="18"/>
        </w:rPr>
        <w:t>,</w:t>
      </w:r>
      <w:r w:rsidR="004553D3">
        <w:rPr>
          <w:rFonts w:ascii="Arial" w:hAnsi="Arial" w:cs="Arial"/>
          <w:sz w:val="18"/>
          <w:szCs w:val="18"/>
        </w:rPr>
        <w:t>707</w:t>
      </w:r>
      <w:r>
        <w:rPr>
          <w:rFonts w:ascii="Arial" w:hAnsi="Arial" w:cs="Arial"/>
          <w:sz w:val="18"/>
          <w:szCs w:val="18"/>
        </w:rPr>
        <w:t>,</w:t>
      </w:r>
      <w:r w:rsidR="004553D3">
        <w:rPr>
          <w:rFonts w:ascii="Arial" w:hAnsi="Arial" w:cs="Arial"/>
          <w:sz w:val="18"/>
          <w:szCs w:val="18"/>
        </w:rPr>
        <w:t>586</w:t>
      </w:r>
      <w:r w:rsidRPr="0073056A">
        <w:rPr>
          <w:rFonts w:ascii="Arial" w:hAnsi="Arial" w:cs="Arial"/>
          <w:sz w:val="18"/>
          <w:szCs w:val="18"/>
        </w:rPr>
        <w:t xml:space="preserve"> que se tiene al cierre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sidR="004553D3">
        <w:rPr>
          <w:rFonts w:ascii="Arial" w:hAnsi="Arial" w:cs="Arial"/>
          <w:sz w:val="18"/>
          <w:szCs w:val="18"/>
        </w:rPr>
        <w:t xml:space="preserve">al cierre del ejercicio 2020 </w:t>
      </w:r>
      <w:r>
        <w:rPr>
          <w:rFonts w:ascii="Arial" w:hAnsi="Arial" w:cs="Arial"/>
          <w:sz w:val="18"/>
          <w:szCs w:val="18"/>
        </w:rPr>
        <w:t>la cuenta de</w:t>
      </w:r>
      <w:r w:rsidRPr="0073056A">
        <w:rPr>
          <w:rFonts w:ascii="Arial" w:hAnsi="Arial" w:cs="Arial"/>
          <w:sz w:val="18"/>
          <w:szCs w:val="18"/>
        </w:rPr>
        <w:t xml:space="preserve"> Derechos a Recibir Bienes o Servicios</w:t>
      </w:r>
      <w:r w:rsidR="00120F4C">
        <w:rPr>
          <w:rFonts w:ascii="Arial" w:hAnsi="Arial" w:cs="Arial"/>
          <w:sz w:val="18"/>
          <w:szCs w:val="18"/>
        </w:rPr>
        <w:t xml:space="preserve"> </w:t>
      </w:r>
      <w:r w:rsidR="004553D3">
        <w:rPr>
          <w:rFonts w:ascii="Arial" w:hAnsi="Arial" w:cs="Arial"/>
          <w:sz w:val="18"/>
          <w:szCs w:val="18"/>
        </w:rPr>
        <w:t>no presenta saldo alguno, ya que este se integraría por</w:t>
      </w:r>
      <w:r w:rsidRPr="0073056A">
        <w:rPr>
          <w:rFonts w:ascii="Arial" w:hAnsi="Arial" w:cs="Arial"/>
          <w:sz w:val="18"/>
          <w:szCs w:val="18"/>
        </w:rPr>
        <w:t xml:space="preserve"> </w:t>
      </w:r>
      <w:r w:rsidR="004553D3">
        <w:rPr>
          <w:rFonts w:ascii="Arial" w:hAnsi="Arial" w:cs="Arial"/>
          <w:sz w:val="18"/>
          <w:szCs w:val="18"/>
        </w:rPr>
        <w:t>los</w:t>
      </w:r>
      <w:r w:rsidRPr="0073056A">
        <w:rPr>
          <w:rFonts w:ascii="Arial" w:hAnsi="Arial" w:cs="Arial"/>
          <w:sz w:val="18"/>
          <w:szCs w:val="18"/>
        </w:rPr>
        <w:t xml:space="preserve">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4553D3">
        <w:rPr>
          <w:rFonts w:ascii="Arial" w:hAnsi="Arial" w:cs="Arial"/>
          <w:sz w:val="18"/>
          <w:szCs w:val="18"/>
        </w:rPr>
        <w:t>70</w:t>
      </w:r>
      <w:r>
        <w:rPr>
          <w:rFonts w:ascii="Arial" w:hAnsi="Arial" w:cs="Arial"/>
          <w:sz w:val="18"/>
          <w:szCs w:val="18"/>
        </w:rPr>
        <w:t>,</w:t>
      </w:r>
      <w:r w:rsidR="004553D3">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Al cierre del 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20F4C">
        <w:rPr>
          <w:rFonts w:ascii="Arial" w:hAnsi="Arial" w:cs="Arial"/>
          <w:sz w:val="18"/>
          <w:szCs w:val="18"/>
        </w:rPr>
        <w:t>6</w:t>
      </w:r>
      <w:r w:rsidR="006B4539">
        <w:rPr>
          <w:rFonts w:ascii="Arial" w:hAnsi="Arial" w:cs="Arial"/>
          <w:sz w:val="18"/>
          <w:szCs w:val="18"/>
        </w:rPr>
        <w:t>73</w:t>
      </w:r>
      <w:r>
        <w:rPr>
          <w:rFonts w:ascii="Arial" w:hAnsi="Arial" w:cs="Arial"/>
          <w:sz w:val="18"/>
          <w:szCs w:val="18"/>
        </w:rPr>
        <w:t>,</w:t>
      </w:r>
      <w:r w:rsidR="006B4539">
        <w:rPr>
          <w:rFonts w:ascii="Arial" w:hAnsi="Arial" w:cs="Arial"/>
          <w:sz w:val="18"/>
          <w:szCs w:val="18"/>
        </w:rPr>
        <w:t>818</w:t>
      </w:r>
      <w:r>
        <w:rPr>
          <w:rFonts w:ascii="Arial" w:hAnsi="Arial" w:cs="Arial"/>
          <w:sz w:val="18"/>
          <w:szCs w:val="18"/>
        </w:rPr>
        <w:t>,</w:t>
      </w:r>
      <w:r w:rsidR="006B4539">
        <w:rPr>
          <w:rFonts w:ascii="Arial" w:hAnsi="Arial" w:cs="Arial"/>
          <w:sz w:val="18"/>
          <w:szCs w:val="18"/>
        </w:rPr>
        <w:t>461</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B4539">
        <w:rPr>
          <w:rFonts w:ascii="Arial" w:hAnsi="Arial" w:cs="Arial"/>
          <w:sz w:val="18"/>
          <w:szCs w:val="18"/>
        </w:rPr>
        <w:t>9</w:t>
      </w:r>
      <w:r w:rsidRPr="00F619D6">
        <w:rPr>
          <w:rFonts w:ascii="Arial" w:hAnsi="Arial" w:cs="Arial"/>
          <w:sz w:val="18"/>
          <w:szCs w:val="18"/>
        </w:rPr>
        <w:t>,</w:t>
      </w:r>
      <w:r w:rsidR="006B4539">
        <w:rPr>
          <w:rFonts w:ascii="Arial" w:hAnsi="Arial" w:cs="Arial"/>
          <w:sz w:val="18"/>
          <w:szCs w:val="18"/>
        </w:rPr>
        <w:t>181</w:t>
      </w:r>
      <w:r w:rsidRPr="00F619D6">
        <w:rPr>
          <w:rFonts w:ascii="Arial" w:hAnsi="Arial" w:cs="Arial"/>
          <w:sz w:val="18"/>
          <w:szCs w:val="18"/>
        </w:rPr>
        <w:t>,</w:t>
      </w:r>
      <w:r w:rsidR="006B4539">
        <w:rPr>
          <w:rFonts w:ascii="Arial" w:hAnsi="Arial" w:cs="Arial"/>
          <w:sz w:val="18"/>
          <w:szCs w:val="18"/>
        </w:rPr>
        <w:t>806</w:t>
      </w:r>
      <w:r w:rsidRPr="00F619D6">
        <w:rPr>
          <w:rFonts w:ascii="Arial" w:hAnsi="Arial" w:cs="Arial"/>
          <w:sz w:val="18"/>
          <w:szCs w:val="18"/>
        </w:rPr>
        <w:t>,</w:t>
      </w:r>
      <w:r w:rsidR="006B4539">
        <w:rPr>
          <w:rFonts w:ascii="Arial" w:hAnsi="Arial" w:cs="Arial"/>
          <w:sz w:val="18"/>
          <w:szCs w:val="18"/>
        </w:rPr>
        <w:t>849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390121">
        <w:rPr>
          <w:rFonts w:ascii="Arial" w:hAnsi="Arial" w:cs="Arial"/>
          <w:sz w:val="18"/>
          <w:szCs w:val="18"/>
        </w:rPr>
        <w:t>113</w:t>
      </w:r>
      <w:r>
        <w:rPr>
          <w:rFonts w:ascii="Arial" w:hAnsi="Arial" w:cs="Arial"/>
          <w:sz w:val="18"/>
          <w:szCs w:val="18"/>
        </w:rPr>
        <w:t>,</w:t>
      </w:r>
      <w:r w:rsidR="00390121">
        <w:rPr>
          <w:rFonts w:ascii="Arial" w:hAnsi="Arial" w:cs="Arial"/>
          <w:sz w:val="18"/>
          <w:szCs w:val="18"/>
        </w:rPr>
        <w:t>564</w:t>
      </w:r>
      <w:r>
        <w:rPr>
          <w:rFonts w:ascii="Arial" w:hAnsi="Arial" w:cs="Arial"/>
          <w:sz w:val="18"/>
          <w:szCs w:val="18"/>
        </w:rPr>
        <w:t>,</w:t>
      </w:r>
      <w:r w:rsidR="00390121">
        <w:rPr>
          <w:rFonts w:ascii="Arial" w:hAnsi="Arial" w:cs="Arial"/>
          <w:sz w:val="18"/>
          <w:szCs w:val="18"/>
        </w:rPr>
        <w:t>147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w:t>
      </w:r>
      <w:r w:rsidR="00390121">
        <w:rPr>
          <w:rFonts w:ascii="Arial" w:hAnsi="Arial" w:cs="Arial"/>
          <w:sz w:val="18"/>
          <w:szCs w:val="18"/>
        </w:rPr>
        <w:t xml:space="preserve">cierre </w:t>
      </w:r>
      <w:r>
        <w:rPr>
          <w:rFonts w:ascii="Arial" w:hAnsi="Arial" w:cs="Arial"/>
          <w:sz w:val="18"/>
          <w:szCs w:val="18"/>
        </w:rPr>
        <w:t>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r>
        <w:rPr>
          <w:rFonts w:ascii="Arial" w:hAnsi="Arial" w:cs="Arial"/>
          <w:sz w:val="18"/>
          <w:szCs w:val="18"/>
        </w:rPr>
        <w:t>,</w:t>
      </w:r>
      <w:r w:rsidR="00D320D5">
        <w:rPr>
          <w:rFonts w:ascii="Arial" w:hAnsi="Arial" w:cs="Arial"/>
          <w:sz w:val="18"/>
          <w:szCs w:val="18"/>
        </w:rPr>
        <w:t>8</w:t>
      </w:r>
      <w:r w:rsidR="00F86D96">
        <w:rPr>
          <w:rFonts w:ascii="Arial" w:hAnsi="Arial" w:cs="Arial"/>
          <w:sz w:val="18"/>
          <w:szCs w:val="18"/>
        </w:rPr>
        <w:t>56</w:t>
      </w:r>
      <w:r>
        <w:rPr>
          <w:rFonts w:ascii="Arial" w:hAnsi="Arial" w:cs="Arial"/>
          <w:sz w:val="18"/>
          <w:szCs w:val="18"/>
        </w:rPr>
        <w:t>,</w:t>
      </w:r>
      <w:r w:rsidR="00F86D96">
        <w:rPr>
          <w:rFonts w:ascii="Arial" w:hAnsi="Arial" w:cs="Arial"/>
          <w:sz w:val="18"/>
          <w:szCs w:val="18"/>
        </w:rPr>
        <w:t>396</w:t>
      </w:r>
      <w:r>
        <w:rPr>
          <w:rFonts w:ascii="Arial" w:hAnsi="Arial" w:cs="Arial"/>
          <w:sz w:val="18"/>
          <w:szCs w:val="18"/>
        </w:rPr>
        <w:t>,</w:t>
      </w:r>
      <w:r w:rsidR="00D320D5">
        <w:rPr>
          <w:rFonts w:ascii="Arial" w:hAnsi="Arial" w:cs="Arial"/>
          <w:sz w:val="18"/>
          <w:szCs w:val="18"/>
        </w:rPr>
        <w:t>71</w:t>
      </w:r>
      <w:r w:rsidR="00F86D96">
        <w:rPr>
          <w:rFonts w:ascii="Arial" w:hAnsi="Arial" w:cs="Arial"/>
          <w:sz w:val="18"/>
          <w:szCs w:val="18"/>
        </w:rPr>
        <w:t>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206E8">
        <w:rPr>
          <w:rFonts w:ascii="Arial" w:hAnsi="Arial" w:cs="Arial"/>
          <w:sz w:val="18"/>
          <w:szCs w:val="18"/>
          <w:lang w:val="es-ES"/>
        </w:rPr>
        <w:t>cierre</w:t>
      </w:r>
      <w:r w:rsidR="00415099">
        <w:rPr>
          <w:rFonts w:ascii="Arial" w:hAnsi="Arial" w:cs="Arial"/>
          <w:sz w:val="18"/>
          <w:szCs w:val="18"/>
          <w:lang w:val="es-ES"/>
        </w:rPr>
        <w:t xml:space="preserv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206E8">
        <w:rPr>
          <w:rFonts w:ascii="Arial" w:hAnsi="Arial" w:cs="Arial"/>
          <w:sz w:val="18"/>
          <w:szCs w:val="18"/>
        </w:rPr>
        <w:t>23</w:t>
      </w:r>
      <w:r>
        <w:rPr>
          <w:rFonts w:ascii="Arial" w:hAnsi="Arial" w:cs="Arial"/>
          <w:sz w:val="18"/>
          <w:szCs w:val="18"/>
        </w:rPr>
        <w:t>,</w:t>
      </w:r>
      <w:r w:rsidR="002206E8">
        <w:rPr>
          <w:rFonts w:ascii="Arial" w:hAnsi="Arial" w:cs="Arial"/>
          <w:sz w:val="18"/>
          <w:szCs w:val="18"/>
        </w:rPr>
        <w:t>670</w:t>
      </w:r>
      <w:r>
        <w:rPr>
          <w:rFonts w:ascii="Arial" w:hAnsi="Arial" w:cs="Arial"/>
          <w:sz w:val="18"/>
          <w:szCs w:val="18"/>
        </w:rPr>
        <w:t>,</w:t>
      </w:r>
      <w:r w:rsidR="002206E8">
        <w:rPr>
          <w:rFonts w:ascii="Arial" w:hAnsi="Arial" w:cs="Arial"/>
          <w:sz w:val="18"/>
          <w:szCs w:val="18"/>
        </w:rPr>
        <w:t>708</w:t>
      </w:r>
      <w:r>
        <w:rPr>
          <w:rFonts w:ascii="Arial" w:hAnsi="Arial" w:cs="Arial"/>
          <w:sz w:val="18"/>
          <w:szCs w:val="18"/>
        </w:rPr>
        <w:t>,</w:t>
      </w:r>
      <w:r w:rsidR="002206E8">
        <w:rPr>
          <w:rFonts w:ascii="Arial" w:hAnsi="Arial" w:cs="Arial"/>
          <w:sz w:val="18"/>
          <w:szCs w:val="18"/>
        </w:rPr>
        <w:t>841</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206E8">
        <w:rPr>
          <w:rFonts w:ascii="Arial" w:hAnsi="Arial" w:cs="Arial"/>
          <w:sz w:val="18"/>
          <w:szCs w:val="18"/>
        </w:rPr>
        <w:t>22</w:t>
      </w:r>
      <w:r>
        <w:rPr>
          <w:rFonts w:ascii="Arial" w:hAnsi="Arial" w:cs="Arial"/>
          <w:sz w:val="18"/>
          <w:szCs w:val="18"/>
        </w:rPr>
        <w:t>,</w:t>
      </w:r>
      <w:r w:rsidR="002206E8">
        <w:rPr>
          <w:rFonts w:ascii="Arial" w:hAnsi="Arial" w:cs="Arial"/>
          <w:sz w:val="18"/>
          <w:szCs w:val="18"/>
        </w:rPr>
        <w:t>779</w:t>
      </w:r>
      <w:r>
        <w:rPr>
          <w:rFonts w:ascii="Arial" w:hAnsi="Arial" w:cs="Arial"/>
          <w:sz w:val="18"/>
          <w:szCs w:val="18"/>
        </w:rPr>
        <w:t>,</w:t>
      </w:r>
      <w:r w:rsidR="002206E8">
        <w:rPr>
          <w:rFonts w:ascii="Arial" w:hAnsi="Arial" w:cs="Arial"/>
          <w:sz w:val="18"/>
          <w:szCs w:val="18"/>
        </w:rPr>
        <w:t>952</w:t>
      </w:r>
      <w:r>
        <w:rPr>
          <w:rFonts w:ascii="Arial" w:hAnsi="Arial" w:cs="Arial"/>
          <w:sz w:val="18"/>
          <w:szCs w:val="18"/>
        </w:rPr>
        <w:t>,</w:t>
      </w:r>
      <w:r w:rsidR="002206E8">
        <w:rPr>
          <w:rFonts w:ascii="Arial" w:hAnsi="Arial" w:cs="Arial"/>
          <w:sz w:val="18"/>
          <w:szCs w:val="18"/>
        </w:rPr>
        <w:t>997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2206E8">
        <w:rPr>
          <w:rFonts w:ascii="Arial" w:hAnsi="Arial" w:cs="Arial"/>
          <w:sz w:val="18"/>
          <w:szCs w:val="18"/>
        </w:rPr>
        <w:t>890,755,844</w:t>
      </w:r>
      <w:r w:rsidRPr="0073056A">
        <w:rPr>
          <w:rFonts w:ascii="Arial" w:hAnsi="Arial" w:cs="Arial"/>
          <w:sz w:val="18"/>
          <w:szCs w:val="18"/>
        </w:rPr>
        <w:t xml:space="preserve">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w:t>
      </w:r>
      <w:r w:rsidR="00D320D5">
        <w:rPr>
          <w:rFonts w:ascii="Arial" w:hAnsi="Arial" w:cs="Arial"/>
          <w:sz w:val="18"/>
          <w:szCs w:val="18"/>
        </w:rPr>
        <w:t>cierre del ejercicio</w:t>
      </w:r>
      <w:r>
        <w:rPr>
          <w:rFonts w:ascii="Arial" w:hAnsi="Arial" w:cs="Arial"/>
          <w:sz w:val="18"/>
          <w:szCs w:val="18"/>
        </w:rPr>
        <w:t xml:space="preserv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D320D5">
        <w:rPr>
          <w:rFonts w:ascii="Arial" w:hAnsi="Arial" w:cs="Arial"/>
          <w:sz w:val="18"/>
          <w:szCs w:val="18"/>
        </w:rPr>
        <w:t>560</w:t>
      </w:r>
      <w:r>
        <w:rPr>
          <w:rFonts w:ascii="Arial" w:hAnsi="Arial" w:cs="Arial"/>
          <w:sz w:val="18"/>
          <w:szCs w:val="18"/>
        </w:rPr>
        <w:t>,</w:t>
      </w:r>
      <w:r w:rsidR="00D320D5">
        <w:rPr>
          <w:rFonts w:ascii="Arial" w:hAnsi="Arial" w:cs="Arial"/>
          <w:sz w:val="18"/>
          <w:szCs w:val="18"/>
        </w:rPr>
        <w:t>962</w:t>
      </w:r>
      <w:r>
        <w:rPr>
          <w:rFonts w:ascii="Arial" w:hAnsi="Arial" w:cs="Arial"/>
          <w:sz w:val="18"/>
          <w:szCs w:val="18"/>
        </w:rPr>
        <w:t>,</w:t>
      </w:r>
      <w:r w:rsidR="00D320D5">
        <w:rPr>
          <w:rFonts w:ascii="Arial" w:hAnsi="Arial" w:cs="Arial"/>
          <w:sz w:val="18"/>
          <w:szCs w:val="18"/>
        </w:rPr>
        <w:t>697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D320D5">
        <w:rPr>
          <w:rFonts w:ascii="Arial" w:hAnsi="Arial" w:cs="Arial"/>
          <w:sz w:val="18"/>
          <w:szCs w:val="18"/>
        </w:rPr>
        <w:t>53</w:t>
      </w:r>
      <w:r w:rsidR="00EC2DFD">
        <w:rPr>
          <w:rFonts w:ascii="Arial" w:hAnsi="Arial" w:cs="Arial"/>
          <w:sz w:val="18"/>
          <w:szCs w:val="18"/>
        </w:rPr>
        <w:t>1</w:t>
      </w:r>
      <w:r w:rsidR="00E004F0">
        <w:rPr>
          <w:rFonts w:ascii="Arial" w:hAnsi="Arial" w:cs="Arial"/>
          <w:sz w:val="18"/>
          <w:szCs w:val="18"/>
        </w:rPr>
        <w:t>,</w:t>
      </w:r>
      <w:r w:rsidR="00D320D5">
        <w:rPr>
          <w:rFonts w:ascii="Arial" w:hAnsi="Arial" w:cs="Arial"/>
          <w:sz w:val="18"/>
          <w:szCs w:val="18"/>
        </w:rPr>
        <w:t>983</w:t>
      </w:r>
      <w:r>
        <w:rPr>
          <w:rFonts w:ascii="Arial" w:hAnsi="Arial" w:cs="Arial"/>
          <w:sz w:val="18"/>
          <w:szCs w:val="18"/>
        </w:rPr>
        <w:t>,</w:t>
      </w:r>
      <w:r w:rsidR="00D320D5">
        <w:rPr>
          <w:rFonts w:ascii="Arial" w:hAnsi="Arial" w:cs="Arial"/>
          <w:sz w:val="18"/>
          <w:szCs w:val="18"/>
        </w:rPr>
        <w:t>666</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D320D5">
        <w:rPr>
          <w:rFonts w:ascii="Arial" w:hAnsi="Arial" w:cs="Arial"/>
          <w:sz w:val="18"/>
          <w:szCs w:val="18"/>
        </w:rPr>
        <w:t>22</w:t>
      </w:r>
      <w:r>
        <w:rPr>
          <w:rFonts w:ascii="Arial" w:hAnsi="Arial" w:cs="Arial"/>
          <w:sz w:val="18"/>
          <w:szCs w:val="18"/>
        </w:rPr>
        <w:t>,</w:t>
      </w:r>
      <w:r w:rsidR="00D320D5">
        <w:rPr>
          <w:rFonts w:ascii="Arial" w:hAnsi="Arial" w:cs="Arial"/>
          <w:sz w:val="18"/>
          <w:szCs w:val="18"/>
        </w:rPr>
        <w:t>49</w:t>
      </w:r>
      <w:r w:rsidR="00EC2DFD">
        <w:rPr>
          <w:rFonts w:ascii="Arial" w:hAnsi="Arial" w:cs="Arial"/>
          <w:sz w:val="18"/>
          <w:szCs w:val="18"/>
        </w:rPr>
        <w:t>4</w:t>
      </w:r>
      <w:r>
        <w:rPr>
          <w:rFonts w:ascii="Arial" w:hAnsi="Arial" w:cs="Arial"/>
          <w:sz w:val="18"/>
          <w:szCs w:val="18"/>
        </w:rPr>
        <w:t>,</w:t>
      </w:r>
      <w:r w:rsidR="00D320D5">
        <w:rPr>
          <w:rFonts w:ascii="Arial" w:hAnsi="Arial" w:cs="Arial"/>
          <w:sz w:val="18"/>
          <w:szCs w:val="18"/>
        </w:rPr>
        <w:t>933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D320D5">
        <w:rPr>
          <w:rFonts w:ascii="Arial" w:hAnsi="Arial" w:cs="Arial"/>
          <w:sz w:val="18"/>
          <w:szCs w:val="18"/>
        </w:rPr>
        <w:t>2</w:t>
      </w:r>
      <w:r>
        <w:rPr>
          <w:rFonts w:ascii="Arial" w:hAnsi="Arial" w:cs="Arial"/>
          <w:sz w:val="18"/>
          <w:szCs w:val="18"/>
        </w:rPr>
        <w:t>,</w:t>
      </w:r>
      <w:r w:rsidR="00D320D5">
        <w:rPr>
          <w:rFonts w:ascii="Arial" w:hAnsi="Arial" w:cs="Arial"/>
          <w:sz w:val="18"/>
          <w:szCs w:val="18"/>
        </w:rPr>
        <w:t>295</w:t>
      </w:r>
      <w:r>
        <w:rPr>
          <w:rFonts w:ascii="Arial" w:hAnsi="Arial" w:cs="Arial"/>
          <w:sz w:val="18"/>
          <w:szCs w:val="18"/>
        </w:rPr>
        <w:t>,</w:t>
      </w:r>
      <w:r w:rsidR="00D320D5">
        <w:rPr>
          <w:rFonts w:ascii="Arial" w:hAnsi="Arial" w:cs="Arial"/>
          <w:sz w:val="18"/>
          <w:szCs w:val="18"/>
        </w:rPr>
        <w:t>923</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w:t>
      </w:r>
      <w:r w:rsidR="008E4D41">
        <w:rPr>
          <w:rFonts w:ascii="Arial" w:hAnsi="Arial" w:cs="Arial"/>
          <w:sz w:val="18"/>
          <w:szCs w:val="18"/>
        </w:rPr>
        <w:t>cierre del ejercicio 2020</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8E4D41">
        <w:rPr>
          <w:rFonts w:ascii="Arial" w:hAnsi="Arial" w:cs="Arial"/>
          <w:sz w:val="18"/>
          <w:szCs w:val="18"/>
        </w:rPr>
        <w:t>344</w:t>
      </w:r>
      <w:r>
        <w:rPr>
          <w:rFonts w:ascii="Arial" w:hAnsi="Arial" w:cs="Arial"/>
          <w:sz w:val="18"/>
          <w:szCs w:val="18"/>
        </w:rPr>
        <w:t>,</w:t>
      </w:r>
      <w:r w:rsidR="008E4D41">
        <w:rPr>
          <w:rFonts w:ascii="Arial" w:hAnsi="Arial" w:cs="Arial"/>
          <w:sz w:val="18"/>
          <w:szCs w:val="18"/>
        </w:rPr>
        <w:t>598</w:t>
      </w:r>
      <w:r>
        <w:rPr>
          <w:rFonts w:ascii="Arial" w:hAnsi="Arial" w:cs="Arial"/>
          <w:sz w:val="18"/>
          <w:szCs w:val="18"/>
        </w:rPr>
        <w:t>,</w:t>
      </w:r>
      <w:r w:rsidR="008E4D41">
        <w:rPr>
          <w:rFonts w:ascii="Arial" w:hAnsi="Arial" w:cs="Arial"/>
          <w:sz w:val="18"/>
          <w:szCs w:val="18"/>
        </w:rPr>
        <w:t>466</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w:t>
      </w:r>
      <w:r w:rsidR="00D320D5">
        <w:rPr>
          <w:rFonts w:ascii="Arial" w:hAnsi="Arial" w:cs="Arial"/>
          <w:sz w:val="18"/>
          <w:szCs w:val="18"/>
        </w:rPr>
        <w:t>cierre del ejercicio 2020</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97D52">
        <w:rPr>
          <w:rFonts w:ascii="Arial" w:hAnsi="Arial" w:cs="Arial"/>
          <w:sz w:val="18"/>
          <w:szCs w:val="18"/>
        </w:rPr>
        <w:t>1</w:t>
      </w:r>
      <w:r w:rsidR="008E4D41">
        <w:rPr>
          <w:rFonts w:ascii="Arial" w:hAnsi="Arial" w:cs="Arial"/>
          <w:sz w:val="18"/>
          <w:szCs w:val="18"/>
        </w:rPr>
        <w:t>89</w:t>
      </w:r>
      <w:r w:rsidRPr="00502DDD">
        <w:rPr>
          <w:rFonts w:ascii="Arial" w:hAnsi="Arial" w:cs="Arial"/>
          <w:sz w:val="18"/>
          <w:szCs w:val="18"/>
        </w:rPr>
        <w:t>,</w:t>
      </w:r>
      <w:r w:rsidR="008E4D41">
        <w:rPr>
          <w:rFonts w:ascii="Arial" w:hAnsi="Arial" w:cs="Arial"/>
          <w:sz w:val="18"/>
          <w:szCs w:val="18"/>
        </w:rPr>
        <w:t>686</w:t>
      </w:r>
      <w:r w:rsidRPr="00502DDD">
        <w:rPr>
          <w:rFonts w:ascii="Arial" w:hAnsi="Arial" w:cs="Arial"/>
          <w:sz w:val="18"/>
          <w:szCs w:val="18"/>
        </w:rPr>
        <w:t>,</w:t>
      </w:r>
      <w:r w:rsidR="008E4D41">
        <w:rPr>
          <w:rFonts w:ascii="Arial" w:hAnsi="Arial" w:cs="Arial"/>
          <w:sz w:val="18"/>
          <w:szCs w:val="18"/>
        </w:rPr>
        <w:t>003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E4D41" w:rsidP="00FE1848">
      <w:pPr>
        <w:tabs>
          <w:tab w:val="left" w:pos="284"/>
        </w:tabs>
        <w:spacing w:after="0"/>
        <w:ind w:left="284"/>
        <w:jc w:val="both"/>
        <w:rPr>
          <w:rFonts w:ascii="Arial" w:hAnsi="Arial" w:cs="Arial"/>
          <w:sz w:val="18"/>
          <w:szCs w:val="18"/>
        </w:rPr>
      </w:pPr>
      <w:r>
        <w:rPr>
          <w:rFonts w:ascii="Arial" w:hAnsi="Arial" w:cs="Arial"/>
          <w:sz w:val="18"/>
          <w:szCs w:val="18"/>
        </w:rPr>
        <w:t>Al cierre</w:t>
      </w:r>
      <w:r w:rsidR="00FE1848">
        <w:rPr>
          <w:rFonts w:ascii="Arial" w:hAnsi="Arial" w:cs="Arial"/>
          <w:sz w:val="18"/>
          <w:szCs w:val="18"/>
        </w:rPr>
        <w:t xml:space="preserve"> del </w:t>
      </w:r>
      <w:r w:rsidR="00FE1848" w:rsidRPr="0073056A">
        <w:rPr>
          <w:rFonts w:ascii="Arial" w:hAnsi="Arial" w:cs="Arial"/>
          <w:sz w:val="18"/>
          <w:szCs w:val="18"/>
        </w:rPr>
        <w:t>eje</w:t>
      </w:r>
      <w:r w:rsidR="00FE1848">
        <w:rPr>
          <w:rFonts w:ascii="Arial" w:hAnsi="Arial" w:cs="Arial"/>
          <w:sz w:val="18"/>
          <w:szCs w:val="18"/>
        </w:rPr>
        <w:t>rcicio 20</w:t>
      </w:r>
      <w:r w:rsidR="00043D1E">
        <w:rPr>
          <w:rFonts w:ascii="Arial" w:hAnsi="Arial" w:cs="Arial"/>
          <w:sz w:val="18"/>
          <w:szCs w:val="18"/>
        </w:rPr>
        <w:t>20</w:t>
      </w:r>
      <w:r w:rsidR="00FE1848" w:rsidRPr="0073056A">
        <w:rPr>
          <w:rFonts w:ascii="Arial" w:hAnsi="Arial" w:cs="Arial"/>
          <w:sz w:val="18"/>
          <w:szCs w:val="18"/>
        </w:rPr>
        <w:t>, el Estado obtuvo ingresos por concepto de Aprovechamientos por un monto de $</w:t>
      </w:r>
      <w:r w:rsidR="00FE1848">
        <w:rPr>
          <w:rFonts w:ascii="Arial" w:hAnsi="Arial" w:cs="Arial"/>
          <w:sz w:val="18"/>
          <w:szCs w:val="18"/>
        </w:rPr>
        <w:t xml:space="preserve"> </w:t>
      </w:r>
      <w:r>
        <w:rPr>
          <w:rFonts w:ascii="Arial" w:hAnsi="Arial" w:cs="Arial"/>
          <w:sz w:val="18"/>
          <w:szCs w:val="18"/>
        </w:rPr>
        <w:t>717</w:t>
      </w:r>
      <w:r w:rsidR="00FE1848">
        <w:rPr>
          <w:rFonts w:ascii="Arial" w:hAnsi="Arial" w:cs="Arial"/>
          <w:sz w:val="18"/>
          <w:szCs w:val="18"/>
        </w:rPr>
        <w:t>,</w:t>
      </w:r>
      <w:r w:rsidR="006B4727">
        <w:rPr>
          <w:rFonts w:ascii="Arial" w:hAnsi="Arial" w:cs="Arial"/>
          <w:sz w:val="18"/>
          <w:szCs w:val="18"/>
        </w:rPr>
        <w:t>824</w:t>
      </w:r>
      <w:r w:rsidR="00FE1848">
        <w:rPr>
          <w:rFonts w:ascii="Arial" w:hAnsi="Arial" w:cs="Arial"/>
          <w:sz w:val="18"/>
          <w:szCs w:val="18"/>
        </w:rPr>
        <w:t>,</w:t>
      </w:r>
      <w:r w:rsidR="00FE1848" w:rsidRPr="0073056A">
        <w:rPr>
          <w:rFonts w:ascii="Arial" w:hAnsi="Arial" w:cs="Arial"/>
          <w:sz w:val="18"/>
          <w:szCs w:val="18"/>
        </w:rPr>
        <w:t xml:space="preserve"> constituido por </w:t>
      </w:r>
      <w:r w:rsidR="00FE1848">
        <w:rPr>
          <w:rFonts w:ascii="Arial" w:hAnsi="Arial" w:cs="Arial"/>
          <w:sz w:val="18"/>
          <w:szCs w:val="18"/>
        </w:rPr>
        <w:t>los ingresos que percibe el Estado por funciones de Derecho Público, distintos de las contribuciones</w:t>
      </w:r>
      <w:r w:rsidR="00FE1848"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8E4D41">
        <w:rPr>
          <w:rFonts w:ascii="Arial" w:hAnsi="Arial" w:cs="Arial"/>
          <w:sz w:val="18"/>
          <w:szCs w:val="18"/>
        </w:rPr>
        <w:t>109</w:t>
      </w:r>
      <w:r>
        <w:rPr>
          <w:rFonts w:ascii="Arial" w:hAnsi="Arial" w:cs="Arial"/>
          <w:sz w:val="18"/>
          <w:szCs w:val="18"/>
        </w:rPr>
        <w:t>,</w:t>
      </w:r>
      <w:r w:rsidR="008E4D41">
        <w:rPr>
          <w:rFonts w:ascii="Arial" w:hAnsi="Arial" w:cs="Arial"/>
          <w:sz w:val="18"/>
          <w:szCs w:val="18"/>
        </w:rPr>
        <w:t>999</w:t>
      </w:r>
      <w:r>
        <w:rPr>
          <w:rFonts w:ascii="Arial" w:hAnsi="Arial" w:cs="Arial"/>
          <w:sz w:val="18"/>
          <w:szCs w:val="18"/>
        </w:rPr>
        <w:t>,</w:t>
      </w:r>
      <w:r w:rsidR="008E4D41">
        <w:rPr>
          <w:rFonts w:ascii="Arial" w:hAnsi="Arial" w:cs="Arial"/>
          <w:sz w:val="18"/>
          <w:szCs w:val="18"/>
        </w:rPr>
        <w:t>36</w:t>
      </w:r>
      <w:r w:rsidR="006B4727">
        <w:rPr>
          <w:rFonts w:ascii="Arial" w:hAnsi="Arial" w:cs="Arial"/>
          <w:sz w:val="18"/>
          <w:szCs w:val="18"/>
        </w:rPr>
        <w:t>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lastRenderedPageBreak/>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8E4D41">
        <w:rPr>
          <w:rFonts w:ascii="Arial" w:hAnsi="Arial" w:cs="Arial"/>
          <w:sz w:val="18"/>
          <w:szCs w:val="18"/>
        </w:rPr>
        <w:t>22</w:t>
      </w:r>
      <w:r>
        <w:rPr>
          <w:rFonts w:ascii="Arial" w:hAnsi="Arial" w:cs="Arial"/>
          <w:sz w:val="18"/>
          <w:szCs w:val="18"/>
        </w:rPr>
        <w:t>,</w:t>
      </w:r>
      <w:r w:rsidR="008E4D41">
        <w:rPr>
          <w:rFonts w:ascii="Arial" w:hAnsi="Arial" w:cs="Arial"/>
          <w:sz w:val="18"/>
          <w:szCs w:val="18"/>
        </w:rPr>
        <w:t>464</w:t>
      </w:r>
      <w:r>
        <w:rPr>
          <w:rFonts w:ascii="Arial" w:hAnsi="Arial" w:cs="Arial"/>
          <w:sz w:val="18"/>
          <w:szCs w:val="18"/>
        </w:rPr>
        <w:t>,</w:t>
      </w:r>
      <w:r w:rsidR="008E4D41">
        <w:rPr>
          <w:rFonts w:ascii="Arial" w:hAnsi="Arial" w:cs="Arial"/>
          <w:sz w:val="18"/>
          <w:szCs w:val="18"/>
        </w:rPr>
        <w:t>744</w:t>
      </w:r>
      <w:r>
        <w:rPr>
          <w:rFonts w:ascii="Arial" w:hAnsi="Arial" w:cs="Arial"/>
          <w:sz w:val="18"/>
          <w:szCs w:val="18"/>
        </w:rPr>
        <w:t>,</w:t>
      </w:r>
      <w:r w:rsidR="008E4D41">
        <w:rPr>
          <w:rFonts w:ascii="Arial" w:hAnsi="Arial" w:cs="Arial"/>
          <w:sz w:val="18"/>
          <w:szCs w:val="18"/>
        </w:rPr>
        <w:t>488</w:t>
      </w:r>
      <w:r>
        <w:rPr>
          <w:rFonts w:ascii="Arial" w:hAnsi="Arial" w:cs="Arial"/>
          <w:sz w:val="18"/>
          <w:szCs w:val="18"/>
        </w:rPr>
        <w:t xml:space="preserve"> al </w:t>
      </w:r>
      <w:r w:rsidR="008E4D41">
        <w:rPr>
          <w:rFonts w:ascii="Arial" w:hAnsi="Arial" w:cs="Arial"/>
          <w:sz w:val="18"/>
          <w:szCs w:val="18"/>
        </w:rPr>
        <w:t>cierre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8E4D41">
        <w:rPr>
          <w:rFonts w:ascii="Arial" w:hAnsi="Arial" w:cs="Arial"/>
          <w:sz w:val="18"/>
          <w:szCs w:val="18"/>
        </w:rPr>
        <w:t>9</w:t>
      </w:r>
      <w:r>
        <w:rPr>
          <w:rFonts w:ascii="Arial" w:hAnsi="Arial" w:cs="Arial"/>
          <w:sz w:val="18"/>
          <w:szCs w:val="18"/>
        </w:rPr>
        <w:t>,</w:t>
      </w:r>
      <w:r w:rsidR="00077027">
        <w:rPr>
          <w:rFonts w:ascii="Arial" w:hAnsi="Arial" w:cs="Arial"/>
          <w:sz w:val="18"/>
          <w:szCs w:val="18"/>
        </w:rPr>
        <w:t>446</w:t>
      </w:r>
      <w:r>
        <w:rPr>
          <w:rFonts w:ascii="Arial" w:hAnsi="Arial" w:cs="Arial"/>
          <w:sz w:val="18"/>
          <w:szCs w:val="18"/>
        </w:rPr>
        <w:t>,</w:t>
      </w:r>
      <w:r w:rsidR="00077027">
        <w:rPr>
          <w:rFonts w:ascii="Arial" w:hAnsi="Arial" w:cs="Arial"/>
          <w:sz w:val="18"/>
          <w:szCs w:val="18"/>
        </w:rPr>
        <w:t>209</w:t>
      </w:r>
      <w:r>
        <w:rPr>
          <w:rFonts w:ascii="Arial" w:hAnsi="Arial" w:cs="Arial"/>
          <w:sz w:val="18"/>
          <w:szCs w:val="18"/>
        </w:rPr>
        <w:t>,</w:t>
      </w:r>
      <w:r w:rsidR="00077027">
        <w:rPr>
          <w:rFonts w:ascii="Arial" w:hAnsi="Arial" w:cs="Arial"/>
          <w:sz w:val="18"/>
          <w:szCs w:val="18"/>
        </w:rPr>
        <w:t>251</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077027">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E4D41">
        <w:rPr>
          <w:rFonts w:ascii="Arial" w:hAnsi="Arial" w:cs="Arial"/>
          <w:sz w:val="18"/>
          <w:szCs w:val="18"/>
        </w:rPr>
        <w:t xml:space="preserve">cierre del ejercicio </w:t>
      </w:r>
      <w:r>
        <w:rPr>
          <w:rFonts w:ascii="Arial" w:hAnsi="Arial" w:cs="Arial"/>
          <w:sz w:val="18"/>
          <w:szCs w:val="18"/>
        </w:rPr>
        <w:t>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9C29DB" w:rsidRDefault="009C29DB" w:rsidP="00134F21">
      <w:pPr>
        <w:tabs>
          <w:tab w:val="left" w:pos="284"/>
        </w:tabs>
        <w:spacing w:after="0"/>
        <w:ind w:left="284"/>
        <w:jc w:val="both"/>
        <w:rPr>
          <w:rFonts w:ascii="Arial" w:hAnsi="Arial" w:cs="Arial"/>
          <w:sz w:val="18"/>
          <w:szCs w:val="18"/>
        </w:rPr>
      </w:pPr>
    </w:p>
    <w:tbl>
      <w:tblPr>
        <w:tblW w:w="11426" w:type="dxa"/>
        <w:jc w:val="center"/>
        <w:tblCellMar>
          <w:left w:w="70" w:type="dxa"/>
          <w:right w:w="70" w:type="dxa"/>
        </w:tblCellMar>
        <w:tblLook w:val="04A0" w:firstRow="1" w:lastRow="0" w:firstColumn="1" w:lastColumn="0" w:noHBand="0" w:noVBand="1"/>
      </w:tblPr>
      <w:tblGrid>
        <w:gridCol w:w="7975"/>
        <w:gridCol w:w="2080"/>
        <w:gridCol w:w="1371"/>
      </w:tblGrid>
      <w:tr w:rsidR="00DB74FB" w:rsidRPr="00DB74FB" w:rsidTr="00DB74FB">
        <w:trPr>
          <w:trHeight w:val="315"/>
          <w:jc w:val="center"/>
        </w:trPr>
        <w:tc>
          <w:tcPr>
            <w:tcW w:w="79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b/>
                <w:bCs/>
                <w:color w:val="000000"/>
                <w:sz w:val="18"/>
                <w:szCs w:val="18"/>
                <w:lang w:eastAsia="es-MX"/>
              </w:rPr>
            </w:pPr>
            <w:r w:rsidRPr="00DB74FB">
              <w:rPr>
                <w:rFonts w:ascii="Arial" w:eastAsia="Times New Roman" w:hAnsi="Arial" w:cs="Arial"/>
                <w:b/>
                <w:bCs/>
                <w:color w:val="000000"/>
                <w:sz w:val="18"/>
                <w:szCs w:val="18"/>
                <w:lang w:eastAsia="es-MX"/>
              </w:rPr>
              <w:t>CONCEPTO</w:t>
            </w:r>
          </w:p>
        </w:tc>
        <w:tc>
          <w:tcPr>
            <w:tcW w:w="2080" w:type="dxa"/>
            <w:tcBorders>
              <w:top w:val="single" w:sz="8" w:space="0" w:color="auto"/>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b/>
                <w:bCs/>
                <w:color w:val="000000"/>
                <w:sz w:val="18"/>
                <w:szCs w:val="18"/>
                <w:lang w:eastAsia="es-MX"/>
              </w:rPr>
            </w:pPr>
            <w:r w:rsidRPr="00DB74FB">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b/>
                <w:bCs/>
                <w:color w:val="000000"/>
                <w:sz w:val="18"/>
                <w:szCs w:val="18"/>
                <w:lang w:eastAsia="es-MX"/>
              </w:rPr>
            </w:pPr>
            <w:r w:rsidRPr="00DB74FB">
              <w:rPr>
                <w:rFonts w:ascii="Arial" w:eastAsia="Times New Roman" w:hAnsi="Arial" w:cs="Arial"/>
                <w:b/>
                <w:bCs/>
                <w:color w:val="000000"/>
                <w:sz w:val="18"/>
                <w:szCs w:val="18"/>
                <w:lang w:eastAsia="es-MX"/>
              </w:rPr>
              <w:t>PORCENTAJE</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DE APORTACIONES PARA LA NOMINA EDUCATIVA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5,566,044,996.00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53.1</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PARA LOS SERVICIOS DE SALUD</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1,803,514,309.00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17.2</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FAIS (INFRAESTRUCTURA SOCIAL ESTATAL)</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110,340,311.00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1.1</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FAIS (INFRAESTRUCTURA SOCIAL MUNICIPAL)</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799,919,240.00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7.6</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FORTAMUN</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916,341,769.00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8.7</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FAM</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393,564,999.00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3.8</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FAETA (EDUCACION TECNOLOGICA)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46,228,771.00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0.4</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FAETA (EDUCACION DE ADULTOS ITEA)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47,286,877.00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0.5</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PARA LA SEGURIDAD PUBLICA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156,624,139.00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1.5</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PARA EL FORTALECIMIENTO DE ENTIDADES FEDERATIVAS</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640,809,878.00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6.1</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9C29DB">
            <w:pPr>
              <w:spacing w:after="0" w:line="240" w:lineRule="auto"/>
              <w:jc w:val="center"/>
              <w:rPr>
                <w:rFonts w:ascii="Arial" w:eastAsia="Times New Roman" w:hAnsi="Arial" w:cs="Arial"/>
                <w:b/>
                <w:color w:val="000000"/>
                <w:sz w:val="18"/>
                <w:szCs w:val="18"/>
                <w:lang w:eastAsia="es-MX"/>
              </w:rPr>
            </w:pPr>
            <w:r w:rsidRPr="00DB74FB">
              <w:rPr>
                <w:rFonts w:ascii="Arial" w:eastAsia="Times New Roman" w:hAnsi="Arial" w:cs="Arial"/>
                <w:b/>
                <w:color w:val="000000"/>
                <w:sz w:val="18"/>
                <w:szCs w:val="18"/>
                <w:lang w:eastAsia="es-MX"/>
              </w:rPr>
              <w:t>TOTAL</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10,480,675,289.00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100</w:t>
            </w:r>
          </w:p>
        </w:tc>
      </w:tr>
    </w:tbl>
    <w:p w:rsidR="00134F21" w:rsidRDefault="00134F21" w:rsidP="00134F21">
      <w:pPr>
        <w:tabs>
          <w:tab w:val="left" w:pos="284"/>
        </w:tabs>
        <w:spacing w:after="0"/>
        <w:ind w:left="284"/>
        <w:jc w:val="both"/>
        <w:rPr>
          <w:rFonts w:ascii="Arial" w:hAnsi="Arial" w:cs="Arial"/>
          <w:b/>
          <w:sz w:val="18"/>
          <w:szCs w:val="18"/>
        </w:rPr>
      </w:pPr>
    </w:p>
    <w:p w:rsidR="009C29DB" w:rsidRDefault="009C29DB"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w:t>
      </w:r>
      <w:r w:rsidR="00272746">
        <w:rPr>
          <w:rFonts w:ascii="Arial" w:hAnsi="Arial" w:cs="Arial"/>
          <w:sz w:val="18"/>
          <w:szCs w:val="18"/>
        </w:rPr>
        <w:t>nes al cierre</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07E0D">
        <w:rPr>
          <w:rFonts w:ascii="Arial" w:hAnsi="Arial" w:cs="Arial"/>
          <w:sz w:val="18"/>
          <w:szCs w:val="18"/>
        </w:rPr>
        <w:t>2</w:t>
      </w:r>
      <w:r>
        <w:rPr>
          <w:rFonts w:ascii="Arial" w:hAnsi="Arial" w:cs="Arial"/>
          <w:sz w:val="18"/>
          <w:szCs w:val="18"/>
        </w:rPr>
        <w:t>,</w:t>
      </w:r>
      <w:r w:rsidR="009C29DB">
        <w:rPr>
          <w:rFonts w:ascii="Arial" w:hAnsi="Arial" w:cs="Arial"/>
          <w:sz w:val="18"/>
          <w:szCs w:val="18"/>
        </w:rPr>
        <w:t>518</w:t>
      </w:r>
      <w:r>
        <w:rPr>
          <w:rFonts w:ascii="Arial" w:hAnsi="Arial" w:cs="Arial"/>
          <w:sz w:val="18"/>
          <w:szCs w:val="18"/>
        </w:rPr>
        <w:t>,</w:t>
      </w:r>
      <w:r w:rsidR="009C29DB">
        <w:rPr>
          <w:rFonts w:ascii="Arial" w:hAnsi="Arial" w:cs="Arial"/>
          <w:sz w:val="18"/>
          <w:szCs w:val="18"/>
        </w:rPr>
        <w:t>133</w:t>
      </w:r>
      <w:r w:rsidR="009F5E29">
        <w:rPr>
          <w:rFonts w:ascii="Arial" w:hAnsi="Arial" w:cs="Arial"/>
          <w:sz w:val="18"/>
          <w:szCs w:val="18"/>
        </w:rPr>
        <w:t>,</w:t>
      </w:r>
      <w:r w:rsidR="009C29DB">
        <w:rPr>
          <w:rFonts w:ascii="Arial" w:hAnsi="Arial" w:cs="Arial"/>
          <w:sz w:val="18"/>
          <w:szCs w:val="18"/>
        </w:rPr>
        <w:t>524</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del 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272746">
        <w:rPr>
          <w:rFonts w:ascii="Arial" w:hAnsi="Arial" w:cs="Arial"/>
          <w:sz w:val="18"/>
          <w:szCs w:val="18"/>
        </w:rPr>
        <w:t>dic</w:t>
      </w:r>
      <w:r w:rsidR="001A78A4">
        <w:rPr>
          <w:rFonts w:ascii="Arial" w:hAnsi="Arial" w:cs="Arial"/>
          <w:sz w:val="18"/>
          <w:szCs w:val="18"/>
        </w:rPr>
        <w:t>iembre</w:t>
      </w:r>
      <w:r w:rsidR="00134F21">
        <w:rPr>
          <w:rFonts w:ascii="Arial" w:hAnsi="Arial" w:cs="Arial"/>
          <w:sz w:val="18"/>
          <w:szCs w:val="18"/>
        </w:rPr>
        <w:t xml:space="preserve"> por este concepto un monto de $ </w:t>
      </w:r>
      <w:r w:rsidR="009C29DB">
        <w:rPr>
          <w:rFonts w:ascii="Arial" w:hAnsi="Arial" w:cs="Arial"/>
          <w:sz w:val="18"/>
          <w:szCs w:val="18"/>
        </w:rPr>
        <w:t>2</w:t>
      </w:r>
      <w:r w:rsidR="001A78A4">
        <w:rPr>
          <w:rFonts w:ascii="Arial" w:hAnsi="Arial" w:cs="Arial"/>
          <w:sz w:val="18"/>
          <w:szCs w:val="18"/>
        </w:rPr>
        <w:t>,</w:t>
      </w:r>
      <w:r w:rsidR="009C29DB">
        <w:rPr>
          <w:rFonts w:ascii="Arial" w:hAnsi="Arial" w:cs="Arial"/>
          <w:sz w:val="18"/>
          <w:szCs w:val="18"/>
        </w:rPr>
        <w:t>449</w:t>
      </w:r>
      <w:r w:rsidR="00134F21">
        <w:rPr>
          <w:rFonts w:ascii="Arial" w:hAnsi="Arial" w:cs="Arial"/>
          <w:sz w:val="18"/>
          <w:szCs w:val="18"/>
        </w:rPr>
        <w:t>,</w:t>
      </w:r>
      <w:r w:rsidR="009C29DB">
        <w:rPr>
          <w:rFonts w:ascii="Arial" w:hAnsi="Arial" w:cs="Arial"/>
          <w:sz w:val="18"/>
          <w:szCs w:val="18"/>
        </w:rPr>
        <w:t>964</w:t>
      </w:r>
      <w:r w:rsidR="00134F21">
        <w:rPr>
          <w:rFonts w:ascii="Arial" w:hAnsi="Arial" w:cs="Arial"/>
          <w:sz w:val="18"/>
          <w:szCs w:val="18"/>
        </w:rPr>
        <w:t>,</w:t>
      </w:r>
      <w:r w:rsidR="009C29DB">
        <w:rPr>
          <w:rFonts w:ascii="Arial" w:hAnsi="Arial" w:cs="Arial"/>
          <w:sz w:val="18"/>
          <w:szCs w:val="18"/>
        </w:rPr>
        <w:t>223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C29DB">
        <w:rPr>
          <w:rFonts w:ascii="Arial" w:hAnsi="Arial" w:cs="Arial"/>
          <w:sz w:val="18"/>
          <w:szCs w:val="18"/>
        </w:rPr>
        <w:t>247</w:t>
      </w:r>
      <w:r>
        <w:rPr>
          <w:rFonts w:ascii="Arial" w:hAnsi="Arial" w:cs="Arial"/>
          <w:sz w:val="18"/>
          <w:szCs w:val="18"/>
        </w:rPr>
        <w:t>,</w:t>
      </w:r>
      <w:r w:rsidR="009C29DB">
        <w:rPr>
          <w:rFonts w:ascii="Arial" w:hAnsi="Arial" w:cs="Arial"/>
          <w:sz w:val="18"/>
          <w:szCs w:val="18"/>
        </w:rPr>
        <w:t>803</w:t>
      </w:r>
      <w:r>
        <w:rPr>
          <w:rFonts w:ascii="Arial" w:hAnsi="Arial" w:cs="Arial"/>
          <w:sz w:val="18"/>
          <w:szCs w:val="18"/>
        </w:rPr>
        <w:t>,</w:t>
      </w:r>
      <w:r w:rsidR="009C29DB">
        <w:rPr>
          <w:rFonts w:ascii="Arial" w:hAnsi="Arial" w:cs="Arial"/>
          <w:sz w:val="18"/>
          <w:szCs w:val="18"/>
        </w:rPr>
        <w:t>765</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C29DB">
        <w:rPr>
          <w:rFonts w:ascii="Arial" w:hAnsi="Arial" w:cs="Arial"/>
          <w:sz w:val="18"/>
          <w:szCs w:val="18"/>
        </w:rPr>
        <w:t>dic</w:t>
      </w:r>
      <w:r w:rsidR="001A78A4">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de $ </w:t>
      </w:r>
      <w:r w:rsidR="009C29DB">
        <w:rPr>
          <w:rFonts w:ascii="Arial" w:hAnsi="Arial" w:cs="Arial"/>
          <w:sz w:val="18"/>
          <w:szCs w:val="18"/>
        </w:rPr>
        <w:t>260</w:t>
      </w:r>
      <w:r w:rsidR="00BA3B1D">
        <w:rPr>
          <w:rFonts w:ascii="Arial" w:hAnsi="Arial" w:cs="Arial"/>
          <w:sz w:val="18"/>
          <w:szCs w:val="18"/>
        </w:rPr>
        <w:t>,</w:t>
      </w:r>
      <w:r w:rsidR="009C29DB">
        <w:rPr>
          <w:rFonts w:ascii="Arial" w:hAnsi="Arial" w:cs="Arial"/>
          <w:sz w:val="18"/>
          <w:szCs w:val="18"/>
        </w:rPr>
        <w:t>193</w:t>
      </w:r>
      <w:r w:rsidR="00BA3B1D">
        <w:rPr>
          <w:rFonts w:ascii="Arial" w:hAnsi="Arial" w:cs="Arial"/>
          <w:sz w:val="18"/>
          <w:szCs w:val="18"/>
        </w:rPr>
        <w:t>,</w:t>
      </w:r>
      <w:r w:rsidR="009C29DB">
        <w:rPr>
          <w:rFonts w:ascii="Arial" w:hAnsi="Arial" w:cs="Arial"/>
          <w:sz w:val="18"/>
          <w:szCs w:val="18"/>
        </w:rPr>
        <w:t>063</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proofErr w:type="gramStart"/>
      <w:r>
        <w:rPr>
          <w:rFonts w:ascii="Arial" w:hAnsi="Arial" w:cs="Arial"/>
          <w:sz w:val="18"/>
          <w:szCs w:val="18"/>
        </w:rPr>
        <w:t>Judicial</w:t>
      </w:r>
      <w:proofErr w:type="gramEnd"/>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C29DB">
        <w:rPr>
          <w:rFonts w:ascii="Arial" w:hAnsi="Arial" w:cs="Arial"/>
          <w:sz w:val="18"/>
          <w:szCs w:val="18"/>
        </w:rPr>
        <w:t>dic</w:t>
      </w:r>
      <w:r w:rsidR="001A78A4">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9C29DB">
        <w:rPr>
          <w:rFonts w:ascii="Arial" w:hAnsi="Arial" w:cs="Arial"/>
          <w:sz w:val="18"/>
          <w:szCs w:val="18"/>
        </w:rPr>
        <w:t>15</w:t>
      </w:r>
      <w:r w:rsidR="001A78A4">
        <w:rPr>
          <w:rFonts w:ascii="Arial" w:hAnsi="Arial" w:cs="Arial"/>
          <w:sz w:val="18"/>
          <w:szCs w:val="18"/>
        </w:rPr>
        <w:t>,</w:t>
      </w:r>
      <w:r w:rsidR="009C29DB">
        <w:rPr>
          <w:rFonts w:ascii="Arial" w:hAnsi="Arial" w:cs="Arial"/>
          <w:sz w:val="18"/>
          <w:szCs w:val="18"/>
        </w:rPr>
        <w:t>238</w:t>
      </w:r>
      <w:r>
        <w:rPr>
          <w:rFonts w:ascii="Arial" w:hAnsi="Arial" w:cs="Arial"/>
          <w:sz w:val="18"/>
          <w:szCs w:val="18"/>
        </w:rPr>
        <w:t>,</w:t>
      </w:r>
      <w:r w:rsidR="009C29DB">
        <w:rPr>
          <w:rFonts w:ascii="Arial" w:hAnsi="Arial" w:cs="Arial"/>
          <w:sz w:val="18"/>
          <w:szCs w:val="18"/>
        </w:rPr>
        <w:t>102</w:t>
      </w:r>
      <w:r>
        <w:rPr>
          <w:rFonts w:ascii="Arial" w:hAnsi="Arial" w:cs="Arial"/>
          <w:sz w:val="18"/>
          <w:szCs w:val="18"/>
        </w:rPr>
        <w:t>,</w:t>
      </w:r>
      <w:r w:rsidR="009C29DB">
        <w:rPr>
          <w:rFonts w:ascii="Arial" w:hAnsi="Arial" w:cs="Arial"/>
          <w:sz w:val="18"/>
          <w:szCs w:val="18"/>
        </w:rPr>
        <w:t>357</w:t>
      </w:r>
      <w:r>
        <w:rPr>
          <w:rFonts w:ascii="Arial" w:hAnsi="Arial" w:cs="Arial"/>
          <w:sz w:val="18"/>
          <w:szCs w:val="18"/>
        </w:rPr>
        <w:t xml:space="preserve"> de los cuales los principales sectores que reciben estas asignaciones son el sector educativo al cual le corresponde el </w:t>
      </w:r>
      <w:r w:rsidR="00A25693">
        <w:rPr>
          <w:rFonts w:ascii="Arial" w:hAnsi="Arial" w:cs="Arial"/>
          <w:sz w:val="18"/>
          <w:szCs w:val="18"/>
        </w:rPr>
        <w:t>60</w:t>
      </w:r>
      <w:r>
        <w:rPr>
          <w:rFonts w:ascii="Arial" w:hAnsi="Arial" w:cs="Arial"/>
          <w:sz w:val="18"/>
          <w:szCs w:val="18"/>
        </w:rPr>
        <w:t xml:space="preserve">% y el sector salud con un </w:t>
      </w:r>
      <w:r w:rsidR="00CB72A9">
        <w:rPr>
          <w:rFonts w:ascii="Arial" w:hAnsi="Arial" w:cs="Arial"/>
          <w:sz w:val="18"/>
          <w:szCs w:val="18"/>
        </w:rPr>
        <w:t>3</w:t>
      </w:r>
      <w:r w:rsidR="00A25693">
        <w:rPr>
          <w:rFonts w:ascii="Arial" w:hAnsi="Arial" w:cs="Arial"/>
          <w:sz w:val="18"/>
          <w:szCs w:val="18"/>
        </w:rPr>
        <w:t>5</w:t>
      </w:r>
      <w:r>
        <w:rPr>
          <w:rFonts w:ascii="Arial" w:hAnsi="Arial" w:cs="Arial"/>
          <w:sz w:val="18"/>
          <w:szCs w:val="18"/>
        </w:rPr>
        <w:t xml:space="preserve">% y el restante </w:t>
      </w:r>
      <w:r w:rsidR="00A25693">
        <w:rPr>
          <w:rFonts w:ascii="Arial" w:hAnsi="Arial" w:cs="Arial"/>
          <w:sz w:val="18"/>
          <w:szCs w:val="18"/>
        </w:rPr>
        <w:t>5</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A25693">
        <w:rPr>
          <w:rFonts w:ascii="Arial" w:hAnsi="Arial" w:cs="Arial"/>
          <w:sz w:val="18"/>
          <w:szCs w:val="18"/>
        </w:rPr>
        <w:t>resultado contable al cierre del ejercicio</w:t>
      </w:r>
      <w:r>
        <w:rPr>
          <w:rFonts w:ascii="Arial" w:hAnsi="Arial" w:cs="Arial"/>
          <w:sz w:val="18"/>
          <w:szCs w:val="18"/>
        </w:rPr>
        <w:t xml:space="preserve"> 20</w:t>
      </w:r>
      <w:r w:rsidR="005F4F77">
        <w:rPr>
          <w:rFonts w:ascii="Arial" w:hAnsi="Arial" w:cs="Arial"/>
          <w:sz w:val="18"/>
          <w:szCs w:val="18"/>
        </w:rPr>
        <w:t>20</w:t>
      </w:r>
      <w:r>
        <w:rPr>
          <w:rFonts w:ascii="Arial" w:hAnsi="Arial" w:cs="Arial"/>
          <w:sz w:val="18"/>
          <w:szCs w:val="18"/>
        </w:rPr>
        <w:t xml:space="preserve"> es de $ </w:t>
      </w:r>
      <w:r w:rsidR="00A25693">
        <w:rPr>
          <w:rFonts w:ascii="Arial" w:hAnsi="Arial" w:cs="Arial"/>
          <w:sz w:val="18"/>
          <w:szCs w:val="18"/>
        </w:rPr>
        <w:t>890</w:t>
      </w:r>
      <w:r>
        <w:rPr>
          <w:rFonts w:ascii="Arial" w:hAnsi="Arial" w:cs="Arial"/>
          <w:sz w:val="18"/>
          <w:szCs w:val="18"/>
        </w:rPr>
        <w:t>,</w:t>
      </w:r>
      <w:r w:rsidR="00A25693">
        <w:rPr>
          <w:rFonts w:ascii="Arial" w:hAnsi="Arial" w:cs="Arial"/>
          <w:sz w:val="18"/>
          <w:szCs w:val="18"/>
        </w:rPr>
        <w:t>755</w:t>
      </w:r>
      <w:r>
        <w:rPr>
          <w:rFonts w:ascii="Arial" w:hAnsi="Arial" w:cs="Arial"/>
          <w:sz w:val="18"/>
          <w:szCs w:val="18"/>
        </w:rPr>
        <w:t>,</w:t>
      </w:r>
      <w:r w:rsidR="00A25693">
        <w:rPr>
          <w:rFonts w:ascii="Arial" w:hAnsi="Arial" w:cs="Arial"/>
          <w:sz w:val="18"/>
          <w:szCs w:val="18"/>
        </w:rPr>
        <w:t>844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A25693">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9C29DB">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9C29DB">
        <w:rPr>
          <w:rFonts w:ascii="Arial" w:hAnsi="Arial" w:cs="Arial"/>
          <w:sz w:val="18"/>
          <w:szCs w:val="18"/>
        </w:rPr>
        <w:t>dic</w:t>
      </w:r>
      <w:r w:rsidR="001A78A4">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25693">
        <w:rPr>
          <w:rFonts w:ascii="Arial" w:hAnsi="Arial" w:cs="Arial"/>
          <w:sz w:val="18"/>
          <w:szCs w:val="18"/>
        </w:rPr>
        <w:t>dic</w:t>
      </w:r>
      <w:r w:rsidR="007D78B3">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A25693">
        <w:rPr>
          <w:rFonts w:ascii="Arial" w:hAnsi="Arial" w:cs="Arial"/>
          <w:sz w:val="18"/>
          <w:szCs w:val="18"/>
        </w:rPr>
        <w:t>11</w:t>
      </w:r>
      <w:r>
        <w:rPr>
          <w:rFonts w:ascii="Arial" w:eastAsia="Times New Roman" w:hAnsi="Arial" w:cs="Arial"/>
          <w:bCs/>
          <w:sz w:val="18"/>
          <w:szCs w:val="18"/>
          <w:lang w:eastAsia="es-MX"/>
        </w:rPr>
        <w:t>,</w:t>
      </w:r>
      <w:r w:rsidR="00A25693">
        <w:rPr>
          <w:rFonts w:ascii="Arial" w:eastAsia="Times New Roman" w:hAnsi="Arial" w:cs="Arial"/>
          <w:bCs/>
          <w:sz w:val="18"/>
          <w:szCs w:val="18"/>
          <w:lang w:eastAsia="es-MX"/>
        </w:rPr>
        <w:t>007</w:t>
      </w:r>
      <w:r>
        <w:rPr>
          <w:rFonts w:ascii="Arial" w:eastAsia="Times New Roman" w:hAnsi="Arial" w:cs="Arial"/>
          <w:bCs/>
          <w:sz w:val="18"/>
          <w:szCs w:val="18"/>
          <w:lang w:eastAsia="es-MX"/>
        </w:rPr>
        <w:t>,</w:t>
      </w:r>
      <w:r w:rsidR="00A25693">
        <w:rPr>
          <w:rFonts w:ascii="Arial" w:eastAsia="Times New Roman" w:hAnsi="Arial" w:cs="Arial"/>
          <w:bCs/>
          <w:sz w:val="18"/>
          <w:szCs w:val="18"/>
          <w:lang w:eastAsia="es-MX"/>
        </w:rPr>
        <w:t>275</w:t>
      </w:r>
      <w:r>
        <w:rPr>
          <w:rFonts w:ascii="Arial" w:eastAsia="Times New Roman" w:hAnsi="Arial" w:cs="Arial"/>
          <w:bCs/>
          <w:sz w:val="18"/>
          <w:szCs w:val="18"/>
          <w:lang w:eastAsia="es-MX"/>
        </w:rPr>
        <w:t>,</w:t>
      </w:r>
      <w:r w:rsidR="00796A3C">
        <w:rPr>
          <w:rFonts w:ascii="Arial" w:eastAsia="Times New Roman" w:hAnsi="Arial" w:cs="Arial"/>
          <w:bCs/>
          <w:sz w:val="18"/>
          <w:szCs w:val="18"/>
          <w:lang w:eastAsia="es-MX"/>
        </w:rPr>
        <w:t>795</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F047AE">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9301F2">
        <w:rPr>
          <w:lang w:val="es-MX"/>
        </w:rPr>
        <w:t>1,</w:t>
      </w:r>
      <w:r w:rsidR="00F047AE">
        <w:rPr>
          <w:lang w:val="es-MX"/>
        </w:rPr>
        <w:t>003</w:t>
      </w:r>
      <w:r w:rsidR="00AC2CB6">
        <w:rPr>
          <w:lang w:val="es-MX"/>
        </w:rPr>
        <w:t>,</w:t>
      </w:r>
      <w:r w:rsidR="00F047AE">
        <w:rPr>
          <w:lang w:val="es-MX"/>
        </w:rPr>
        <w:t>582</w:t>
      </w:r>
      <w:r w:rsidR="00AC2CB6">
        <w:rPr>
          <w:lang w:val="es-MX"/>
        </w:rPr>
        <w:t>,</w:t>
      </w:r>
      <w:r w:rsidR="00F047AE">
        <w:rPr>
          <w:lang w:val="es-MX"/>
        </w:rPr>
        <w:t>641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F047AE">
        <w:rPr>
          <w:lang w:val="es-MX"/>
        </w:rPr>
        <w:t>890,755,844</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F047AE">
        <w:rPr>
          <w:lang w:val="es-MX"/>
        </w:rPr>
        <w:t>dic</w:t>
      </w:r>
      <w:r w:rsidR="009301F2">
        <w:rPr>
          <w:lang w:val="es-MX"/>
        </w:rPr>
        <w:t>iembre</w:t>
      </w:r>
      <w:r>
        <w:rPr>
          <w:lang w:val="es-MX"/>
        </w:rPr>
        <w:t xml:space="preserve"> un importe de </w:t>
      </w:r>
      <w:r w:rsidRPr="004466A7">
        <w:rPr>
          <w:lang w:val="es-MX"/>
        </w:rPr>
        <w:t>$</w:t>
      </w:r>
      <w:r>
        <w:rPr>
          <w:lang w:val="es-MX"/>
        </w:rPr>
        <w:t xml:space="preserve"> </w:t>
      </w:r>
      <w:r w:rsidR="00F047AE">
        <w:rPr>
          <w:lang w:val="es-MX"/>
        </w:rPr>
        <w:t>-638,013,543</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5F52B3" w:rsidRPr="005C02A4" w:rsidRDefault="0032384C" w:rsidP="005C02A4">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047AE">
        <w:rPr>
          <w:lang w:val="es-MX"/>
        </w:rPr>
        <w:t>1</w:t>
      </w:r>
      <w:r w:rsidRPr="00DA18AC">
        <w:rPr>
          <w:lang w:val="es-MX"/>
        </w:rPr>
        <w:t xml:space="preserve"> de </w:t>
      </w:r>
      <w:r w:rsidR="00F047AE">
        <w:rPr>
          <w:lang w:val="es-MX"/>
        </w:rPr>
        <w:t>dic</w:t>
      </w:r>
      <w:r w:rsidR="00F378E3">
        <w:rPr>
          <w:lang w:val="es-MX"/>
        </w:rPr>
        <w:t>iembre</w:t>
      </w:r>
      <w:r w:rsidRPr="00DA18AC">
        <w:rPr>
          <w:lang w:val="es-MX"/>
        </w:rPr>
        <w:t xml:space="preserve"> de 20</w:t>
      </w:r>
      <w:r w:rsidR="00466C1E">
        <w:rPr>
          <w:lang w:val="es-MX"/>
        </w:rPr>
        <w:t>20</w:t>
      </w:r>
      <w:r w:rsidRPr="00DA18AC">
        <w:rPr>
          <w:lang w:val="es-MX"/>
        </w:rPr>
        <w:t xml:space="preserve"> de $ </w:t>
      </w:r>
      <w:r w:rsidR="009743B6">
        <w:rPr>
          <w:lang w:val="es-MX"/>
        </w:rPr>
        <w:t>-</w:t>
      </w:r>
      <w:r w:rsidR="00F378E3">
        <w:rPr>
          <w:lang w:val="es-MX"/>
        </w:rPr>
        <w:t xml:space="preserve"> 1,2</w:t>
      </w:r>
      <w:r w:rsidR="00F047AE">
        <w:rPr>
          <w:lang w:val="es-MX"/>
        </w:rPr>
        <w:t>56</w:t>
      </w:r>
      <w:r w:rsidRPr="00DA18AC">
        <w:rPr>
          <w:lang w:val="es-MX"/>
        </w:rPr>
        <w:t>,</w:t>
      </w:r>
      <w:r w:rsidR="00F047AE">
        <w:rPr>
          <w:lang w:val="es-MX"/>
        </w:rPr>
        <w:t>324</w:t>
      </w:r>
      <w:r w:rsidRPr="00DA18AC">
        <w:rPr>
          <w:lang w:val="es-MX"/>
        </w:rPr>
        <w:t>,</w:t>
      </w:r>
      <w:r w:rsidR="00F047AE">
        <w:rPr>
          <w:lang w:val="es-MX"/>
        </w:rPr>
        <w:t>942</w:t>
      </w:r>
      <w:r w:rsidRPr="00DA18AC">
        <w:rPr>
          <w:lang w:val="es-MX"/>
        </w:rPr>
        <w:t>.</w:t>
      </w: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6C4213"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73441535"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280AAD" w:rsidP="006942ED">
      <w:pPr>
        <w:rPr>
          <w:lang w:eastAsia="es-ES"/>
        </w:rPr>
      </w:pPr>
      <w:r>
        <w:rPr>
          <w:noProof/>
          <w:szCs w:val="18"/>
          <w:lang w:eastAsia="es-MX"/>
        </w:rPr>
        <w:object w:dxaOrig="1440" w:dyaOrig="1440">
          <v:shape id="_x0000_s1046" type="#_x0000_t75" style="position:absolute;margin-left:34.5pt;margin-top:22.45pt;width:649.5pt;height:292.5pt;z-index:251663360">
            <v:imagedata r:id="rId10" o:title=""/>
            <w10:wrap type="topAndBottom"/>
          </v:shape>
          <o:OLEObject Type="Embed" ProgID="Excel.Sheet.12" ShapeID="_x0000_s1046" DrawAspect="Content" ObjectID="_1673441536"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280AAD"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73441537"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047AE">
        <w:rPr>
          <w:rFonts w:ascii="Arial" w:hAnsi="Arial" w:cs="Arial"/>
          <w:sz w:val="18"/>
          <w:szCs w:val="18"/>
        </w:rPr>
        <w:t>dic</w:t>
      </w:r>
      <w:r w:rsidR="00F378E3">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w:t>
      </w:r>
      <w:proofErr w:type="spellStart"/>
      <w:r w:rsidRPr="00C83A20">
        <w:rPr>
          <w:rFonts w:ascii="Arial" w:hAnsi="Arial" w:cs="Arial"/>
          <w:sz w:val="18"/>
          <w:szCs w:val="18"/>
        </w:rPr>
        <w:t>mmp</w:t>
      </w:r>
      <w:proofErr w:type="spellEnd"/>
      <w:r w:rsidRPr="00C83A20">
        <w:rPr>
          <w:rFonts w:ascii="Arial" w:hAnsi="Arial" w:cs="Arial"/>
          <w:sz w:val="18"/>
          <w:szCs w:val="18"/>
        </w:rPr>
        <w:t xml:space="preserve">)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w:t>
      </w:r>
      <w:proofErr w:type="spellStart"/>
      <w:r w:rsidRPr="00C83A20">
        <w:rPr>
          <w:rFonts w:ascii="Arial" w:hAnsi="Arial" w:cs="Arial"/>
          <w:sz w:val="18"/>
          <w:szCs w:val="18"/>
        </w:rPr>
        <w:t>mmp</w:t>
      </w:r>
      <w:proofErr w:type="spellEnd"/>
      <w:r w:rsidRPr="00C83A20">
        <w:rPr>
          <w:rFonts w:ascii="Arial" w:hAnsi="Arial" w:cs="Arial"/>
          <w:sz w:val="18"/>
          <w:szCs w:val="18"/>
        </w:rPr>
        <w:t xml:space="preserve">;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w:t>
      </w:r>
      <w:proofErr w:type="spellStart"/>
      <w:r w:rsidRPr="00C83A20">
        <w:rPr>
          <w:rFonts w:ascii="Arial" w:hAnsi="Arial" w:cs="Arial"/>
          <w:sz w:val="18"/>
          <w:szCs w:val="18"/>
        </w:rPr>
        <w:t>mmp</w:t>
      </w:r>
      <w:proofErr w:type="spellEnd"/>
      <w:r w:rsidRPr="00C83A20">
        <w:rPr>
          <w:rFonts w:ascii="Arial" w:hAnsi="Arial" w:cs="Arial"/>
          <w:sz w:val="18"/>
          <w:szCs w:val="18"/>
        </w:rPr>
        <w:t xml:space="preserve"> en préstamos de vivienda para trabajadores que vean afectados su empleo o ingresos; y adelanto de las pensiones de adultos mayores por 21 </w:t>
      </w:r>
      <w:proofErr w:type="spellStart"/>
      <w:r w:rsidRPr="00C83A20">
        <w:rPr>
          <w:rFonts w:ascii="Arial" w:hAnsi="Arial" w:cs="Arial"/>
          <w:sz w:val="18"/>
          <w:szCs w:val="18"/>
        </w:rPr>
        <w:t>mmp</w:t>
      </w:r>
      <w:proofErr w:type="spellEnd"/>
      <w:r w:rsidRPr="00C83A20">
        <w:rPr>
          <w:rFonts w:ascii="Arial" w:hAnsi="Arial" w:cs="Arial"/>
          <w:sz w:val="18"/>
          <w:szCs w:val="18"/>
        </w:rPr>
        <w:t xml:space="preserve">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La velocidad del restablecimiento de la economía mundial y de la economía mexicana es todavía incierta, por lo que la responsabilidad en el manejo de las finanzas públicas por parte del Gobierno de México, así como la implementación de medidas </w:t>
      </w:r>
      <w:proofErr w:type="spellStart"/>
      <w:r w:rsidRPr="00C83A20">
        <w:rPr>
          <w:rFonts w:ascii="Arial" w:hAnsi="Arial" w:cs="Arial"/>
          <w:sz w:val="18"/>
          <w:szCs w:val="18"/>
        </w:rPr>
        <w:t>contracíclicas</w:t>
      </w:r>
      <w:proofErr w:type="spellEnd"/>
      <w:r w:rsidRPr="00C83A20">
        <w:rPr>
          <w:rFonts w:ascii="Arial" w:hAnsi="Arial" w:cs="Arial"/>
          <w:sz w:val="18"/>
          <w:szCs w:val="18"/>
        </w:rPr>
        <w:t xml:space="preserve">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w:t>
      </w:r>
      <w:proofErr w:type="gramStart"/>
      <w:r w:rsidRPr="00C83A20">
        <w:rPr>
          <w:rFonts w:ascii="Arial" w:hAnsi="Arial" w:cs="Arial"/>
          <w:sz w:val="18"/>
          <w:szCs w:val="18"/>
        </w:rPr>
        <w:t>y</w:t>
      </w:r>
      <w:proofErr w:type="gramEnd"/>
      <w:r w:rsidRPr="00C83A20">
        <w:rPr>
          <w:rFonts w:ascii="Arial" w:hAnsi="Arial" w:cs="Arial"/>
          <w:sz w:val="18"/>
          <w:szCs w:val="18"/>
        </w:rPr>
        <w:t xml:space="preserve">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w:t>
      </w:r>
      <w:proofErr w:type="spellStart"/>
      <w:r w:rsidRPr="00C83A20">
        <w:rPr>
          <w:rFonts w:ascii="Arial" w:hAnsi="Arial" w:cs="Arial"/>
          <w:sz w:val="18"/>
          <w:szCs w:val="18"/>
        </w:rPr>
        <w:t>Kristalina</w:t>
      </w:r>
      <w:proofErr w:type="spellEnd"/>
      <w:r w:rsidRPr="00C83A20">
        <w:rPr>
          <w:rFonts w:ascii="Arial" w:hAnsi="Arial" w:cs="Arial"/>
          <w:sz w:val="18"/>
          <w:szCs w:val="18"/>
        </w:rPr>
        <w:t xml:space="preserve"> </w:t>
      </w:r>
      <w:proofErr w:type="spellStart"/>
      <w:r w:rsidRPr="00C83A20">
        <w:rPr>
          <w:rFonts w:ascii="Arial" w:hAnsi="Arial" w:cs="Arial"/>
          <w:sz w:val="18"/>
          <w:szCs w:val="18"/>
        </w:rPr>
        <w:t>Georgieva</w:t>
      </w:r>
      <w:proofErr w:type="spellEnd"/>
      <w:r w:rsidRPr="00C83A20">
        <w:rPr>
          <w:rFonts w:ascii="Arial" w:hAnsi="Arial" w:cs="Arial"/>
          <w:sz w:val="18"/>
          <w:szCs w:val="18"/>
        </w:rPr>
        <w:t>,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w:t>
      </w:r>
      <w:proofErr w:type="spellStart"/>
      <w:r w:rsidRPr="00C83A20">
        <w:rPr>
          <w:rFonts w:ascii="Arial" w:hAnsi="Arial" w:cs="Arial"/>
          <w:sz w:val="18"/>
          <w:szCs w:val="18"/>
        </w:rPr>
        <w:t>enerofebrero</w:t>
      </w:r>
      <w:proofErr w:type="spellEnd"/>
      <w:r w:rsidRPr="00C83A20">
        <w:rPr>
          <w:rFonts w:ascii="Arial" w:hAnsi="Arial" w:cs="Arial"/>
          <w:sz w:val="18"/>
          <w:szCs w:val="18"/>
        </w:rPr>
        <w:t xml:space="preserve">,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w:t>
      </w:r>
      <w:proofErr w:type="spellStart"/>
      <w:r w:rsidRPr="00C83A20">
        <w:rPr>
          <w:rFonts w:ascii="Arial" w:hAnsi="Arial" w:cs="Arial"/>
          <w:sz w:val="18"/>
          <w:szCs w:val="18"/>
        </w:rPr>
        <w:t>Intermediate</w:t>
      </w:r>
      <w:proofErr w:type="spellEnd"/>
      <w:r w:rsidRPr="00C83A20">
        <w:rPr>
          <w:rFonts w:ascii="Arial" w:hAnsi="Arial" w:cs="Arial"/>
          <w:sz w:val="18"/>
          <w:szCs w:val="18"/>
        </w:rPr>
        <w:t xml:space="preserv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w:t>
      </w:r>
      <w:r w:rsidRPr="00C83A20">
        <w:rPr>
          <w:rFonts w:ascii="Arial" w:hAnsi="Arial" w:cs="Arial"/>
          <w:sz w:val="18"/>
          <w:szCs w:val="18"/>
        </w:rPr>
        <w:lastRenderedPageBreak/>
        <w:t>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A diferencia de las economías avanzadas, en México la recuperación económica inició hasta finales del segundo trimestre y continuó durante el tercer trimestre del año debido a que la pandemia llegó con un rezago al país. Así, en el segundo trimestre, la actividad económica se vio afectada principalmente por el cese de actividades y el inicio de la Jornada Nacional de Sana Distancia el 1 de abril como medida extraordinaria para la contención de la pandemia del COVID-19, siendo una contracción de la actividad económica “por diseño”. Como resultado de estas medidas, durante abril-junio el PIB real registró una contracción de 17.1% con respecto al trimestre anterior, con cifras ajustadas por estacionalidad.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Para el periodo abril-junio de 2020, la dinámica de crecimiento por sector y subsector de la actividad económica respecto al primer trimestre de 2020 fue heterogénea y el grado de afectación estuvo determinado por la clasificación de actividades entre esenciales y no esenciales, así como por la capacidad de las unidades productivas para seguir operando en condiciones de confinamiento y la disponibilidad de demanda de sus productos o servicios. En particular, en el segundo trimestre del año la actividad en el sector primario registró una contracción trimestral de 2.0% con datos ajustados por estacionalidad. El desempeño de este sector se compara favorablemente con la contracción del resto de la economía, debido a que fue considerado como esencial y realiza la mayoría de sus actividades al aire libre, con lo cual pudo seguir operando sin mayores complicaciones.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sector secundario fue el más afectado por las disrupciones en las cadenas globales de valor, la menor demanda de exportaciones y el cierre de actividades en el mercado doméstico. Así, en el segundo trimestre, este sector presentó una contracción de 23.4% con respecto al primer trimestre. En su interior, destaca por orden de magnitud la caída en el crecimiento trimestral de la construcción en 31.0%, las manufacturas en 26.4%, la minería en 9.4% y la energía eléctrica junto con el suministro de agua y gas en 8.5%.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sector terciario, por su parte, tuvo una contracción de 15.1% con respecto al primer trimestre. Los subsectores que más contribuyeron a esta contracción fueron aquellos clasificados como actividades no esenciales, vinculados al turismo y el esparcimiento, con alto grado de interacción entre personas, y rigidez para la reubicación del personal y la provisión del servicio en condiciones de confinamiento. Con el fin de la Jornada Nacional de Sana Distancia se implementó una estrategia para realizar la reapertura de actividades de forma gradual, ordenada y bajo estrictos protocolos sanitarios.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Así, a partir del 1 de junio, la minería, la construcción y la fabricación de equipo de transporte se sumaron a las actividades esenciales, las cuales en conjunto representan aproximadamente el 56.1% del PIB y absorben poco más del 60% de la población ocupada. Posteriormente, en agosto, se observó un cambio en la tendencia en el </w:t>
      </w:r>
      <w:r w:rsidRPr="00E028B6">
        <w:rPr>
          <w:rFonts w:ascii="Arial" w:hAnsi="Arial" w:cs="Arial"/>
          <w:sz w:val="18"/>
          <w:szCs w:val="18"/>
        </w:rPr>
        <w:lastRenderedPageBreak/>
        <w:t xml:space="preserve">número de nuevos contagios por COVID-19, lo cual permitió que se agregaran más industrias a la lista de actividades esenciales, se tuviera una mayor movilidad de las personas y, consecuentemente, se presentaran incrementos en la actividad económica y el empleo. Lo anterior permitió que durante el tercer trimestre y en línea con la mejoría de la actividad económica global, la economía mexicana comenzara a mostrar señales sostenidas de recuperación después de alcanzar su punto más bajo en los meses de abril y mayo. De acuerdo con la estimación oportuna del INEGI, el PIB en el tercer trimestre de 2020 registró un aumento de 12.0% con respecto al segundo trimestre de 2020, con datos ajustados por estacionalidad.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Al interior de los sectores, las actividades primarias, secundarias y terciarias en relación con el trimestre anterior crecieron en 7.4, 22.0 y 8.6%, respectivamente. El nivel alcanzado por el PIB en el tercer trimestre ha recuperado el 91.8% del valor observado en el cuarto trimestre de 2019; mientras que el sector primario, secundario y terciario han recuperado el 106.1, 92.4 y 91.4%, respectivamente para el mismo periodo.</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Asimismo, el Índice Global de la Actividad Económica (IGAE) presentó un crecimiento en el bimestre de julio-agosto de 10.8% con respecto al bimestre de mayo-junio, al tiempo que registró incrementos mensuales en junio, julio y agosto de 8.9, 5.7 y 1.1% respectivamente, con cifras ajustadas por estacionalidad. De acuerdo con el IGAE, el nivel de actividad alcanzado en agosto con respecto al nivel registrado en febrero de 2020 muestra que la economía mexicana recuperó el 92.6% del nivel perdido desde febrero. No obstante, si bien la economía presenta una clara recuperación al tercer trimestre, la velocidad de recuperación al interior de los sectores ha sido mixta.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detalle de esta dinámica fue la siguiente: </w:t>
      </w:r>
    </w:p>
    <w:p w:rsidR="00E028B6" w:rsidRDefault="00E028B6" w:rsidP="00E028B6">
      <w:pPr>
        <w:pStyle w:val="Prrafodelista"/>
        <w:numPr>
          <w:ilvl w:val="0"/>
          <w:numId w:val="25"/>
        </w:numPr>
        <w:tabs>
          <w:tab w:val="left" w:pos="644"/>
        </w:tabs>
        <w:ind w:left="709"/>
        <w:jc w:val="both"/>
        <w:rPr>
          <w:rFonts w:ascii="Arial" w:hAnsi="Arial" w:cs="Arial"/>
          <w:sz w:val="18"/>
          <w:szCs w:val="18"/>
        </w:rPr>
      </w:pPr>
      <w:r w:rsidRPr="00E028B6">
        <w:rPr>
          <w:rFonts w:ascii="Arial" w:hAnsi="Arial" w:cs="Arial"/>
          <w:sz w:val="18"/>
          <w:szCs w:val="18"/>
        </w:rPr>
        <w:t xml:space="preserve">Las actividades primarias crecieron 7.6% en el bimestre julio-agosto con respecto al bimestre mayo-junio. Este sector ha sido el menos afectado por la pandemia y por tanto el más dinámico en el año con un crecimiento acumulado de enero a agosto de 2.6%. </w:t>
      </w:r>
    </w:p>
    <w:p w:rsidR="00E028B6" w:rsidRPr="00E028B6" w:rsidRDefault="00E028B6" w:rsidP="00E028B6">
      <w:pPr>
        <w:pStyle w:val="Prrafodelista"/>
        <w:tabs>
          <w:tab w:val="left" w:pos="644"/>
        </w:tabs>
        <w:ind w:left="709"/>
        <w:jc w:val="both"/>
        <w:rPr>
          <w:rFonts w:ascii="Arial" w:hAnsi="Arial" w:cs="Arial"/>
          <w:sz w:val="18"/>
          <w:szCs w:val="18"/>
        </w:rPr>
      </w:pPr>
    </w:p>
    <w:p w:rsidR="00E028B6" w:rsidRDefault="00E028B6" w:rsidP="00E028B6">
      <w:pPr>
        <w:pStyle w:val="Prrafodelista"/>
        <w:numPr>
          <w:ilvl w:val="0"/>
          <w:numId w:val="25"/>
        </w:numPr>
        <w:tabs>
          <w:tab w:val="left" w:pos="644"/>
        </w:tabs>
        <w:ind w:left="709"/>
        <w:jc w:val="both"/>
        <w:rPr>
          <w:rFonts w:ascii="Arial" w:hAnsi="Arial" w:cs="Arial"/>
          <w:sz w:val="18"/>
          <w:szCs w:val="18"/>
        </w:rPr>
      </w:pPr>
      <w:r w:rsidRPr="00E028B6">
        <w:rPr>
          <w:rFonts w:ascii="Arial" w:hAnsi="Arial" w:cs="Arial"/>
          <w:sz w:val="18"/>
          <w:szCs w:val="18"/>
        </w:rPr>
        <w:t xml:space="preserve">Las actividades secundarias mostraron un crecimiento en el bimestre julio-agosto de 18.0% respecto al bimestre previo. Lo anterior implica un repunte de 28.2% comparando el bimestre de abril-mayo donde la economía tocó fondo. Si bien el crecimiento se observó en todos sus componentes, los mayores crecimientos se dieron en la construcción y las manufacturas que reflejaron el rebote de la reapertura después del periodo de cierre de actividades y confinamiento. </w:t>
      </w:r>
    </w:p>
    <w:p w:rsidR="00E028B6" w:rsidRPr="00E028B6" w:rsidRDefault="00E028B6" w:rsidP="00E028B6">
      <w:pPr>
        <w:pStyle w:val="Prrafodelista"/>
        <w:rPr>
          <w:rFonts w:ascii="Arial" w:hAnsi="Arial" w:cs="Arial"/>
          <w:sz w:val="18"/>
          <w:szCs w:val="18"/>
        </w:rPr>
      </w:pPr>
    </w:p>
    <w:p w:rsidR="00E028B6" w:rsidRPr="00E028B6" w:rsidRDefault="00E028B6" w:rsidP="00E028B6">
      <w:pPr>
        <w:pStyle w:val="Prrafodelista"/>
        <w:numPr>
          <w:ilvl w:val="0"/>
          <w:numId w:val="25"/>
        </w:numPr>
        <w:tabs>
          <w:tab w:val="left" w:pos="644"/>
        </w:tabs>
        <w:ind w:left="709"/>
        <w:jc w:val="both"/>
        <w:rPr>
          <w:rFonts w:ascii="Arial" w:hAnsi="Arial" w:cs="Arial"/>
          <w:sz w:val="18"/>
          <w:szCs w:val="18"/>
        </w:rPr>
      </w:pPr>
      <w:r w:rsidRPr="00E028B6">
        <w:rPr>
          <w:rFonts w:ascii="Arial" w:hAnsi="Arial" w:cs="Arial"/>
          <w:sz w:val="18"/>
          <w:szCs w:val="18"/>
        </w:rPr>
        <w:t xml:space="preserve">Las actividades terciarias tuvieron un crecimiento de 7.9% del bimestre de mayo-junio al bimestre julio-agosto. Si bien al mes de agosto se recuperó el 91.3% del nivel de alcanzado en febrero de 2020, al interior del sector existe una alta diversidad en el nivel de recuperación.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último dato muestra una recuperación en diversos servicios como los de alojamiento temporal y de preparación de alimentos y bebidas (+42.5% bimestral), el comercio al por menor (+26.2% bimestral), el comercio al por mayor (+15.4% bimestral), y los servicios de esparcimiento culturales y deportivos, recreativos y otros (+15.2% bimestral). No obstante, muchas actividades del sector terciario no presentan el mismo dinamismo que el resto de los subsectores, tal es el caso de los servicios educativos, de salud y asistencia social que mostraron una disminución bimestral de 0.6%; y los servicios financieros, de seguros, inmobiliarios y de alquiler de bienes con una reducción también del 0.6% bimestral.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Por el lado del gasto, la información oportuna para el tercer trimestre de 2020 muestra una recuperación en el consumo y la inversión ante la flexibilización cuidadosa de las medidas de confinamiento y la mayor movilidad de la población; lo anterior, después de que la demanda agregada mostrara una caída de 19.8% en el segundo trimestre, con cifras ajustadas por estacionalidad. No obstante, el valor en términos reales de las ventas totales de los establecimientos afiliados a la Asociación Nacional de Tiendas de Autoservicio (ANTAD), con cálculos propios de ajuste estacional, registró una mejora de 10.2% en el tercer trimestre respecto al segundo. El nivel alcanzado en septiembre se encuentra 1.8% por abajo del nivel alcanzado en marzo, cuando se llegó al nivel más alto de ventas en 2020, lo que muestra una recuperación del consumo de bienes no duraderos.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 xml:space="preserve">En julio de 2020, la recuperación del empleo apoyó al indicador mensual del consumo privado en el mercado interior que aumentó en términos reales en 5.2% con respecto a junio, con cifras desestacionalizadas, y 11.0% respecto a mayo de este mismo año. El aumento del consumo total de junio a julio se explicó por los crecimientos del consumo nacional de bienes (8.2%), de servicios (3.0%) y del consumo importado (6.4%). Por otro lado, después de haber presentado una caída histórica en el segundo trimestre de 2020, el número de unidades vendidas de autos y camionetas presentó un crecimiento en el tercer trimestre de 53.2%, con cifras ajustadas por estacionalidad.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No obstante, el nivel alcanzado en septiembre aún se encuentra 27.2% por abajo del nivel alcanzado en febrero, cuando se llegó al nivel más alto de ventas en el año. En julio de 2020, un componente importante del crecimiento económico como lo es la formación bruta de capital fijo presentó un crecimiento de 4.4% respecto a junio de 2020 y de 25.4% respecto a mayo, utilizando cifras ajustadas por estacionalidad. El aumento de la formación bruta de capital fijo en julio mostró señales de recuperación en todos sus componentes con incrementos en la inversión en construcción (1.1% mensual), en la maquinaria y equipo nacional (21.8% mensual) y en la maquinaria y equipo importada (2.8% mensual).</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Por el lado del mercado laboral, la reapertura gradual y ordenada de la actividad económica favoreció una recuperación en el nivel de empleo.1 Entre mayo y septiembre se recuperaron 7.8 millones de empleos, particularmente en los sectores de construcción y las industrias: manufacturera, extractiva y de la electricidad y el comercio. Lo anterior equivale a una recuperación de 62.7% con respecto al número de empleos perdidos entre marzo y abril.</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septiembre de 2020, la población ocupada aumentó en 2.8 millones con respecto a junio, lo cual representó una recuperación de 26.7% con respecto al número de empleos perdidos entre el primero y segundo trimestre del año. No obstante, el promedio de la tasa de desocupación nacional al tercer trimestre se ubicó en 5.2% de la PEA, nivel mayor en 0.5 puntos porcentuales a la tasa promedio que se registró en el segundo trimestre del año (4.8%). Si bien esto significó que en promedio hubo 508 mil más de personas desocupadas, también es resultado del aumento en la PEA que se reincorporó en el tercer trimestre. De esta forma, el aumento en la participación igualmente contribuyó a que 5.4 millones más de personas lograran emplearse del segundo al tercer trimestre de 2020.</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Con la reapertura gradual y ordenada de las actividades en diversos sectores, el comercio de mercancías de México con el exterior se recuperó parcialmente durante el tercer trimestre de 2020. Cabe destacar que esta recuperación se vio favorecida por un incremento en el comercio mundial, derivado de la existencia de políticas monetarias más acomodaticias, de la implementación de numerosos paquetes de apoyo a nivel internacional y de una relajación de las medidas de confinamiento en muchos países. En este contexto, el volumen de comercio mundial aumentó en 10.3% en el bimestre </w:t>
      </w:r>
      <w:proofErr w:type="spellStart"/>
      <w:r w:rsidRPr="00E028B6">
        <w:rPr>
          <w:rFonts w:ascii="Arial" w:hAnsi="Arial" w:cs="Arial"/>
          <w:sz w:val="18"/>
          <w:szCs w:val="18"/>
        </w:rPr>
        <w:t>julioagosto</w:t>
      </w:r>
      <w:proofErr w:type="spellEnd"/>
      <w:r w:rsidRPr="00E028B6">
        <w:rPr>
          <w:rFonts w:ascii="Arial" w:hAnsi="Arial" w:cs="Arial"/>
          <w:sz w:val="18"/>
          <w:szCs w:val="18"/>
        </w:rPr>
        <w:t xml:space="preserve"> de 2020 respecto al bimestre mayo-junio. Sin embargo, los niveles alcanzados hasta ahora son inferiores en 1.9% respecto al registrado en febrero de 2020.</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Durante el periodo reportado, el valor de las exportaciones registró un avance importante como resultado de la recuperación gradual de la economía mundial. En septiembre, México ha recuperado el 98.0% del valor de sus exportaciones totales con respecto a febrero. Mientras tanto, el valor de las importaciones totales mostró un menor desempeño debido al moderado crecimiento de la demanda interna de bienes de consumo y de capital. De manera específica, el valor de las exportaciones no petroleras aumentó en el trimestre 50.2%, después de que en el trimestre anterior disminuyeron 35.7%. Al interior de este rubro, las extractivas y las manufactureras aumentaron 25.5% y 54.6%, respectivamente, pero las agropecuarias disminuyeron 2.6%.</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el tercer trimestre de 2020, el sector financiero nacional mostró una menor volatilidad en comparación con los dos trimestres anteriores, en línea con el comportamiento de los mercados financieros globales. Además, se observó una estabilización en las salidas de flujos de capitales de México, luego del comportamiento observado durante los primeros dos trimestres.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Después de alcanzar mínimos históricos en abril de 2020, en el tercer trimestre la recuperación del tipo de cambio se aceleró respecto al trimestre anterior. Esta apreciación se explica por el registro de unos superávits históricos en la balanza comercial, la resiliencia de los ingresos de remesas y una menor prima de riesgo.</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Al cierre de septiembre, el peso alcanzó un nivel de 22.11 pesos por dólar, lo cual implicó una apreciación de 3.97% con respecto al cierre de junio de 2020 y una apreciación de 14.67% con respecto a su peor nivel del año el 23 de marzo, aunque respecto al cierre de 2019 aún presenta una depreciación de 14.42%. Igualmente, se observó una mejora en las expectativas del tipo de cambio. Entre el 30 de junio de 2020 y el 30 de septiembre de 2020, el tipo de cambio promedio de los contratos de futuros de la Bolsa Mercantil de Chicago para entregar en diciembre de 2021 disminuyó de 24.44 a 23.28 pesos por dólar, lo cual implica una apreciación implícita de 4.99%.</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La reactivación económica se verá fortalecida una vez que contemos con una vacuna segura y efectiva la cual permitirá una reapertura amplia. Por ello, el Gobierno de México ha realizado importantes avances respecto a la estrategia para garantizar el acceso universal de la vacuna contra el COVID-19. El 25 de septiembre el Gobierno de México firmó un contrato de participación con COVAX </w:t>
      </w:r>
      <w:proofErr w:type="spellStart"/>
      <w:r w:rsidRPr="00E028B6">
        <w:rPr>
          <w:rFonts w:ascii="Arial" w:hAnsi="Arial" w:cs="Arial"/>
          <w:sz w:val="18"/>
          <w:szCs w:val="18"/>
        </w:rPr>
        <w:t>Facility</w:t>
      </w:r>
      <w:proofErr w:type="spellEnd"/>
      <w:r w:rsidRPr="00E028B6">
        <w:rPr>
          <w:rFonts w:ascii="Arial" w:hAnsi="Arial" w:cs="Arial"/>
          <w:sz w:val="18"/>
          <w:szCs w:val="18"/>
        </w:rPr>
        <w:t xml:space="preserve"> para adquirir dosis de vacunas, mientras que el 8 de octubre la SHCP realizó una transferencia por 159.9 millones de dólares, además de presentar los documentos de garantía de riesgo por 20.6 millones de dólares. Adicionalmente, en el mismo mes, el Gobierno de México suscribió tres contratos de compra anticipada con cuatro farmacéuticas para adquirir suficientes vacunas para atender a la población en situación de mayor riesgo. Con dichos contratos, en conjunto, se podrá cubrir hasta 116 millones de personas mexicanas, lo que representa más del 90% de la población en México.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Como parte de la recuperación y reactivación económica, el Gobierno de México continúa con los esfuerzos para fortalecer la red de protección social, especialmente en los grupos en situación de vulnerabilidad que, además de potenciar el capital humano de nuestro país, mejora la economía y el bienestar de la población beneficiaria. Entre los programas que se están implementando destacan el Programas Jóvenes Construyendo el Futuro (1.3 millones de beneficiarios); Becas para el Bienestar Benito Juárez (11.7 millones de beneficiarios); Apoyo a niños, niñas, hijos de madres trabajadoras (185.0 miles de beneficiarios); Bienestar para las Personas Adultas Mayores (8.4 millones de beneficiarios) y Pensión para el Bienestar de las Personas con Discapacidad (850.1 mil beneficiarios).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Los resultados al tercer trimestre del año muestran finanzas públicas sanas y balanceadas a pesar del complejo entorno económico. La política fiscal ha priorizado el fortalecimiento de los recursos humanos y físicos del sistema de salud, fundamentales para la protección de vidas en el contexto de la pandemia del COVID-19; la inversión en infraestructura que contribuya a un desarrollo más equitativo entre personas y regiones; el fortalecimiento de la red de protección social; y la implementación de políticas públicas que abonen a un restablecimiento rápido y sostenido del empleo y la actividad económica. Durante los primeros nueve meses del año, los ingresos presupuestarios del Sector Público se ubicaron en 3 billones 889 mil 301 millones de pesos, monto inferior en 235 mil 773 millones de pesos a lo previsto en el programa y menor en 5.4% en términos reales respecto al mismo periodo de 2019. Del total, el 78.2% de los ingresos presupuestarios corresponde al Gobierno Federal, mientras que el 21.8% proviene de los organismos bajo control presupuestario directo (IMSS e ISSSTE) y de las Empresas Productivas del Estado (Pemex y CFE). En línea con la normatividad vigente, la disminución de los ingresos del Gobierno Federal será compensada con el uso de recursos del Fondo de Estabilización de los Ingresos Presupuestarios (FEIP). Al interior, los ingresos tributarios ascendieron a 2 billones 505 mil 77 millones de pesos en el periodo enero-septiembre de 2020, mostrando solidez al permanecer prácticamente iguales respecto al mismo periodo del año anterior con una tasa de crecimiento anual real de -0.9%, destacando un aumento de la recaudación del sistema de renta y de los accesorios de 0.1 y 42.0% en términos reales, respectivamente. Lo anterior representa un resultado positivo considerando el complejo entorno económico actual, y es resultado de las modificaciones impulsadas por esta administración para incentivar el cumplimiento de las obligaciones fiscales por parte de los contribuyentes, reduciendo así los espacios de elusión y evasión y fortaleciendo la recaudación sin modificar el marco fiscal vigente. Durante el mismo periodo, los ingresos no tributarios del Gobierno Federal sumaron 371 mil 711 millones de pesos, monto superior al programa en 243 mil 164 millones de pesos y mayor en 76.7% real anual, como resultado del uso de diversos activos financieros, evitando con ello endeudamiento adicional que comprometa el futuro de las familias mexicanas y la estabilidad macroeconómica. Por su parte, los ingresos petroleros del Sector Público se ubicaron en 396 mil 959 millones de pesos, monto inferior en 308 mil 207 millones de pesos respecto a lo programado y en 45.7% real anual respecto al mismo periodo de 2019, en razón de los efectos de las medidas de confinamiento sobre la producción y la demanda global de petróleo crudo y combustibles. En materia de gasto, al tercer trimestre el gasto neto pagado ascendió a 4 billones 233 mil 644 millones de pesos, monto inferior en 2.2% en términos reales respecto a lo observado en el año previo y en 309 mil 684 millones de pesos en comparación con el programa. En atención a la emergencia sanitaria y económica, el gasto programable del Gobierno Federal se incrementó en 5.1% real anual, sin </w:t>
      </w:r>
      <w:r w:rsidRPr="00E028B6">
        <w:rPr>
          <w:rFonts w:ascii="Arial" w:hAnsi="Arial" w:cs="Arial"/>
          <w:sz w:val="18"/>
          <w:szCs w:val="18"/>
        </w:rPr>
        <w:lastRenderedPageBreak/>
        <w:t>considerar la aportación de capital a Pemex por 97 mil 131 millones de pesos en septiembre 2019. Específicamente, el gasto en subsidios, transferencias y aportaciones aumentó 6.1% en términos reales, con lo cual continúa el apoyo a las familias y empresas mexicanas que se han visto afectadas por la pandemia. El gasto no programable ascendió a 1 billón 148 mil 816 millones de pesos, monto menor a lo programado en 107 mil 126 millones de pesos y en 4.9% real anual, debido principalmente a la caída de 9.6% real anual de las participaciones a los estados, ante lo cual se autorizó la entrega de 32.7 miles de millones de pesos del Fondo de Estabilización de los Ingresos de las Entidades Federativas (FEIEF) para compensarla y no comprometer la ejecución adecuada de proyectos por parte de los gobiernos subnacionales.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Al cierre de septiembre de 2020, el balance primario del Sector Público, definido como la diferencia entre los ingresos totales y los gastos distintos del costo financiero, registró un superávit de 156 mil 684 millones de pesos, mayor al superávit previsto originalmente de 87 mil 935 millones de pesos. Por su parte, el balance presupuestario del Sector Público presentó un déficit de 308 mil 450 millones de pesos, menor al programado en 109 mil 504 millones de pesos.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E028B6" w:rsidRPr="00E028B6" w:rsidRDefault="00E028B6" w:rsidP="00E028B6">
      <w:pPr>
        <w:tabs>
          <w:tab w:val="left" w:pos="284"/>
        </w:tabs>
        <w:ind w:left="284"/>
        <w:jc w:val="center"/>
        <w:rPr>
          <w:rFonts w:ascii="Arial" w:hAnsi="Arial" w:cs="Arial"/>
          <w:sz w:val="18"/>
          <w:szCs w:val="18"/>
        </w:rPr>
      </w:pPr>
      <w:r w:rsidRPr="00E028B6">
        <w:rPr>
          <w:rFonts w:ascii="Arial" w:hAnsi="Arial" w:cs="Arial"/>
          <w:noProof/>
          <w:sz w:val="18"/>
          <w:szCs w:val="18"/>
          <w:lang w:eastAsia="es-MX"/>
        </w:rPr>
        <w:lastRenderedPageBreak/>
        <w:drawing>
          <wp:inline distT="0" distB="0" distL="0" distR="0">
            <wp:extent cx="2560320" cy="3554095"/>
            <wp:effectExtent l="0" t="0" r="0" b="825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4095"/>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tercer trimestre de 2020, Tlaxcala ha recibido flujos de inversión acumulados por 3 mil 568.6 millones de dólares (</w:t>
      </w:r>
      <w:proofErr w:type="spellStart"/>
      <w:r w:rsidRPr="00E028B6">
        <w:rPr>
          <w:rFonts w:ascii="Arial" w:hAnsi="Arial" w:cs="Arial"/>
          <w:sz w:val="18"/>
          <w:szCs w:val="18"/>
        </w:rPr>
        <w:t>mdd</w:t>
      </w:r>
      <w:proofErr w:type="spellEnd"/>
      <w:r w:rsidRPr="00E028B6">
        <w:rPr>
          <w:rFonts w:ascii="Arial" w:hAnsi="Arial" w:cs="Arial"/>
          <w:sz w:val="18"/>
          <w:szCs w:val="18"/>
        </w:rPr>
        <w:t>) equivalentes al 0.6% del total de flujos captados por el país de acuerdo a la Secretaría de Economía al Tercer Trimestre de 2020, la entidad pasó a ocupar la posición 28 como receptor de inversión externa en el país.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tercer trimestre de 2020 es de 573 mil 695 personas y representa 1.1% del total nacional. La población ocupada representó 93.5% de la PEA de la entidad, es decir, 536 mil 876 personas. De esta población, 60.6 % son hombres y 39.4 % son mujeres. Un dato a destacar es el aumento de la participación laboral femenina en el estado. En 2001, la proporción de mujeres trabajadoras tlaxcaltecas dentro de la población ocupada total era de 33%. Actualmente, alcanza 42.3 %, ligeramente mayor al promedio nacional.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Al mes de noviembre de 2020 la tasa de ocupación reflejó una participación del 1.1 % al total nacional, representando un decremento de 1,035 puestos de trabajo respecto a diciembre de 2019. Al mes de noviembre de 2020, se tienen registrados 101,238 trabajadores asegurados en el IMSS, tal y como se muestra en los siguientes cuadros:</w:t>
      </w:r>
    </w:p>
    <w:p w:rsidR="00E028B6" w:rsidRPr="00E028B6" w:rsidRDefault="00E028B6" w:rsidP="00503EF9">
      <w:pPr>
        <w:tabs>
          <w:tab w:val="left" w:pos="284"/>
        </w:tabs>
        <w:ind w:left="284"/>
        <w:jc w:val="center"/>
        <w:rPr>
          <w:rFonts w:ascii="Arial" w:hAnsi="Arial" w:cs="Arial"/>
          <w:sz w:val="18"/>
          <w:szCs w:val="18"/>
        </w:rPr>
      </w:pPr>
      <w:r w:rsidRPr="00E028B6">
        <w:rPr>
          <w:rFonts w:ascii="Arial" w:hAnsi="Arial" w:cs="Arial"/>
          <w:noProof/>
          <w:sz w:val="18"/>
          <w:szCs w:val="18"/>
          <w:lang w:eastAsia="es-MX"/>
        </w:rPr>
        <w:drawing>
          <wp:inline distT="0" distB="0" distL="0" distR="0">
            <wp:extent cx="7151299" cy="364172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8311" t="16780" r="12215" b="12305"/>
                    <a:stretch>
                      <a:fillRect/>
                    </a:stretch>
                  </pic:blipFill>
                  <pic:spPr bwMode="auto">
                    <a:xfrm>
                      <a:off x="0" y="0"/>
                      <a:ext cx="7172938" cy="3652744"/>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w:lastRenderedPageBreak/>
        <w:drawing>
          <wp:inline distT="0" distB="0" distL="0" distR="0">
            <wp:extent cx="8348980" cy="60267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4303" t="22365" r="26830" b="14766"/>
                    <a:stretch>
                      <a:fillRect/>
                    </a:stretch>
                  </pic:blipFill>
                  <pic:spPr bwMode="auto">
                    <a:xfrm>
                      <a:off x="0" y="0"/>
                      <a:ext cx="8348980" cy="6026785"/>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De acuerdo al Directorio Estadístico Nacional de Unidades Económicas, Tlaxcala cuenta con 82,542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E028B6" w:rsidRPr="00E028B6" w:rsidRDefault="00E028B6" w:rsidP="00E028B6">
      <w:pPr>
        <w:tabs>
          <w:tab w:val="left" w:pos="284"/>
        </w:tabs>
        <w:ind w:left="284"/>
        <w:jc w:val="both"/>
        <w:rPr>
          <w:rFonts w:ascii="Arial" w:hAnsi="Arial" w:cs="Arial"/>
          <w:sz w:val="18"/>
          <w:szCs w:val="18"/>
        </w:rPr>
      </w:pP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w:drawing>
          <wp:inline distT="0" distB="0" distL="0" distR="0">
            <wp:extent cx="6631305" cy="41821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059" t="17435" r="25847" b="15431"/>
                    <a:stretch>
                      <a:fillRect/>
                    </a:stretch>
                  </pic:blipFill>
                  <pic:spPr bwMode="auto">
                    <a:xfrm>
                      <a:off x="0" y="0"/>
                      <a:ext cx="6631305" cy="4182110"/>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Al tercer trimestre de 2020, la Inversión Extranjera Directa Acumulada del año 1999 al mes de septiembre de 2020 en el Estado de Tlaxcala fue de 3,568.6 millones de dólares lo que representó un aporte del 0.6% al total nacional, instalándose empresas de diversas nacionalidades en la Entidad.</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simplePos x="0" y="0"/>
                <wp:positionH relativeFrom="column">
                  <wp:posOffset>290566</wp:posOffset>
                </wp:positionH>
                <wp:positionV relativeFrom="paragraph">
                  <wp:posOffset>3689985</wp:posOffset>
                </wp:positionV>
                <wp:extent cx="8324850" cy="114300"/>
                <wp:effectExtent l="0" t="0" r="19050" b="1905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0" cy="1143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BBB6E" id="Rectángulo 96" o:spid="_x0000_s1026" style="position:absolute;margin-left:22.9pt;margin-top:290.55pt;width:655.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" filled="f" strokecolor="red"/>
            </w:pict>
          </mc:Fallback>
        </mc:AlternateContent>
      </w:r>
      <w:r w:rsidRPr="00E028B6">
        <w:rPr>
          <w:rFonts w:ascii="Arial" w:hAnsi="Arial" w:cs="Arial"/>
          <w:noProof/>
          <w:sz w:val="18"/>
          <w:szCs w:val="18"/>
          <w:lang w:eastAsia="es-MX"/>
        </w:rPr>
        <w:drawing>
          <wp:inline distT="0" distB="0" distL="0" distR="0">
            <wp:extent cx="8523605" cy="41979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6998" t="16466" r="6764" b="15053"/>
                    <a:stretch>
                      <a:fillRect/>
                    </a:stretch>
                  </pic:blipFill>
                  <pic:spPr bwMode="auto">
                    <a:xfrm>
                      <a:off x="0" y="0"/>
                      <a:ext cx="8523605" cy="4197985"/>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w:drawing>
          <wp:inline distT="0" distB="0" distL="0" distR="0">
            <wp:extent cx="4420870" cy="3740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8231" t="69879" r="39459" b="22290"/>
                    <a:stretch>
                      <a:fillRect/>
                    </a:stretch>
                  </pic:blipFill>
                  <pic:spPr bwMode="auto">
                    <a:xfrm>
                      <a:off x="0" y="0"/>
                      <a:ext cx="4420870" cy="374015"/>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11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A15A9">
        <w:rPr>
          <w:rFonts w:ascii="Arial" w:hAnsi="Arial" w:cs="Arial"/>
          <w:sz w:val="18"/>
          <w:szCs w:val="18"/>
        </w:rPr>
        <w:t xml:space="preserve">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w:t>
      </w:r>
      <w:r w:rsidRPr="002A15A9">
        <w:rPr>
          <w:rFonts w:ascii="Arial" w:hAnsi="Arial" w:cs="Arial"/>
          <w:sz w:val="18"/>
          <w:szCs w:val="18"/>
        </w:rPr>
        <w:lastRenderedPageBreak/>
        <w:t>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poco dinamismo de la economía regional, restringe al Estado para incrementar significativamente su recaudación propia; de 2011 a 2020, los ingresos propios promediaron entre el 4 y 6 por ciento de los ingresos totales captados. Se han implementado algunas medidas que incentivaron el pago de impuestos para reducir el rezago fiscal, particularmente en materia de tenencia y derechos vehiculares.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w:t>
      </w:r>
      <w:r w:rsidRPr="0073056A">
        <w:rPr>
          <w:rFonts w:ascii="Arial" w:hAnsi="Arial" w:cs="Arial"/>
          <w:sz w:val="18"/>
          <w:szCs w:val="18"/>
        </w:rPr>
        <w:lastRenderedPageBreak/>
        <w:t>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028B6" w:rsidRDefault="00E028B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028B6" w:rsidRDefault="00E028B6"/>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028B6" w:rsidRDefault="00E028B6"/>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028B6" w:rsidRDefault="00E028B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028B6" w:rsidRDefault="00E028B6">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028B6" w:rsidRDefault="00E028B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028B6" w:rsidRDefault="00E028B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7"/>
      <w:headerReference w:type="default" r:id="rId28"/>
      <w:footerReference w:type="even" r:id="rId29"/>
      <w:footerReference w:type="default" r:id="rId30"/>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BC6" w:rsidRDefault="00B85BC6" w:rsidP="00EA5418">
      <w:pPr>
        <w:spacing w:after="0" w:line="240" w:lineRule="auto"/>
      </w:pPr>
      <w:r>
        <w:separator/>
      </w:r>
    </w:p>
  </w:endnote>
  <w:endnote w:type="continuationSeparator" w:id="0">
    <w:p w:rsidR="00B85BC6" w:rsidRDefault="00B85BC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Pr="004E3EA4" w:rsidRDefault="00E028B6"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86D96" w:rsidRPr="00F86D96">
          <w:rPr>
            <w:rFonts w:ascii="Arial" w:hAnsi="Arial" w:cs="Arial"/>
            <w:noProof/>
            <w:sz w:val="20"/>
            <w:lang w:val="es-ES"/>
          </w:rPr>
          <w:t>38</w:t>
        </w:r>
        <w:r w:rsidRPr="004E3EA4">
          <w:rPr>
            <w:rFonts w:ascii="Arial" w:hAnsi="Arial" w:cs="Arial"/>
            <w:sz w:val="20"/>
          </w:rPr>
          <w:fldChar w:fldCharType="end"/>
        </w:r>
      </w:sdtContent>
    </w:sdt>
  </w:p>
  <w:p w:rsidR="00E028B6" w:rsidRDefault="00E028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Pr="003527CD" w:rsidRDefault="00E028B6"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86D96" w:rsidRPr="00F86D96">
          <w:rPr>
            <w:rFonts w:ascii="Arial" w:hAnsi="Arial" w:cs="Arial"/>
            <w:noProof/>
            <w:lang w:val="es-ES"/>
          </w:rPr>
          <w:t>37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BC6" w:rsidRDefault="00B85BC6" w:rsidP="00EA5418">
      <w:pPr>
        <w:spacing w:after="0" w:line="240" w:lineRule="auto"/>
      </w:pPr>
      <w:r>
        <w:separator/>
      </w:r>
    </w:p>
  </w:footnote>
  <w:footnote w:type="continuationSeparator" w:id="0">
    <w:p w:rsidR="00B85BC6" w:rsidRDefault="00B85BC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Default="00C27666"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1971675</wp:posOffset>
              </wp:positionH>
              <wp:positionV relativeFrom="paragraph">
                <wp:posOffset>-235585</wp:posOffset>
              </wp:positionV>
              <wp:extent cx="3648075" cy="5524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028B6" w:rsidRDefault="00E028B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028B6" w:rsidRPr="00275FC6" w:rsidRDefault="00E028B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C3AC2" id="_x0000_t202" coordsize="21600,21600" o:spt="202" path="m,l,21600r21600,l21600,xe">
              <v:stroke joinstyle="miter"/>
              <v:path gradientshapeok="t" o:connecttype="rect"/>
            </v:shapetype>
            <v:shape id="Cuadro de texto 5" o:spid="_x0000_s1102" type="#_x0000_t202" style="position:absolute;left:0;text-align:left;margin-left:155.25pt;margin-top:-18.55pt;width:287.2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" filled="f" stroked="f">
              <v:textbox>
                <w:txbxContent>
                  <w:p w:rsidR="00E028B6" w:rsidRDefault="00E028B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028B6" w:rsidRDefault="00E028B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028B6" w:rsidRPr="00275FC6" w:rsidRDefault="00E028B6" w:rsidP="00040466">
                    <w:pPr>
                      <w:jc w:val="right"/>
                      <w:rPr>
                        <w:rFonts w:ascii="Soberana Titular" w:hAnsi="Soberana Titular" w:cs="Arial"/>
                        <w:color w:val="808080" w:themeColor="background1" w:themeShade="80"/>
                        <w:sz w:val="20"/>
                        <w:szCs w:val="20"/>
                      </w:rPr>
                    </w:pPr>
                  </w:p>
                </w:txbxContent>
              </v:textbox>
            </v:shape>
          </w:pict>
        </mc:Fallback>
      </mc:AlternateContent>
    </w:r>
    <w:r w:rsidR="00E028B6">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8B6" w:rsidRPr="00DE4269" w:rsidRDefault="00E028B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3"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10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028B6" w:rsidRPr="00DE4269" w:rsidRDefault="00E028B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E028B6">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Pr="003527CD" w:rsidRDefault="00E028B6"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00D04"/>
    <w:multiLevelType w:val="hybridMultilevel"/>
    <w:tmpl w:val="2E503C4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17"/>
  </w:num>
  <w:num w:numId="4">
    <w:abstractNumId w:val="10"/>
  </w:num>
  <w:num w:numId="5">
    <w:abstractNumId w:val="14"/>
  </w:num>
  <w:num w:numId="6">
    <w:abstractNumId w:val="24"/>
  </w:num>
  <w:num w:numId="7">
    <w:abstractNumId w:val="20"/>
  </w:num>
  <w:num w:numId="8">
    <w:abstractNumId w:val="18"/>
  </w:num>
  <w:num w:numId="9">
    <w:abstractNumId w:val="9"/>
  </w:num>
  <w:num w:numId="10">
    <w:abstractNumId w:val="4"/>
  </w:num>
  <w:num w:numId="11">
    <w:abstractNumId w:val="0"/>
  </w:num>
  <w:num w:numId="12">
    <w:abstractNumId w:val="7"/>
  </w:num>
  <w:num w:numId="13">
    <w:abstractNumId w:val="21"/>
  </w:num>
  <w:num w:numId="14">
    <w:abstractNumId w:val="19"/>
  </w:num>
  <w:num w:numId="15">
    <w:abstractNumId w:val="13"/>
  </w:num>
  <w:num w:numId="16">
    <w:abstractNumId w:val="2"/>
  </w:num>
  <w:num w:numId="17">
    <w:abstractNumId w:val="12"/>
  </w:num>
  <w:num w:numId="18">
    <w:abstractNumId w:val="16"/>
  </w:num>
  <w:num w:numId="19">
    <w:abstractNumId w:val="15"/>
  </w:num>
  <w:num w:numId="20">
    <w:abstractNumId w:val="6"/>
  </w:num>
  <w:num w:numId="21">
    <w:abstractNumId w:val="8"/>
  </w:num>
  <w:num w:numId="22">
    <w:abstractNumId w:val="23"/>
  </w:num>
  <w:num w:numId="23">
    <w:abstractNumId w:val="22"/>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6E3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77027"/>
    <w:rsid w:val="0008099F"/>
    <w:rsid w:val="00084D46"/>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0F4C"/>
    <w:rsid w:val="001210DD"/>
    <w:rsid w:val="00121842"/>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1788"/>
    <w:rsid w:val="00172B7D"/>
    <w:rsid w:val="00174F47"/>
    <w:rsid w:val="001769D8"/>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06E8"/>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746"/>
    <w:rsid w:val="00272E20"/>
    <w:rsid w:val="0027627B"/>
    <w:rsid w:val="00280AAD"/>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57A70"/>
    <w:rsid w:val="003612CA"/>
    <w:rsid w:val="00365BA0"/>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121"/>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553D3"/>
    <w:rsid w:val="00462592"/>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C6C34"/>
    <w:rsid w:val="004D30E1"/>
    <w:rsid w:val="004D3E91"/>
    <w:rsid w:val="004D41B8"/>
    <w:rsid w:val="004D5BEA"/>
    <w:rsid w:val="004E3EA4"/>
    <w:rsid w:val="004E6076"/>
    <w:rsid w:val="004F542A"/>
    <w:rsid w:val="004F5641"/>
    <w:rsid w:val="0050183B"/>
    <w:rsid w:val="00502DDD"/>
    <w:rsid w:val="00503454"/>
    <w:rsid w:val="00503EF9"/>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97"/>
    <w:rsid w:val="00545527"/>
    <w:rsid w:val="00550363"/>
    <w:rsid w:val="00551999"/>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3D25"/>
    <w:rsid w:val="005D5223"/>
    <w:rsid w:val="005D568E"/>
    <w:rsid w:val="005E39FD"/>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539"/>
    <w:rsid w:val="006B4727"/>
    <w:rsid w:val="006C2C92"/>
    <w:rsid w:val="006C4213"/>
    <w:rsid w:val="006C54B8"/>
    <w:rsid w:val="006D2166"/>
    <w:rsid w:val="006D3DF1"/>
    <w:rsid w:val="006D5097"/>
    <w:rsid w:val="006D5AC5"/>
    <w:rsid w:val="006E2D9E"/>
    <w:rsid w:val="006E77DD"/>
    <w:rsid w:val="006E7F02"/>
    <w:rsid w:val="006F0CCF"/>
    <w:rsid w:val="006F2058"/>
    <w:rsid w:val="006F23B1"/>
    <w:rsid w:val="006F4379"/>
    <w:rsid w:val="006F4C3C"/>
    <w:rsid w:val="006F5412"/>
    <w:rsid w:val="006F6AC2"/>
    <w:rsid w:val="007004C7"/>
    <w:rsid w:val="00702079"/>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A3C"/>
    <w:rsid w:val="00796CB0"/>
    <w:rsid w:val="007972C6"/>
    <w:rsid w:val="007A1F12"/>
    <w:rsid w:val="007A3544"/>
    <w:rsid w:val="007A799B"/>
    <w:rsid w:val="007B2FE4"/>
    <w:rsid w:val="007B4793"/>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4D41"/>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1554"/>
    <w:rsid w:val="009B20EA"/>
    <w:rsid w:val="009B2C65"/>
    <w:rsid w:val="009B49CD"/>
    <w:rsid w:val="009B515F"/>
    <w:rsid w:val="009B5552"/>
    <w:rsid w:val="009B64AA"/>
    <w:rsid w:val="009B68CB"/>
    <w:rsid w:val="009C26AF"/>
    <w:rsid w:val="009C29DB"/>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256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5BC6"/>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27666"/>
    <w:rsid w:val="00C30B88"/>
    <w:rsid w:val="00C346B4"/>
    <w:rsid w:val="00C379D0"/>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018F"/>
    <w:rsid w:val="00D320D5"/>
    <w:rsid w:val="00D32544"/>
    <w:rsid w:val="00D344F5"/>
    <w:rsid w:val="00D34D7A"/>
    <w:rsid w:val="00D351EE"/>
    <w:rsid w:val="00D35411"/>
    <w:rsid w:val="00D3669D"/>
    <w:rsid w:val="00D37294"/>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86C30"/>
    <w:rsid w:val="00D92473"/>
    <w:rsid w:val="00DA1B01"/>
    <w:rsid w:val="00DA5237"/>
    <w:rsid w:val="00DA68FB"/>
    <w:rsid w:val="00DA6BE0"/>
    <w:rsid w:val="00DB3AF6"/>
    <w:rsid w:val="00DB4C18"/>
    <w:rsid w:val="00DB53FB"/>
    <w:rsid w:val="00DB74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28B6"/>
    <w:rsid w:val="00E03CED"/>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45B2"/>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EBD"/>
    <w:rsid w:val="00EC2DF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47AE"/>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D96"/>
    <w:rsid w:val="00F86F78"/>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43524647">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8935939">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46095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Puebl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862D7-9EA2-4F46-8C9A-FFA9F557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13153</Words>
  <Characters>72343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2021-01-13T15:57:00Z</cp:lastPrinted>
  <dcterms:created xsi:type="dcterms:W3CDTF">2021-01-29T22:06:00Z</dcterms:created>
  <dcterms:modified xsi:type="dcterms:W3CDTF">2021-01-29T22:06:00Z</dcterms:modified>
</cp:coreProperties>
</file>