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2CFBB" w14:textId="626D909B" w:rsidR="00EA5418" w:rsidRDefault="00056042" w:rsidP="00372F40">
      <w:pPr>
        <w:jc w:val="center"/>
        <w:rPr>
          <w:rFonts w:ascii="Arial" w:hAnsi="Arial" w:cs="Arial"/>
          <w:b/>
          <w:sz w:val="18"/>
          <w:szCs w:val="18"/>
        </w:rPr>
      </w:pPr>
      <w:r w:rsidRPr="00B372A2">
        <w:rPr>
          <w:rFonts w:ascii="Arial" w:hAnsi="Arial" w:cs="Arial"/>
          <w:b/>
          <w:sz w:val="18"/>
          <w:szCs w:val="18"/>
        </w:rPr>
        <w:t>Introducción</w:t>
      </w:r>
    </w:p>
    <w:p w14:paraId="205175AF" w14:textId="77777777" w:rsidR="002D4C8A" w:rsidRDefault="002D4C8A" w:rsidP="00372F40">
      <w:pPr>
        <w:jc w:val="center"/>
        <w:rPr>
          <w:rFonts w:ascii="Arial" w:hAnsi="Arial" w:cs="Arial"/>
          <w:b/>
          <w:sz w:val="18"/>
          <w:szCs w:val="18"/>
        </w:rPr>
      </w:pPr>
    </w:p>
    <w:p w14:paraId="0344A0A5" w14:textId="77777777" w:rsidR="00174F20" w:rsidRDefault="00174F20" w:rsidP="00174F20">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 </w:t>
      </w:r>
      <w:r>
        <w:rPr>
          <w:rFonts w:ascii="Arial" w:hAnsi="Arial" w:cs="Arial"/>
          <w:sz w:val="18"/>
          <w:szCs w:val="18"/>
        </w:rPr>
        <w:t>apoya a</w:t>
      </w:r>
      <w:r w:rsidRPr="002D3FE8">
        <w:rPr>
          <w:rFonts w:ascii="Arial" w:hAnsi="Arial" w:cs="Arial"/>
          <w:sz w:val="18"/>
          <w:szCs w:val="18"/>
        </w:rPr>
        <w:t xml:space="preserve">l desarrollo de las micro y pequeñas empresas </w:t>
      </w:r>
      <w:r>
        <w:rPr>
          <w:rFonts w:ascii="Arial" w:hAnsi="Arial" w:cs="Arial"/>
          <w:sz w:val="18"/>
          <w:szCs w:val="18"/>
        </w:rPr>
        <w:t>de los diversos sectores económicos con el otorgamiento de créditos para proyectos productivos, fomentando así el empleo, a fín de mejorar el ingreso de las familias tlaxcaltecas.</w:t>
      </w:r>
    </w:p>
    <w:p w14:paraId="7AD37F67" w14:textId="77777777" w:rsidR="00174F20" w:rsidRDefault="00174F20" w:rsidP="00174F20">
      <w:pPr>
        <w:jc w:val="both"/>
        <w:rPr>
          <w:rFonts w:ascii="Arial" w:hAnsi="Arial" w:cs="Arial"/>
          <w:sz w:val="18"/>
          <w:szCs w:val="18"/>
        </w:rPr>
      </w:pPr>
      <w:r>
        <w:rPr>
          <w:rFonts w:ascii="Arial" w:hAnsi="Arial" w:cs="Arial"/>
          <w:sz w:val="18"/>
          <w:szCs w:val="18"/>
        </w:rPr>
        <w:t>Durante los primeros meses del año s</w:t>
      </w:r>
      <w:r w:rsidRPr="00D615A7">
        <w:rPr>
          <w:rFonts w:ascii="Arial" w:hAnsi="Arial" w:cs="Arial"/>
          <w:sz w:val="18"/>
          <w:szCs w:val="18"/>
        </w:rPr>
        <w:t xml:space="preserve">e </w:t>
      </w:r>
      <w:r>
        <w:rPr>
          <w:rFonts w:ascii="Arial" w:hAnsi="Arial" w:cs="Arial"/>
          <w:sz w:val="18"/>
          <w:szCs w:val="18"/>
        </w:rPr>
        <w:t xml:space="preserve">llevó a cabo la </w:t>
      </w:r>
      <w:r w:rsidRPr="00D615A7">
        <w:rPr>
          <w:rFonts w:ascii="Arial" w:hAnsi="Arial" w:cs="Arial"/>
          <w:sz w:val="18"/>
          <w:szCs w:val="18"/>
        </w:rPr>
        <w:t xml:space="preserve">promoción de créditos </w:t>
      </w:r>
      <w:r>
        <w:rPr>
          <w:rFonts w:ascii="Arial" w:hAnsi="Arial" w:cs="Arial"/>
          <w:sz w:val="18"/>
          <w:szCs w:val="18"/>
        </w:rPr>
        <w:t>visitando</w:t>
      </w:r>
      <w:r w:rsidRPr="00D615A7">
        <w:rPr>
          <w:rFonts w:ascii="Arial" w:hAnsi="Arial" w:cs="Arial"/>
          <w:sz w:val="18"/>
          <w:szCs w:val="18"/>
        </w:rPr>
        <w:t xml:space="preserve"> </w:t>
      </w:r>
      <w:r>
        <w:rPr>
          <w:rFonts w:ascii="Arial" w:hAnsi="Arial" w:cs="Arial"/>
          <w:sz w:val="18"/>
          <w:szCs w:val="18"/>
        </w:rPr>
        <w:t>los</w:t>
      </w:r>
      <w:r w:rsidRPr="00D615A7">
        <w:rPr>
          <w:rFonts w:ascii="Arial" w:hAnsi="Arial" w:cs="Arial"/>
          <w:sz w:val="18"/>
          <w:szCs w:val="18"/>
        </w:rPr>
        <w:t xml:space="preserve"> municipios de </w:t>
      </w:r>
      <w:r>
        <w:rPr>
          <w:rFonts w:ascii="Arial" w:hAnsi="Arial" w:cs="Arial"/>
          <w:sz w:val="18"/>
          <w:szCs w:val="18"/>
        </w:rPr>
        <w:t>Xaloztoc, Huamantla, Apizaco y San Lucas Tecopilco. También se participó en diversos eventos como: “1er. Caravana Transversal de Servicios a la Juventud” en el municipio de Emiliano Zapata, Plática del Programa “Mujer Fomtlax” y del Programa de Financiamiento de Proyectos Productivos a mujeres emprendedoras e interesados en obtener un crédito, teniendo como sede el Congreso del Estado; En la SADER Delegación Tlaxcala se brindó orientación al personal técnico, con la finalidad de que promuevan en las diversas comunidades del Estado el crédito como una alternativa para el fomento de las actividades productivas.</w:t>
      </w:r>
    </w:p>
    <w:p w14:paraId="1ECB8BBB" w14:textId="77777777" w:rsidR="00174F20" w:rsidRPr="00D615A7" w:rsidRDefault="00174F20" w:rsidP="00174F20">
      <w:pPr>
        <w:jc w:val="both"/>
        <w:rPr>
          <w:rFonts w:ascii="Arial" w:hAnsi="Arial" w:cs="Arial"/>
          <w:sz w:val="18"/>
          <w:szCs w:val="18"/>
        </w:rPr>
      </w:pPr>
      <w:r>
        <w:rPr>
          <w:rFonts w:ascii="Arial" w:hAnsi="Arial" w:cs="Arial"/>
          <w:sz w:val="18"/>
          <w:szCs w:val="18"/>
        </w:rPr>
        <w:t>Para el segundo trimestre del año, dada la contingencia sanitaria, se intensificó la promoción a través de los medios digitales.</w:t>
      </w:r>
    </w:p>
    <w:p w14:paraId="01BC5257" w14:textId="77777777" w:rsidR="00174F20" w:rsidRDefault="00174F20" w:rsidP="00174F20">
      <w:pPr>
        <w:jc w:val="both"/>
        <w:rPr>
          <w:rFonts w:ascii="Arial" w:hAnsi="Arial" w:cs="Arial"/>
          <w:sz w:val="18"/>
          <w:szCs w:val="18"/>
        </w:rPr>
      </w:pPr>
      <w:r>
        <w:rPr>
          <w:rFonts w:ascii="Arial" w:hAnsi="Arial" w:cs="Arial"/>
          <w:sz w:val="18"/>
          <w:szCs w:val="18"/>
        </w:rPr>
        <w:t>En el mes de abril, derivado de la contingencia de salud, e</w:t>
      </w:r>
      <w:r w:rsidRPr="00485A00">
        <w:rPr>
          <w:rFonts w:ascii="Arial" w:hAnsi="Arial" w:cs="Arial"/>
          <w:sz w:val="18"/>
          <w:szCs w:val="18"/>
        </w:rPr>
        <w:t>l Ejecutiv</w:t>
      </w:r>
      <w:r>
        <w:rPr>
          <w:rFonts w:ascii="Arial" w:hAnsi="Arial" w:cs="Arial"/>
          <w:sz w:val="18"/>
          <w:szCs w:val="18"/>
        </w:rPr>
        <w:t>o del Estado puso en marcha el p</w:t>
      </w:r>
      <w:r w:rsidRPr="00485A00">
        <w:rPr>
          <w:rFonts w:ascii="Arial" w:hAnsi="Arial" w:cs="Arial"/>
          <w:sz w:val="18"/>
          <w:szCs w:val="18"/>
        </w:rPr>
        <w:t>rograma</w:t>
      </w:r>
      <w:r>
        <w:rPr>
          <w:rFonts w:ascii="Arial" w:hAnsi="Arial" w:cs="Arial"/>
          <w:sz w:val="18"/>
          <w:szCs w:val="18"/>
        </w:rPr>
        <w:t xml:space="preserve"> denominado: “Programa</w:t>
      </w:r>
      <w:r w:rsidRPr="00485A00">
        <w:rPr>
          <w:rFonts w:ascii="Arial" w:hAnsi="Arial" w:cs="Arial"/>
          <w:sz w:val="18"/>
          <w:szCs w:val="18"/>
        </w:rPr>
        <w:t xml:space="preserve"> Emergente de Apoyo a la Economía Estatal ante la emergencia sanitaria de Covid-19”, con el objetivo de otorgar cr</w:t>
      </w:r>
      <w:r>
        <w:rPr>
          <w:rFonts w:ascii="Arial" w:hAnsi="Arial" w:cs="Arial"/>
          <w:sz w:val="18"/>
          <w:szCs w:val="18"/>
        </w:rPr>
        <w:t xml:space="preserve">éditos </w:t>
      </w:r>
      <w:r w:rsidRPr="00485A00">
        <w:rPr>
          <w:rFonts w:ascii="Arial" w:hAnsi="Arial" w:cs="Arial"/>
          <w:sz w:val="18"/>
          <w:szCs w:val="18"/>
        </w:rPr>
        <w:t xml:space="preserve">a </w:t>
      </w:r>
      <w:r>
        <w:rPr>
          <w:rFonts w:ascii="Arial" w:hAnsi="Arial" w:cs="Arial"/>
          <w:sz w:val="18"/>
          <w:szCs w:val="18"/>
        </w:rPr>
        <w:t xml:space="preserve">la </w:t>
      </w:r>
      <w:r w:rsidRPr="00485A00">
        <w:rPr>
          <w:rFonts w:ascii="Arial" w:hAnsi="Arial" w:cs="Arial"/>
          <w:sz w:val="18"/>
          <w:szCs w:val="18"/>
        </w:rPr>
        <w:t>micro</w:t>
      </w:r>
      <w:r>
        <w:rPr>
          <w:rFonts w:ascii="Arial" w:hAnsi="Arial" w:cs="Arial"/>
          <w:sz w:val="18"/>
          <w:szCs w:val="18"/>
        </w:rPr>
        <w:t xml:space="preserve"> y</w:t>
      </w:r>
      <w:r w:rsidRPr="00485A00">
        <w:rPr>
          <w:rFonts w:ascii="Arial" w:hAnsi="Arial" w:cs="Arial"/>
          <w:sz w:val="18"/>
          <w:szCs w:val="18"/>
        </w:rPr>
        <w:t xml:space="preserve"> pequeña</w:t>
      </w:r>
      <w:r>
        <w:rPr>
          <w:rFonts w:ascii="Arial" w:hAnsi="Arial" w:cs="Arial"/>
          <w:sz w:val="18"/>
          <w:szCs w:val="18"/>
        </w:rPr>
        <w:t>s</w:t>
      </w:r>
      <w:r w:rsidRPr="00485A00">
        <w:rPr>
          <w:rFonts w:ascii="Arial" w:hAnsi="Arial" w:cs="Arial"/>
          <w:sz w:val="18"/>
          <w:szCs w:val="18"/>
        </w:rPr>
        <w:t xml:space="preserve"> </w:t>
      </w:r>
      <w:r>
        <w:rPr>
          <w:rFonts w:ascii="Arial" w:hAnsi="Arial" w:cs="Arial"/>
          <w:sz w:val="18"/>
          <w:szCs w:val="18"/>
        </w:rPr>
        <w:t>empresas</w:t>
      </w:r>
      <w:r w:rsidRPr="00485A00">
        <w:rPr>
          <w:rFonts w:ascii="Arial" w:hAnsi="Arial" w:cs="Arial"/>
          <w:sz w:val="18"/>
          <w:szCs w:val="18"/>
        </w:rPr>
        <w:t>,</w:t>
      </w:r>
      <w:r>
        <w:rPr>
          <w:rFonts w:ascii="Arial" w:hAnsi="Arial" w:cs="Arial"/>
          <w:sz w:val="18"/>
          <w:szCs w:val="18"/>
        </w:rPr>
        <w:t xml:space="preserve"> a fin de garantizar la permanencia del empleo y del ingreso de sus unidades productivas, por lo cual se llevaron a cabo dos sesiones extraordinarias del Consejo de Administración del FOMTLAX, en la primera, se autorizó el citado Programa y en la segunda se definieron los lineamientos de operación del mismo</w:t>
      </w:r>
      <w:r w:rsidRPr="00485A00">
        <w:rPr>
          <w:rFonts w:ascii="Arial" w:hAnsi="Arial" w:cs="Arial"/>
          <w:sz w:val="18"/>
          <w:szCs w:val="18"/>
        </w:rPr>
        <w:t>. </w:t>
      </w:r>
    </w:p>
    <w:p w14:paraId="30AF7912" w14:textId="77777777" w:rsidR="00174F20" w:rsidRDefault="00174F20" w:rsidP="00174F20">
      <w:pPr>
        <w:jc w:val="both"/>
        <w:rPr>
          <w:rFonts w:ascii="Arial" w:hAnsi="Arial" w:cs="Arial"/>
          <w:sz w:val="18"/>
          <w:szCs w:val="18"/>
        </w:rPr>
      </w:pPr>
      <w:r>
        <w:rPr>
          <w:rFonts w:ascii="Arial" w:hAnsi="Arial" w:cs="Arial"/>
          <w:sz w:val="18"/>
          <w:szCs w:val="18"/>
        </w:rPr>
        <w:t xml:space="preserve">Del mes de enero al mes de septiembre, se brindó la atención a 3,546 </w:t>
      </w:r>
      <w:r w:rsidRPr="00D615A7">
        <w:rPr>
          <w:rFonts w:ascii="Arial" w:hAnsi="Arial" w:cs="Arial"/>
          <w:sz w:val="18"/>
          <w:szCs w:val="18"/>
        </w:rPr>
        <w:t xml:space="preserve">personas interesadas en obtener un crédito, recibiéndose </w:t>
      </w:r>
      <w:r>
        <w:rPr>
          <w:rFonts w:ascii="Arial" w:hAnsi="Arial" w:cs="Arial"/>
          <w:sz w:val="18"/>
          <w:szCs w:val="18"/>
        </w:rPr>
        <w:t xml:space="preserve">3,400 </w:t>
      </w:r>
      <w:r w:rsidRPr="00D615A7">
        <w:rPr>
          <w:rFonts w:ascii="Arial" w:hAnsi="Arial" w:cs="Arial"/>
          <w:sz w:val="18"/>
          <w:szCs w:val="18"/>
        </w:rPr>
        <w:t xml:space="preserve">solicitudes, logrando la entrega de </w:t>
      </w:r>
      <w:r>
        <w:rPr>
          <w:rFonts w:ascii="Arial" w:hAnsi="Arial" w:cs="Arial"/>
          <w:sz w:val="18"/>
          <w:szCs w:val="18"/>
        </w:rPr>
        <w:t xml:space="preserve">3,320 </w:t>
      </w:r>
      <w:r w:rsidRPr="00D615A7">
        <w:rPr>
          <w:rFonts w:ascii="Arial" w:hAnsi="Arial" w:cs="Arial"/>
          <w:sz w:val="18"/>
          <w:szCs w:val="18"/>
        </w:rPr>
        <w:t>créditos, con una inversión</w:t>
      </w:r>
      <w:r>
        <w:rPr>
          <w:rFonts w:ascii="Arial" w:hAnsi="Arial" w:cs="Arial"/>
          <w:sz w:val="18"/>
          <w:szCs w:val="18"/>
        </w:rPr>
        <w:t xml:space="preserve"> superior a los</w:t>
      </w:r>
      <w:r w:rsidRPr="00D615A7">
        <w:rPr>
          <w:rFonts w:ascii="Arial" w:hAnsi="Arial" w:cs="Arial"/>
          <w:sz w:val="18"/>
          <w:szCs w:val="18"/>
        </w:rPr>
        <w:t xml:space="preserve"> </w:t>
      </w:r>
      <w:r>
        <w:rPr>
          <w:rFonts w:ascii="Arial" w:hAnsi="Arial" w:cs="Arial"/>
          <w:sz w:val="18"/>
          <w:szCs w:val="18"/>
        </w:rPr>
        <w:t>57.5</w:t>
      </w:r>
      <w:r w:rsidRPr="00D615A7">
        <w:rPr>
          <w:rFonts w:ascii="Arial" w:hAnsi="Arial" w:cs="Arial"/>
          <w:sz w:val="18"/>
          <w:szCs w:val="18"/>
        </w:rPr>
        <w:t xml:space="preserve"> MDP.</w:t>
      </w:r>
    </w:p>
    <w:p w14:paraId="56C47A7C" w14:textId="77777777" w:rsidR="00174F20" w:rsidRDefault="00174F20" w:rsidP="00174F20">
      <w:pPr>
        <w:jc w:val="both"/>
        <w:rPr>
          <w:rFonts w:ascii="Arial" w:hAnsi="Arial" w:cs="Arial"/>
          <w:sz w:val="18"/>
          <w:szCs w:val="18"/>
        </w:rPr>
      </w:pPr>
      <w:r>
        <w:rPr>
          <w:rFonts w:ascii="Arial" w:hAnsi="Arial" w:cs="Arial"/>
          <w:sz w:val="18"/>
          <w:szCs w:val="18"/>
        </w:rPr>
        <w:t>Cabe mencionar que, del total de créditos antes señalado, a través del Programa Especial denominado “Mujer FOMTLAX”, puesto en marcha desde el año 2019 con la finalidad de impulsar a través del crédito a grupos solidarios de mujeres emprendedoras,</w:t>
      </w:r>
      <w:r w:rsidRPr="00792FDB">
        <w:rPr>
          <w:rFonts w:ascii="Arial" w:hAnsi="Arial" w:cs="Arial"/>
          <w:sz w:val="18"/>
          <w:szCs w:val="18"/>
        </w:rPr>
        <w:t xml:space="preserve"> </w:t>
      </w:r>
      <w:r>
        <w:rPr>
          <w:rFonts w:ascii="Arial" w:hAnsi="Arial" w:cs="Arial"/>
          <w:sz w:val="18"/>
          <w:szCs w:val="18"/>
        </w:rPr>
        <w:t xml:space="preserve">110 mujeres recibieron un crédito durante el primer semestre del presente año, que representa una inversión total superior a los 600 mil pesos, lo que les ha permitido contribuir al ingreso familiar. </w:t>
      </w:r>
    </w:p>
    <w:p w14:paraId="4A9BDAD0" w14:textId="77777777" w:rsidR="00174F20" w:rsidRDefault="00174F20" w:rsidP="00174F20">
      <w:pPr>
        <w:jc w:val="both"/>
        <w:rPr>
          <w:rFonts w:ascii="Arial" w:hAnsi="Arial" w:cs="Arial"/>
          <w:sz w:val="18"/>
          <w:szCs w:val="18"/>
        </w:rPr>
      </w:pPr>
      <w:r>
        <w:rPr>
          <w:rFonts w:ascii="Arial" w:hAnsi="Arial" w:cs="Arial"/>
          <w:sz w:val="18"/>
          <w:szCs w:val="18"/>
        </w:rPr>
        <w:t>Se llevaron a cabo dos reuniones ordinarias (presencial la primera y virtual la segunda) del Comité de Control Interno del FOMTLAX, en el marco de las cuales, en la primera se definieron las nuevas líneas de acción que regirán el Programa de Trabajo del presente año y en la segunda, se analizó el seguimiento correspondiente a los acuerdos.</w:t>
      </w:r>
    </w:p>
    <w:p w14:paraId="58262964" w14:textId="77777777" w:rsidR="00174F20" w:rsidRDefault="00174F20" w:rsidP="00174F20">
      <w:pPr>
        <w:jc w:val="both"/>
        <w:rPr>
          <w:rFonts w:ascii="Arial" w:hAnsi="Arial" w:cs="Arial"/>
          <w:sz w:val="18"/>
          <w:szCs w:val="18"/>
        </w:rPr>
      </w:pPr>
      <w:r>
        <w:rPr>
          <w:rFonts w:ascii="Arial" w:hAnsi="Arial" w:cs="Arial"/>
          <w:sz w:val="18"/>
          <w:szCs w:val="18"/>
        </w:rPr>
        <w:t>El personal del FOMTLAX recibió el Curso de Capacitación denominado “Trabajo en equipo”, derivado del Convenio de Gobierno del Estado-CECUTLAX-IPN.</w:t>
      </w:r>
    </w:p>
    <w:p w14:paraId="4B0EB446" w14:textId="77777777" w:rsidR="00174F20" w:rsidRDefault="00174F20" w:rsidP="00174F20">
      <w:pPr>
        <w:tabs>
          <w:tab w:val="left" w:pos="426"/>
        </w:tabs>
        <w:spacing w:after="0"/>
        <w:ind w:right="191"/>
        <w:jc w:val="both"/>
        <w:rPr>
          <w:rFonts w:ascii="Arial" w:hAnsi="Arial" w:cs="Arial"/>
          <w:sz w:val="18"/>
          <w:szCs w:val="18"/>
        </w:rPr>
      </w:pPr>
      <w:r>
        <w:rPr>
          <w:rFonts w:ascii="Arial" w:hAnsi="Arial" w:cs="Arial"/>
          <w:sz w:val="18"/>
          <w:szCs w:val="18"/>
        </w:rPr>
        <w:t>Se suscribió el Convenio</w:t>
      </w:r>
      <w:r w:rsidRPr="00D65634">
        <w:rPr>
          <w:rFonts w:ascii="Arial" w:hAnsi="Arial" w:cs="Arial"/>
          <w:sz w:val="18"/>
          <w:szCs w:val="18"/>
        </w:rPr>
        <w:t xml:space="preserve"> de Colaboración </w:t>
      </w:r>
      <w:r>
        <w:rPr>
          <w:rFonts w:ascii="Arial" w:hAnsi="Arial" w:cs="Arial"/>
          <w:sz w:val="18"/>
          <w:szCs w:val="18"/>
        </w:rPr>
        <w:t>FOMTLAX- SEPUEDE-ICATLAX, a</w:t>
      </w:r>
      <w:r w:rsidRPr="009236B6">
        <w:rPr>
          <w:rFonts w:ascii="Arial" w:hAnsi="Arial" w:cs="Arial"/>
          <w:sz w:val="18"/>
          <w:szCs w:val="18"/>
        </w:rPr>
        <w:t xml:space="preserve"> fi</w:t>
      </w:r>
      <w:r>
        <w:rPr>
          <w:rFonts w:ascii="Arial" w:hAnsi="Arial" w:cs="Arial"/>
          <w:sz w:val="18"/>
          <w:szCs w:val="18"/>
        </w:rPr>
        <w:t xml:space="preserve">n de impulsar la capacitación y </w:t>
      </w:r>
      <w:r w:rsidRPr="009236B6">
        <w:rPr>
          <w:rFonts w:ascii="Arial" w:hAnsi="Arial" w:cs="Arial"/>
          <w:sz w:val="18"/>
          <w:szCs w:val="18"/>
        </w:rPr>
        <w:t>el autoempleo en la entidad, además de fortalecer la vinculación y colaboración interinstitucional</w:t>
      </w:r>
      <w:r>
        <w:rPr>
          <w:rFonts w:ascii="Arial" w:hAnsi="Arial" w:cs="Arial"/>
          <w:sz w:val="18"/>
          <w:szCs w:val="18"/>
        </w:rPr>
        <w:t>.</w:t>
      </w:r>
      <w:r w:rsidRPr="00D65634">
        <w:rPr>
          <w:rFonts w:ascii="Arial" w:hAnsi="Arial" w:cs="Arial"/>
          <w:sz w:val="18"/>
          <w:szCs w:val="18"/>
        </w:rPr>
        <w:t xml:space="preserve"> </w:t>
      </w:r>
      <w:r>
        <w:rPr>
          <w:rFonts w:ascii="Arial" w:hAnsi="Arial" w:cs="Arial"/>
          <w:sz w:val="18"/>
          <w:szCs w:val="18"/>
        </w:rPr>
        <w:t xml:space="preserve"> </w:t>
      </w:r>
    </w:p>
    <w:p w14:paraId="0E26BE32" w14:textId="77777777" w:rsidR="00174F20" w:rsidRDefault="00174F20" w:rsidP="00174F20">
      <w:pPr>
        <w:tabs>
          <w:tab w:val="left" w:pos="426"/>
        </w:tabs>
        <w:spacing w:after="0"/>
        <w:ind w:right="191"/>
        <w:jc w:val="both"/>
        <w:rPr>
          <w:rFonts w:ascii="Arial" w:hAnsi="Arial" w:cs="Arial"/>
          <w:sz w:val="18"/>
          <w:szCs w:val="18"/>
        </w:rPr>
      </w:pPr>
    </w:p>
    <w:p w14:paraId="7F5B32B1" w14:textId="77777777" w:rsidR="00174F20" w:rsidRPr="002D3FE8" w:rsidRDefault="00174F20" w:rsidP="00174F20">
      <w:pPr>
        <w:jc w:val="both"/>
        <w:rPr>
          <w:rFonts w:ascii="Arial" w:hAnsi="Arial" w:cs="Arial"/>
          <w:sz w:val="18"/>
          <w:szCs w:val="18"/>
        </w:rPr>
      </w:pPr>
      <w:r>
        <w:rPr>
          <w:rFonts w:ascii="Arial" w:hAnsi="Arial" w:cs="Arial"/>
          <w:sz w:val="18"/>
          <w:szCs w:val="18"/>
        </w:rPr>
        <w:t>Por lo que refiere a la recuperación de la cartera histórica y vigente, durante el primer trimestre del año se continuó con las diversas acciones de tratamientos de cartera, entrega de requerimientos de pago, visitas domiciliarias a los acreditados y sus avales, además de llamadas telefónicas continuas. Dada la contingencia sanitaria no se han realizado visitas domiciliarias, sin embargo, los pagos se siguen recibiendo en las instituciones bancarias, logrando al mes de septiembre un monto de recuperación superior a los 25.9 millones de pesos.</w:t>
      </w:r>
    </w:p>
    <w:p w14:paraId="5B115403" w14:textId="6D4DF6E9" w:rsidR="00F474E9" w:rsidRDefault="00ED65D7" w:rsidP="00F474E9">
      <w:pPr>
        <w:jc w:val="both"/>
        <w:rPr>
          <w:rFonts w:ascii="Arial" w:hAnsi="Arial" w:cs="Arial"/>
          <w:sz w:val="18"/>
          <w:szCs w:val="18"/>
        </w:rPr>
      </w:pPr>
      <w:r w:rsidRPr="00B372A2">
        <w:rPr>
          <w:rFonts w:ascii="Arial" w:eastAsia="Calibri" w:hAnsi="Arial" w:cs="Arial"/>
          <w:sz w:val="18"/>
          <w:szCs w:val="18"/>
        </w:rPr>
        <w:lastRenderedPageBreak/>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w:t>
      </w:r>
      <w:bookmarkStart w:id="0" w:name="_GoBack"/>
      <w:bookmarkEnd w:id="0"/>
      <w:r w:rsidR="00B372A2" w:rsidRPr="00B372A2">
        <w:rPr>
          <w:rFonts w:ascii="Arial" w:hAnsi="Arial" w:cs="Arial"/>
          <w:sz w:val="18"/>
          <w:szCs w:val="18"/>
        </w:rPr>
        <w:t xml:space="preserve">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2DC39A88" w14:textId="77777777" w:rsidR="002D4C8A" w:rsidRDefault="002D4C8A" w:rsidP="002D4C8A">
      <w:pPr>
        <w:pStyle w:val="Prrafodelista"/>
        <w:spacing w:line="360" w:lineRule="auto"/>
        <w:jc w:val="both"/>
        <w:rPr>
          <w:rFonts w:ascii="Arial" w:hAnsi="Arial" w:cs="Arial"/>
          <w:b/>
          <w:sz w:val="18"/>
          <w:szCs w:val="18"/>
        </w:rPr>
      </w:pPr>
    </w:p>
    <w:p w14:paraId="42D0DFEA" w14:textId="33DC8413"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14:paraId="622AF244"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b/>
          <w:sz w:val="18"/>
          <w:szCs w:val="18"/>
        </w:rPr>
        <w:t xml:space="preserve"> </w:t>
      </w:r>
    </w:p>
    <w:p w14:paraId="249D07E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14:paraId="3743E8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14:paraId="4346E4CD"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14:paraId="11C46EA2"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14:paraId="37D4EE61"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14:paraId="7EC9DB8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14:paraId="20F881AC" w14:textId="77777777"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Variación de la Hacienda Pública</w:t>
      </w:r>
    </w:p>
    <w:p w14:paraId="7893680A" w14:textId="77777777"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Flujos de Efectivo</w:t>
      </w:r>
    </w:p>
    <w:p w14:paraId="4A0B4F8D"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14:paraId="2EF7C13F"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14:paraId="71BD4C60"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14:paraId="0627EB73"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14:paraId="448055E5" w14:textId="77777777"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14:paraId="0A6C1819" w14:textId="77777777" w:rsidR="00AD791F" w:rsidRPr="00B372A2" w:rsidRDefault="00AD791F" w:rsidP="00AD791F">
      <w:pPr>
        <w:pStyle w:val="Prrafodelista"/>
        <w:spacing w:line="360" w:lineRule="auto"/>
        <w:ind w:left="1440"/>
        <w:jc w:val="both"/>
        <w:rPr>
          <w:rFonts w:ascii="Arial" w:hAnsi="Arial" w:cs="Arial"/>
          <w:b/>
          <w:sz w:val="18"/>
          <w:szCs w:val="18"/>
        </w:rPr>
      </w:pPr>
    </w:p>
    <w:p w14:paraId="6FE52BC1"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14:paraId="45CC7F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14:paraId="5146288D"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14:paraId="0B8E8B62"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14:paraId="7685E020"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14:paraId="08F42E4E"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lastRenderedPageBreak/>
        <w:t>Estado Analítico del Ejercicio del Presupuesto de Egresos Clasificación Funcional (Finalidad y Función)</w:t>
      </w:r>
    </w:p>
    <w:p w14:paraId="1AA1116C"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14:paraId="302620B8" w14:textId="77777777"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14:paraId="41C20D6F" w14:textId="77777777"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14:paraId="4C8A25F4" w14:textId="77777777" w:rsidR="00AD791F" w:rsidRPr="00B372A2" w:rsidRDefault="00AD791F" w:rsidP="00AD791F">
      <w:pPr>
        <w:pStyle w:val="Prrafodelista"/>
        <w:spacing w:line="360" w:lineRule="auto"/>
        <w:ind w:left="1080"/>
        <w:jc w:val="both"/>
        <w:rPr>
          <w:rFonts w:ascii="Arial" w:hAnsi="Arial" w:cs="Arial"/>
          <w:sz w:val="18"/>
          <w:szCs w:val="18"/>
        </w:rPr>
      </w:pPr>
    </w:p>
    <w:p w14:paraId="6ADED82E" w14:textId="77777777"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14:paraId="0218550D"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14:paraId="7A837C68"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14:paraId="214893D4" w14:textId="77777777"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Indicadores de Resultados</w:t>
      </w:r>
    </w:p>
    <w:p w14:paraId="785BE1BC" w14:textId="77777777"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sz w:val="18"/>
          <w:szCs w:val="18"/>
        </w:rPr>
        <w:t xml:space="preserve"> </w:t>
      </w:r>
    </w:p>
    <w:p w14:paraId="77EFF290"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14:paraId="4B397586"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14:paraId="765E6F37"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14:paraId="1FDD9382" w14:textId="77777777"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14:paraId="246FD94D" w14:textId="77777777" w:rsidR="004137E3" w:rsidRPr="004137E3" w:rsidRDefault="00AD791F"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hAnsi="Arial" w:cs="Arial"/>
          <w:sz w:val="18"/>
          <w:szCs w:val="18"/>
        </w:rPr>
        <w:t>Relación de Esquemas Bursátiles y de Coberturas Financieras</w:t>
      </w:r>
    </w:p>
    <w:p w14:paraId="0698D022" w14:textId="3599756C" w:rsidR="00B43C7F" w:rsidRDefault="00067787"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4137E3">
        <w:rPr>
          <w:rFonts w:ascii="Arial" w:eastAsia="Times New Roman" w:hAnsi="Arial" w:cs="Arial"/>
          <w:sz w:val="18"/>
          <w:szCs w:val="18"/>
        </w:rPr>
        <w:t xml:space="preserve">Balanza de Comprobación. </w:t>
      </w:r>
    </w:p>
    <w:p w14:paraId="037CD7E4" w14:textId="09F55A1F" w:rsidR="004137E3" w:rsidRPr="004137E3" w:rsidRDefault="004137E3" w:rsidP="00A359E2">
      <w:pPr>
        <w:pStyle w:val="Prrafodelista"/>
        <w:numPr>
          <w:ilvl w:val="0"/>
          <w:numId w:val="16"/>
        </w:numPr>
        <w:tabs>
          <w:tab w:val="left" w:pos="1134"/>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Auxiliares Contables</w:t>
      </w:r>
    </w:p>
    <w:p w14:paraId="2F755396" w14:textId="77777777" w:rsidR="00067787" w:rsidRPr="00B43C7F"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Relación de Bancos</w:t>
      </w:r>
    </w:p>
    <w:p w14:paraId="431473EA" w14:textId="6BA77CDC"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r w:rsidR="004137E3">
        <w:rPr>
          <w:rFonts w:ascii="Arial" w:eastAsia="Times New Roman" w:hAnsi="Arial" w:cs="Arial"/>
          <w:sz w:val="18"/>
          <w:szCs w:val="18"/>
        </w:rPr>
        <w:t xml:space="preserve"> y Estados de cuenta Bancaria</w:t>
      </w:r>
    </w:p>
    <w:p w14:paraId="6E6546FC" w14:textId="72FEE6D2" w:rsidR="004137E3" w:rsidRPr="00067787" w:rsidRDefault="004137E3" w:rsidP="004137E3">
      <w:pPr>
        <w:numPr>
          <w:ilvl w:val="0"/>
          <w:numId w:val="16"/>
        </w:numPr>
        <w:spacing w:after="0" w:line="360" w:lineRule="auto"/>
        <w:rPr>
          <w:rFonts w:ascii="Arial" w:eastAsia="Times New Roman" w:hAnsi="Arial" w:cs="Arial"/>
          <w:sz w:val="18"/>
          <w:szCs w:val="18"/>
        </w:rPr>
      </w:pPr>
      <w:bookmarkStart w:id="1" w:name="_Hlk36026404"/>
      <w:bookmarkStart w:id="2" w:name="_Hlk36027996"/>
      <w:r w:rsidRPr="00067787">
        <w:rPr>
          <w:rFonts w:ascii="Arial" w:eastAsia="Times New Roman" w:hAnsi="Arial" w:cs="Arial"/>
          <w:sz w:val="18"/>
          <w:szCs w:val="18"/>
        </w:rPr>
        <w:t>Es</w:t>
      </w:r>
      <w:r>
        <w:rPr>
          <w:rFonts w:ascii="Arial" w:eastAsia="Times New Roman" w:hAnsi="Arial" w:cs="Arial"/>
          <w:sz w:val="18"/>
          <w:szCs w:val="18"/>
        </w:rPr>
        <w:t>tado Presupuestario de Ingresos desagregado por concepto</w:t>
      </w:r>
    </w:p>
    <w:bookmarkEnd w:id="1"/>
    <w:p w14:paraId="40BCBD37" w14:textId="23B1B616" w:rsidR="004137E3" w:rsidRPr="00067787" w:rsidRDefault="004137E3" w:rsidP="004137E3">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Egresos desagregado por partida, del periodo y acumulado</w:t>
      </w:r>
    </w:p>
    <w:p w14:paraId="05E3266E" w14:textId="456C7D4F" w:rsidR="004137E3"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Avance del Programa Operativo Anual</w:t>
      </w:r>
    </w:p>
    <w:p w14:paraId="6E1007DA" w14:textId="566745EA" w:rsidR="004137E3" w:rsidRPr="00067787" w:rsidRDefault="004137E3"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Inventario de Bienes Muebles, Inmuebles e Intangibles, clasificado y cuantificado</w:t>
      </w:r>
    </w:p>
    <w:p w14:paraId="3AE65CA4" w14:textId="161843F4" w:rsidR="00067787" w:rsidRPr="004137E3" w:rsidRDefault="00067787" w:rsidP="004137E3">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14:paraId="327CD9CB" w14:textId="77777777"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14:paraId="1BD1E286" w14:textId="7D410FD6"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r w:rsidR="004137E3">
        <w:rPr>
          <w:rFonts w:ascii="Arial" w:eastAsia="Times New Roman" w:hAnsi="Arial" w:cs="Arial"/>
          <w:sz w:val="18"/>
          <w:szCs w:val="18"/>
        </w:rPr>
        <w:t xml:space="preserve"> Trimestral</w:t>
      </w:r>
    </w:p>
    <w:p w14:paraId="54DBBEC5" w14:textId="304A314B" w:rsidR="00067787" w:rsidRPr="00067787" w:rsidRDefault="004137E3" w:rsidP="00B43C7F">
      <w:pPr>
        <w:numPr>
          <w:ilvl w:val="0"/>
          <w:numId w:val="16"/>
        </w:numPr>
        <w:spacing w:after="0" w:line="360" w:lineRule="auto"/>
        <w:jc w:val="both"/>
        <w:rPr>
          <w:rFonts w:ascii="Arial" w:eastAsia="Times New Roman" w:hAnsi="Arial" w:cs="Arial"/>
          <w:sz w:val="18"/>
          <w:szCs w:val="18"/>
        </w:rPr>
      </w:pPr>
      <w:r>
        <w:rPr>
          <w:rFonts w:ascii="Arial" w:eastAsia="Times New Roman" w:hAnsi="Arial" w:cs="Arial"/>
          <w:sz w:val="18"/>
          <w:szCs w:val="18"/>
        </w:rPr>
        <w:t xml:space="preserve">Libro </w:t>
      </w:r>
      <w:r w:rsidR="00067787" w:rsidRPr="00067787">
        <w:rPr>
          <w:rFonts w:ascii="Arial" w:eastAsia="Times New Roman" w:hAnsi="Arial" w:cs="Arial"/>
          <w:sz w:val="18"/>
          <w:szCs w:val="18"/>
        </w:rPr>
        <w:t>Diario.</w:t>
      </w:r>
    </w:p>
    <w:bookmarkEnd w:id="2"/>
    <w:p w14:paraId="71834CE1" w14:textId="7F59EA4A" w:rsidR="00C762B8" w:rsidRDefault="00C762B8" w:rsidP="00067787">
      <w:pPr>
        <w:rPr>
          <w:rFonts w:ascii="Arial" w:eastAsia="Times New Roman" w:hAnsi="Arial" w:cs="Arial"/>
          <w:sz w:val="18"/>
          <w:szCs w:val="18"/>
        </w:rPr>
      </w:pPr>
    </w:p>
    <w:p w14:paraId="377E0515" w14:textId="7895B531" w:rsidR="00EB215E" w:rsidRDefault="00EB215E" w:rsidP="00067787">
      <w:pPr>
        <w:rPr>
          <w:rFonts w:ascii="Arial" w:eastAsia="Times New Roman" w:hAnsi="Arial" w:cs="Arial"/>
          <w:sz w:val="18"/>
          <w:szCs w:val="18"/>
        </w:rPr>
      </w:pPr>
    </w:p>
    <w:p w14:paraId="22550C58" w14:textId="77777777" w:rsidR="00EB215E" w:rsidRDefault="00EB215E" w:rsidP="00067787">
      <w:pPr>
        <w:rPr>
          <w:rFonts w:ascii="Arial" w:eastAsia="Times New Roman" w:hAnsi="Arial" w:cs="Arial"/>
          <w:sz w:val="18"/>
          <w:szCs w:val="18"/>
        </w:rPr>
      </w:pPr>
    </w:p>
    <w:p w14:paraId="609D01A2" w14:textId="77777777"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14:paraId="0254954C" w14:textId="77777777"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1   </w:t>
      </w:r>
      <w:r w:rsidRPr="00C762B8">
        <w:rPr>
          <w:szCs w:val="18"/>
        </w:rPr>
        <w:t>Estado de Situación Financiera Detallado - LDF</w:t>
      </w:r>
    </w:p>
    <w:p w14:paraId="77AA3568" w14:textId="77777777" w:rsidR="00042519" w:rsidRPr="00C762B8" w:rsidRDefault="00042519" w:rsidP="00C762B8">
      <w:pPr>
        <w:pStyle w:val="Prrafodelista"/>
        <w:numPr>
          <w:ilvl w:val="0"/>
          <w:numId w:val="13"/>
        </w:numPr>
        <w:spacing w:after="0" w:line="240" w:lineRule="auto"/>
        <w:ind w:left="1077" w:hanging="357"/>
        <w:rPr>
          <w:rFonts w:ascii="Arial" w:eastAsia="Times New Roman" w:hAnsi="Arial" w:cs="Arial"/>
          <w:b/>
          <w:sz w:val="18"/>
          <w:szCs w:val="18"/>
        </w:rPr>
      </w:pPr>
      <w:r w:rsidRPr="00C762B8">
        <w:rPr>
          <w:rFonts w:ascii="Arial" w:eastAsia="Times New Roman" w:hAnsi="Arial" w:cs="Arial"/>
          <w:b/>
          <w:sz w:val="18"/>
          <w:szCs w:val="18"/>
        </w:rPr>
        <w:t xml:space="preserve">Formato 2   </w:t>
      </w:r>
      <w:r w:rsidRPr="00C762B8">
        <w:rPr>
          <w:rFonts w:ascii="Arial" w:eastAsia="Times New Roman" w:hAnsi="Arial" w:cs="Arial"/>
          <w:sz w:val="18"/>
          <w:szCs w:val="18"/>
        </w:rPr>
        <w:t>Informe Analítico de la Deuda Pública y Otros Pasivos – LDF</w:t>
      </w:r>
    </w:p>
    <w:p w14:paraId="57DC6EE0" w14:textId="77777777"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 xml:space="preserve">Formato 3  </w:t>
      </w:r>
      <w:r w:rsidRPr="00C762B8">
        <w:rPr>
          <w:rFonts w:ascii="Arial" w:eastAsia="Times New Roman" w:hAnsi="Arial" w:cs="Arial"/>
          <w:sz w:val="18"/>
          <w:szCs w:val="18"/>
        </w:rPr>
        <w:t xml:space="preserve"> Informe Analítico de Obligaciones Diferentes de Financiamientos – LDF</w:t>
      </w:r>
    </w:p>
    <w:p w14:paraId="2BDF985A" w14:textId="1CAE99C8"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4</w:t>
      </w:r>
      <w:r w:rsidR="00C762B8" w:rsidRPr="00C762B8">
        <w:rPr>
          <w:rFonts w:ascii="Arial" w:eastAsia="Times New Roman" w:hAnsi="Arial" w:cs="Arial"/>
          <w:b/>
          <w:sz w:val="18"/>
          <w:szCs w:val="18"/>
        </w:rPr>
        <w:t xml:space="preserve">  </w:t>
      </w:r>
      <w:r w:rsidRPr="00C762B8">
        <w:rPr>
          <w:rFonts w:ascii="Arial" w:eastAsia="Times New Roman" w:hAnsi="Arial" w:cs="Arial"/>
          <w:sz w:val="18"/>
          <w:szCs w:val="18"/>
        </w:rPr>
        <w:t xml:space="preserve"> Balance Presupuestario – LDF</w:t>
      </w:r>
    </w:p>
    <w:p w14:paraId="45324982" w14:textId="66D9F0D5" w:rsidR="00042519" w:rsidRPr="00C762B8"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8"/>
          <w:szCs w:val="18"/>
        </w:rPr>
      </w:pPr>
      <w:r w:rsidRPr="00C762B8">
        <w:rPr>
          <w:rFonts w:ascii="Arial" w:eastAsia="Times New Roman" w:hAnsi="Arial" w:cs="Arial"/>
          <w:b/>
          <w:sz w:val="18"/>
          <w:szCs w:val="18"/>
        </w:rPr>
        <w:t>Formato 5</w:t>
      </w:r>
      <w:r w:rsidRPr="00C762B8">
        <w:rPr>
          <w:rFonts w:ascii="Arial" w:eastAsia="Times New Roman" w:hAnsi="Arial" w:cs="Arial"/>
          <w:sz w:val="18"/>
          <w:szCs w:val="18"/>
        </w:rPr>
        <w:t xml:space="preserve"> </w:t>
      </w:r>
      <w:r w:rsidR="00C762B8" w:rsidRPr="00C762B8">
        <w:rPr>
          <w:rFonts w:ascii="Arial" w:eastAsia="Times New Roman" w:hAnsi="Arial" w:cs="Arial"/>
          <w:sz w:val="18"/>
          <w:szCs w:val="18"/>
        </w:rPr>
        <w:t xml:space="preserve">  </w:t>
      </w:r>
      <w:r w:rsidRPr="00C762B8">
        <w:rPr>
          <w:rFonts w:ascii="Arial" w:eastAsia="Times New Roman" w:hAnsi="Arial" w:cs="Arial"/>
          <w:sz w:val="18"/>
          <w:szCs w:val="18"/>
        </w:rPr>
        <w:t>Estado Analítico de Ingresos Detallado – LDF</w:t>
      </w:r>
    </w:p>
    <w:p w14:paraId="2F11613C" w14:textId="76D20C64" w:rsidR="00042519" w:rsidRPr="00C762B8" w:rsidRDefault="00042519" w:rsidP="00C762B8">
      <w:pPr>
        <w:pStyle w:val="Texto"/>
        <w:numPr>
          <w:ilvl w:val="0"/>
          <w:numId w:val="13"/>
        </w:numPr>
        <w:spacing w:after="0" w:line="240" w:lineRule="auto"/>
        <w:ind w:left="1077" w:hanging="357"/>
        <w:rPr>
          <w:b/>
          <w:szCs w:val="18"/>
        </w:rPr>
      </w:pPr>
      <w:r w:rsidRPr="00C762B8">
        <w:rPr>
          <w:b/>
          <w:szCs w:val="18"/>
        </w:rPr>
        <w:t xml:space="preserve">Formato 6a </w:t>
      </w:r>
      <w:r w:rsidRPr="00C762B8">
        <w:rPr>
          <w:szCs w:val="18"/>
        </w:rPr>
        <w:t>Estado Analítico del Ejercicio del Presupuesto de Egresos Detallado – LDF (Clasificación por Objeto del Gasto)</w:t>
      </w:r>
    </w:p>
    <w:p w14:paraId="57632CD8" w14:textId="6D784B5B" w:rsidR="00042519" w:rsidRPr="00C762B8" w:rsidRDefault="00042519" w:rsidP="00C762B8">
      <w:pPr>
        <w:pStyle w:val="Texto"/>
        <w:numPr>
          <w:ilvl w:val="0"/>
          <w:numId w:val="13"/>
        </w:numPr>
        <w:tabs>
          <w:tab w:val="left" w:pos="1620"/>
        </w:tabs>
        <w:spacing w:line="240" w:lineRule="auto"/>
        <w:ind w:left="1077" w:hanging="357"/>
        <w:rPr>
          <w:szCs w:val="18"/>
        </w:rPr>
      </w:pPr>
      <w:r w:rsidRPr="00C762B8">
        <w:rPr>
          <w:b/>
          <w:szCs w:val="18"/>
        </w:rPr>
        <w:t xml:space="preserve">Formato 6b </w:t>
      </w:r>
      <w:r w:rsidRPr="00C762B8">
        <w:rPr>
          <w:szCs w:val="18"/>
        </w:rPr>
        <w:t>Estado Analítico del Ejercicio del Presupuesto de Egresos Detallado – LDF (Clasificación Administrativa)</w:t>
      </w:r>
    </w:p>
    <w:p w14:paraId="5AADDB2B" w14:textId="4BC4FAFD" w:rsidR="00042519" w:rsidRPr="00C762B8" w:rsidRDefault="00042519" w:rsidP="00C762B8">
      <w:pPr>
        <w:pStyle w:val="Texto"/>
        <w:numPr>
          <w:ilvl w:val="0"/>
          <w:numId w:val="13"/>
        </w:numPr>
        <w:spacing w:line="240" w:lineRule="auto"/>
        <w:ind w:left="1077" w:hanging="357"/>
        <w:rPr>
          <w:b/>
          <w:szCs w:val="18"/>
        </w:rPr>
      </w:pPr>
      <w:r w:rsidRPr="00C762B8">
        <w:rPr>
          <w:b/>
          <w:szCs w:val="18"/>
        </w:rPr>
        <w:t xml:space="preserve">Formato 6c </w:t>
      </w:r>
      <w:r w:rsidRPr="00C762B8">
        <w:rPr>
          <w:szCs w:val="18"/>
        </w:rPr>
        <w:t>Estado Analítico del Ejercicio del Presupuesto de Egresos Detallado – LDF (Clasificación Funcional)</w:t>
      </w:r>
    </w:p>
    <w:p w14:paraId="447AA41C" w14:textId="77777777" w:rsidR="00042519" w:rsidRPr="00C762B8" w:rsidRDefault="00042519" w:rsidP="00C762B8">
      <w:pPr>
        <w:pStyle w:val="Texto"/>
        <w:numPr>
          <w:ilvl w:val="0"/>
          <w:numId w:val="13"/>
        </w:numPr>
        <w:tabs>
          <w:tab w:val="left" w:pos="1530"/>
        </w:tabs>
        <w:spacing w:line="240" w:lineRule="auto"/>
        <w:ind w:left="1077" w:hanging="357"/>
        <w:rPr>
          <w:szCs w:val="18"/>
        </w:rPr>
      </w:pPr>
      <w:r w:rsidRPr="00C762B8">
        <w:rPr>
          <w:b/>
          <w:szCs w:val="18"/>
        </w:rPr>
        <w:t xml:space="preserve">Formato 6d </w:t>
      </w:r>
      <w:r w:rsidRPr="00C762B8">
        <w:rPr>
          <w:szCs w:val="18"/>
        </w:rPr>
        <w:t>Estado Analítico del Ejercicio del Presupuesto de Egresos Detallado – LDF (Clasificación de Servicios Personales por Categoría)</w:t>
      </w:r>
    </w:p>
    <w:p w14:paraId="2BC5AA79"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r w:rsidRPr="00C762B8">
        <w:rPr>
          <w:rFonts w:ascii="Arial" w:eastAsia="Times New Roman" w:hAnsi="Arial" w:cs="Times New Roman"/>
          <w:sz w:val="18"/>
          <w:szCs w:val="18"/>
          <w:lang w:eastAsia="hi-IN"/>
        </w:rPr>
        <w:t xml:space="preserve">          </w:t>
      </w:r>
    </w:p>
    <w:p w14:paraId="30F8B191" w14:textId="77777777" w:rsidR="00C762B8" w:rsidRDefault="00C762B8" w:rsidP="00C762B8">
      <w:pPr>
        <w:tabs>
          <w:tab w:val="left" w:pos="1530"/>
        </w:tabs>
        <w:spacing w:after="101" w:line="288" w:lineRule="auto"/>
        <w:ind w:left="1077"/>
        <w:jc w:val="both"/>
        <w:rPr>
          <w:rFonts w:ascii="Arial" w:eastAsia="Times New Roman" w:hAnsi="Arial" w:cs="Times New Roman"/>
          <w:sz w:val="18"/>
          <w:szCs w:val="18"/>
          <w:lang w:eastAsia="hi-IN"/>
        </w:rPr>
      </w:pPr>
    </w:p>
    <w:p w14:paraId="2FF6B046" w14:textId="77777777" w:rsidR="00042519" w:rsidRPr="00246E58" w:rsidRDefault="00042519" w:rsidP="00042519">
      <w:pPr>
        <w:pStyle w:val="Texto"/>
        <w:tabs>
          <w:tab w:val="left" w:pos="1530"/>
        </w:tabs>
        <w:spacing w:line="240" w:lineRule="auto"/>
        <w:ind w:left="1429" w:firstLine="0"/>
        <w:rPr>
          <w:sz w:val="16"/>
          <w:szCs w:val="16"/>
        </w:rPr>
      </w:pPr>
    </w:p>
    <w:sectPr w:rsidR="00042519" w:rsidRPr="00246E58"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494A" w14:textId="77777777" w:rsidR="009F62E7" w:rsidRDefault="009F62E7" w:rsidP="00EA5418">
      <w:pPr>
        <w:spacing w:after="0" w:line="240" w:lineRule="auto"/>
      </w:pPr>
      <w:r>
        <w:separator/>
      </w:r>
    </w:p>
  </w:endnote>
  <w:endnote w:type="continuationSeparator" w:id="0">
    <w:p w14:paraId="46A86726" w14:textId="77777777" w:rsidR="009F62E7" w:rsidRDefault="009F62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F44E" w14:textId="5724075D" w:rsidR="0013011C" w:rsidRPr="0013011C" w:rsidRDefault="00174F2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Pr="00174F20">
          <w:rPr>
            <w:rFonts w:ascii="Soberana Sans Light" w:hAnsi="Soberana Sans Light"/>
            <w:noProof/>
            <w:lang w:val="es-ES"/>
          </w:rPr>
          <w:t>2</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C3BD" w14:textId="211E9BEB" w:rsidR="008E3652" w:rsidRPr="008E3652" w:rsidRDefault="00174F2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Pr="00174F20">
          <w:rPr>
            <w:rFonts w:ascii="Soberana Sans Light" w:hAnsi="Soberana Sans Light"/>
            <w:noProof/>
            <w:lang w:val="es-ES"/>
          </w:rPr>
          <w:t>1</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B700" w14:textId="77777777" w:rsidR="009F62E7" w:rsidRDefault="009F62E7" w:rsidP="00EA5418">
      <w:pPr>
        <w:spacing w:after="0" w:line="240" w:lineRule="auto"/>
      </w:pPr>
      <w:r>
        <w:separator/>
      </w:r>
    </w:p>
  </w:footnote>
  <w:footnote w:type="continuationSeparator" w:id="0">
    <w:p w14:paraId="29C140EF" w14:textId="77777777" w:rsidR="009F62E7" w:rsidRDefault="009F62E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D436" w14:textId="77777777" w:rsidR="0013011C" w:rsidRDefault="00174F20">
    <w:pPr>
      <w:pStyle w:val="Encabezado"/>
    </w:pPr>
    <w:r>
      <w:rPr>
        <w:noProof/>
        <w:lang w:eastAsia="es-MX"/>
      </w:rPr>
      <w:pict w14:anchorId="6C5AC7DA">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F3C24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20797E">
                      <w:rPr>
                        <w:rFonts w:ascii="Soberana Titular" w:hAnsi="Soberana Titular" w:cs="Arial"/>
                        <w:color w:val="808080" w:themeColor="background1" w:themeShade="80"/>
                        <w:sz w:val="42"/>
                        <w:szCs w:val="42"/>
                      </w:rPr>
                      <w:t>20</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D78E" w14:textId="77777777" w:rsidR="008E3652" w:rsidRPr="0013011C" w:rsidRDefault="00174F2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7"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5"/>
  </w:num>
  <w:num w:numId="5">
    <w:abstractNumId w:val="4"/>
  </w:num>
  <w:num w:numId="6">
    <w:abstractNumId w:val="11"/>
  </w:num>
  <w:num w:numId="7">
    <w:abstractNumId w:val="17"/>
  </w:num>
  <w:num w:numId="8">
    <w:abstractNumId w:val="13"/>
  </w:num>
  <w:num w:numId="9">
    <w:abstractNumId w:val="8"/>
  </w:num>
  <w:num w:numId="10">
    <w:abstractNumId w:val="0"/>
  </w:num>
  <w:num w:numId="11">
    <w:abstractNumId w:val="6"/>
  </w:num>
  <w:num w:numId="12">
    <w:abstractNumId w:val="3"/>
  </w:num>
  <w:num w:numId="13">
    <w:abstractNumId w:val="9"/>
  </w:num>
  <w:num w:numId="14">
    <w:abstractNumId w:val="12"/>
  </w:num>
  <w:num w:numId="15">
    <w:abstractNumId w:val="15"/>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2519"/>
    <w:rsid w:val="000454EA"/>
    <w:rsid w:val="00056042"/>
    <w:rsid w:val="00067787"/>
    <w:rsid w:val="00076A56"/>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A6835"/>
    <w:rsid w:val="002A70B3"/>
    <w:rsid w:val="002D4C8A"/>
    <w:rsid w:val="002E06B4"/>
    <w:rsid w:val="002E5897"/>
    <w:rsid w:val="002F2773"/>
    <w:rsid w:val="00307635"/>
    <w:rsid w:val="0032095C"/>
    <w:rsid w:val="00322A09"/>
    <w:rsid w:val="00355821"/>
    <w:rsid w:val="003575A4"/>
    <w:rsid w:val="003610E0"/>
    <w:rsid w:val="00372F40"/>
    <w:rsid w:val="003D5DBF"/>
    <w:rsid w:val="003E7FD0"/>
    <w:rsid w:val="003F05C2"/>
    <w:rsid w:val="004137E3"/>
    <w:rsid w:val="0044253C"/>
    <w:rsid w:val="00486AE1"/>
    <w:rsid w:val="00497D8B"/>
    <w:rsid w:val="004D0129"/>
    <w:rsid w:val="004D41B8"/>
    <w:rsid w:val="00502D8E"/>
    <w:rsid w:val="005117F4"/>
    <w:rsid w:val="00522632"/>
    <w:rsid w:val="00531310"/>
    <w:rsid w:val="00534982"/>
    <w:rsid w:val="00537B1A"/>
    <w:rsid w:val="00540418"/>
    <w:rsid w:val="00582405"/>
    <w:rsid w:val="005852BC"/>
    <w:rsid w:val="005859FA"/>
    <w:rsid w:val="00597742"/>
    <w:rsid w:val="005E2EB5"/>
    <w:rsid w:val="005F7589"/>
    <w:rsid w:val="006048D2"/>
    <w:rsid w:val="00611E39"/>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D4272"/>
    <w:rsid w:val="008E3652"/>
    <w:rsid w:val="009E16FC"/>
    <w:rsid w:val="009E5258"/>
    <w:rsid w:val="009F62E7"/>
    <w:rsid w:val="00A14B74"/>
    <w:rsid w:val="00A516D8"/>
    <w:rsid w:val="00A8165C"/>
    <w:rsid w:val="00AB13B7"/>
    <w:rsid w:val="00AD70F5"/>
    <w:rsid w:val="00AD791F"/>
    <w:rsid w:val="00AE642C"/>
    <w:rsid w:val="00B166A9"/>
    <w:rsid w:val="00B17423"/>
    <w:rsid w:val="00B372A2"/>
    <w:rsid w:val="00B42A02"/>
    <w:rsid w:val="00B43C7F"/>
    <w:rsid w:val="00B56B2B"/>
    <w:rsid w:val="00B716BE"/>
    <w:rsid w:val="00B849EE"/>
    <w:rsid w:val="00B96907"/>
    <w:rsid w:val="00BD6A5B"/>
    <w:rsid w:val="00BF28A4"/>
    <w:rsid w:val="00C33401"/>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E32708"/>
    <w:rsid w:val="00E45FD0"/>
    <w:rsid w:val="00E81959"/>
    <w:rsid w:val="00EA5418"/>
    <w:rsid w:val="00EB215E"/>
    <w:rsid w:val="00ED65D7"/>
    <w:rsid w:val="00F474E9"/>
    <w:rsid w:val="00F745E7"/>
    <w:rsid w:val="00F96944"/>
    <w:rsid w:val="00FA3FB9"/>
    <w:rsid w:val="00FB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A3FF203"/>
  <w15:docId w15:val="{281253E7-9EAE-4F81-9AD6-1C68B33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8A6F-6132-4473-B8A3-E54A4D2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1196</Words>
  <Characters>6582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 de Windows</cp:lastModifiedBy>
  <cp:revision>38</cp:revision>
  <cp:lastPrinted>2020-04-03T22:41:00Z</cp:lastPrinted>
  <dcterms:created xsi:type="dcterms:W3CDTF">2014-09-01T14:30:00Z</dcterms:created>
  <dcterms:modified xsi:type="dcterms:W3CDTF">2020-10-03T03:39:00Z</dcterms:modified>
</cp:coreProperties>
</file>