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441A0E" w:rsidRDefault="00486AE1" w:rsidP="005117F4">
      <w:pPr>
        <w:rPr>
          <w:rFonts w:ascii="Arial" w:hAnsi="Arial" w:cs="Arial"/>
          <w:sz w:val="18"/>
          <w:szCs w:val="18"/>
        </w:rPr>
      </w:pPr>
    </w:p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:rsidR="000037D6" w:rsidRPr="000037D6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Con la visión de ser una institución de alto nivel académico, con proyectos de investigación científica, programas educativos de posgrado integrales, flexibles y certificados por sus estándares de calidad, con proyectos de consultoría y de servicio de calidad reconocidos, que incida en la orientación y desarrollo de políticas, programas y proyectos para fortalecer el desarrollo regional justo y sustentable, El Colegio de Tlaxcala, A.C. (COLTLAX), se constituye sobre tres ejes rectores que son la investigación, la docencia y la vinculación con la sociedad, que con un proyecto de fortalecimiento profesional de los docentes contribuye al Plan Estatal de Desarrollo 2017-2021, teniendo como premisa mejorar la pertinencia de las carreras de posgrados con visión local y regional, así como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</w:t>
      </w:r>
      <w:r>
        <w:rPr>
          <w:rFonts w:ascii="Arial" w:hAnsi="Arial" w:cs="Arial"/>
          <w:sz w:val="18"/>
          <w:szCs w:val="18"/>
          <w:lang w:val="es-ES_tradnl"/>
        </w:rPr>
        <w:t>;</w:t>
      </w:r>
      <w:r w:rsidR="000037D6" w:rsidRPr="000037D6">
        <w:rPr>
          <w:rFonts w:ascii="Arial" w:hAnsi="Arial" w:cs="Arial"/>
          <w:sz w:val="18"/>
          <w:szCs w:val="18"/>
        </w:rPr>
        <w:t xml:space="preserve"> teniendo como premisas las siguientes líneas de acción:</w:t>
      </w:r>
    </w:p>
    <w:p w:rsidR="000037D6" w:rsidRPr="00981DDB" w:rsidRDefault="000037D6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En materia de investigación El Colegio promueve, recupera, obtiene y produce saberes y conocimiento científico, así como estimular la creatividad, el espíritu crítico y el desarrollo de competencias de excelencia, mediante proyectos de investigación que contribuyen a impulsar alternativas de desarrollo sustentable en la entidad y la región, cuenta con tres centros de estudios especializados en áreas estratégicas para el desarrollo: 1) Centro de Estudios para el Desarrollo Regional y Análisis Económico, que atiende temas de desarrollo regional, así como desarrollo urbano y ordenamiento territorial; 2) Centro de Estudios Políticos y Sociales, con temas sobre estado, sociedad, política y cultura; y 3) Centro de Medio Ambiente y Sustentabilidad que incluye temas de medio ambiente y desarrollo, turismo y estudios rurales e innovación tecnológica, la atención de estos </w:t>
      </w:r>
      <w:r w:rsidR="00C676F1">
        <w:rPr>
          <w:rFonts w:ascii="Arial" w:hAnsi="Arial" w:cs="Arial"/>
          <w:sz w:val="18"/>
          <w:szCs w:val="18"/>
          <w:lang w:val="es-ES_tradnl"/>
        </w:rPr>
        <w:t>centros recae en una planta de 23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investigadores y una estancia posdoctoral, de los cuales </w:t>
      </w:r>
      <w:r w:rsidR="00C676F1">
        <w:rPr>
          <w:rFonts w:ascii="Arial" w:hAnsi="Arial" w:cs="Arial"/>
          <w:sz w:val="18"/>
          <w:szCs w:val="18"/>
          <w:lang w:val="es-ES_tradnl"/>
        </w:rPr>
        <w:t>18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tiene la distinción de pertenencia al Sistema Nacional de Investigadores del Consejo Nacional de Ciencia y Tecnología, la proporción más alta entre las instituciones de investigación en el estado, además de pertenecer a </w:t>
      </w:r>
      <w:r w:rsidR="007E6475">
        <w:rPr>
          <w:rFonts w:ascii="Arial" w:hAnsi="Arial" w:cs="Arial"/>
          <w:sz w:val="18"/>
          <w:szCs w:val="18"/>
          <w:lang w:val="es-ES_tradnl"/>
        </w:rPr>
        <w:t>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diferentes redes de investigación nacionales e internacionales, lo que permitió trabajar en </w:t>
      </w:r>
      <w:r w:rsidR="007E6475">
        <w:rPr>
          <w:rFonts w:ascii="Arial" w:hAnsi="Arial" w:cs="Arial"/>
          <w:sz w:val="18"/>
          <w:szCs w:val="18"/>
          <w:lang w:val="es-ES_tradnl"/>
        </w:rPr>
        <w:t>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7E6475">
        <w:rPr>
          <w:rFonts w:ascii="Arial" w:hAnsi="Arial" w:cs="Arial"/>
          <w:sz w:val="18"/>
          <w:szCs w:val="18"/>
          <w:lang w:val="es-ES_tradnl"/>
        </w:rPr>
        <w:t xml:space="preserve">líneas de investigación y 24 </w:t>
      </w:r>
      <w:r w:rsidRPr="00981DDB">
        <w:rPr>
          <w:rFonts w:ascii="Arial" w:hAnsi="Arial" w:cs="Arial"/>
          <w:sz w:val="18"/>
          <w:szCs w:val="18"/>
          <w:lang w:val="es-ES_tradnl"/>
        </w:rPr>
        <w:t>proyecto</w:t>
      </w:r>
      <w:r w:rsidR="007E6475">
        <w:rPr>
          <w:rFonts w:ascii="Arial" w:hAnsi="Arial" w:cs="Arial"/>
          <w:sz w:val="18"/>
          <w:szCs w:val="18"/>
          <w:lang w:val="es-ES_tradnl"/>
        </w:rPr>
        <w:t>s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de investigación con una productividad investigativa de </w:t>
      </w:r>
      <w:r w:rsidR="00E37457">
        <w:rPr>
          <w:rFonts w:ascii="Arial" w:hAnsi="Arial" w:cs="Arial"/>
          <w:sz w:val="18"/>
          <w:szCs w:val="18"/>
          <w:lang w:val="es-ES_tradnl"/>
        </w:rPr>
        <w:t>2 libros, 6 capítulos de libro y 10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artículos especializados.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037D6" w:rsidRPr="00981DDB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Como centro de excelencia educativa se garantiza el derecho a la educación laica, incluyente, pertinente, equitativa y de calidad, en donde los estudiantes adquieren los conocimientos teóricos y prácticos necesarios para promover el desarrollo y la adopción de estilos de vida sostenibles, los derechos humanos, la igualdad entre los géneros, y la valoración de la diversidad cultural; en el área de docencia actualmente El Colegio imparte 6 programas de posgrado: I) Doctorado en Desarrollo Regional, II) Doctorado en Gobierno, Gestión y Democracia, III) la Maestría en Desarrollo Regional, IV) Maestría en Gestión del Turismo Regional Sustentable, V) Maestría en Política y Acción Pública, y VI) Maestría en Gobierno, Gestión y Democracia, beneficiando a una comunidad de 128 alumnos en este periodo, de los cuales 64 cuentan con becas CONACYT y los restantes con becas de la Secretaría de Educación Púb</w:t>
      </w:r>
      <w:r w:rsidR="00ED6BE8">
        <w:rPr>
          <w:rFonts w:ascii="Arial" w:hAnsi="Arial" w:cs="Arial"/>
          <w:sz w:val="18"/>
          <w:szCs w:val="18"/>
          <w:lang w:val="es-ES_tradnl"/>
        </w:rPr>
        <w:t>lica y de la propia institución</w:t>
      </w:r>
      <w:r w:rsidR="00E37457">
        <w:rPr>
          <w:rFonts w:ascii="Arial" w:hAnsi="Arial" w:cs="Arial"/>
          <w:sz w:val="18"/>
          <w:szCs w:val="18"/>
          <w:lang w:val="es-ES_tradnl"/>
        </w:rPr>
        <w:t>, en este periodo egresaron</w:t>
      </w:r>
      <w:r w:rsidR="00B06537">
        <w:rPr>
          <w:rFonts w:ascii="Arial" w:hAnsi="Arial" w:cs="Arial"/>
          <w:sz w:val="18"/>
          <w:szCs w:val="18"/>
          <w:lang w:val="es-ES_tradnl"/>
        </w:rPr>
        <w:t xml:space="preserve"> 19</w:t>
      </w:r>
      <w:r w:rsidR="00E37457">
        <w:rPr>
          <w:rFonts w:ascii="Arial" w:hAnsi="Arial" w:cs="Arial"/>
          <w:sz w:val="18"/>
          <w:szCs w:val="18"/>
          <w:lang w:val="es-ES_tradnl"/>
        </w:rPr>
        <w:t xml:space="preserve"> alumnos y se titularon </w:t>
      </w:r>
      <w:r w:rsidR="00B06537">
        <w:rPr>
          <w:rFonts w:ascii="Arial" w:hAnsi="Arial" w:cs="Arial"/>
          <w:sz w:val="18"/>
          <w:szCs w:val="18"/>
          <w:lang w:val="es-ES_tradnl"/>
        </w:rPr>
        <w:t>5</w:t>
      </w:r>
      <w:r w:rsidRPr="00981DDB">
        <w:rPr>
          <w:rFonts w:ascii="Arial" w:hAnsi="Arial" w:cs="Arial"/>
          <w:sz w:val="18"/>
          <w:szCs w:val="18"/>
          <w:lang w:val="es-ES_tradnl"/>
        </w:rPr>
        <w:t>. Mención especial es informar que la sociedad en general y principalmente la población con nivel académico superior se benefició con el fortalecimiento de la Biblioteca Víctor L. Urquídi, especializada en desarrollo económico y regional, migración, género, medio ambiente, urbanismo, desarrollo local, ciencia política, gerencia pública y turismo, que cuenta con un acervo físico de 8,298 títulos de libros con 15,312 ejemplares, 373 títulos de revistas especializadas con 3,467 ejemplares, 116 tesis de doctorado y 53 de maestría de los posgrados que se imparten en El Colegio.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112C82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Se han establecido lazos de cooperación con los sectores sociales a través de vínculos institucionales, se </w:t>
      </w:r>
      <w:r w:rsidR="00ED6BE8">
        <w:rPr>
          <w:rFonts w:ascii="Arial" w:hAnsi="Arial" w:cs="Arial"/>
          <w:sz w:val="18"/>
          <w:szCs w:val="18"/>
          <w:lang w:val="es-ES_tradnl"/>
        </w:rPr>
        <w:t xml:space="preserve">han </w:t>
      </w:r>
      <w:r w:rsidRPr="00981DDB">
        <w:rPr>
          <w:rFonts w:ascii="Arial" w:hAnsi="Arial" w:cs="Arial"/>
          <w:sz w:val="18"/>
          <w:szCs w:val="18"/>
          <w:lang w:val="es-ES_tradnl"/>
        </w:rPr>
        <w:t>suscri</w:t>
      </w:r>
      <w:r w:rsidR="00ED6BE8">
        <w:rPr>
          <w:rFonts w:ascii="Arial" w:hAnsi="Arial" w:cs="Arial"/>
          <w:sz w:val="18"/>
          <w:szCs w:val="18"/>
          <w:lang w:val="es-ES_tradnl"/>
        </w:rPr>
        <w:t>to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convenios de colaboración para la investigación, intercambio y movilidad tanto de alumnos como de profesores entre los que destacan los firmados con </w:t>
      </w:r>
      <w:r w:rsidR="00E501E7">
        <w:rPr>
          <w:rFonts w:ascii="Arial" w:hAnsi="Arial" w:cs="Arial"/>
          <w:sz w:val="18"/>
          <w:szCs w:val="18"/>
          <w:lang w:val="es-ES_tradnl"/>
        </w:rPr>
        <w:t xml:space="preserve">El Sistema Universidad Abierta y Educación a Distancia, </w:t>
      </w:r>
      <w:r w:rsidR="00E37457">
        <w:rPr>
          <w:rFonts w:ascii="Arial" w:hAnsi="Arial" w:cs="Arial"/>
          <w:sz w:val="18"/>
          <w:szCs w:val="18"/>
          <w:lang w:val="es-ES_tradnl"/>
        </w:rPr>
        <w:t xml:space="preserve">El </w:t>
      </w:r>
      <w:r w:rsidR="00E501E7">
        <w:rPr>
          <w:rFonts w:ascii="Arial" w:hAnsi="Arial" w:cs="Arial"/>
          <w:sz w:val="18"/>
          <w:szCs w:val="18"/>
          <w:lang w:val="es-ES_tradnl"/>
        </w:rPr>
        <w:t xml:space="preserve">Centro de Investigación en Química Aplicada, El </w:t>
      </w:r>
      <w:r w:rsidR="00E37457">
        <w:rPr>
          <w:rFonts w:ascii="Arial" w:hAnsi="Arial" w:cs="Arial"/>
          <w:sz w:val="18"/>
          <w:szCs w:val="18"/>
          <w:lang w:val="es-ES_tradnl"/>
        </w:rPr>
        <w:t xml:space="preserve">Colegio de Jalisco,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la Universidad </w:t>
      </w:r>
      <w:r w:rsidR="00E501E7">
        <w:rPr>
          <w:rFonts w:ascii="Arial" w:hAnsi="Arial" w:cs="Arial"/>
          <w:sz w:val="18"/>
          <w:szCs w:val="18"/>
          <w:lang w:val="es-ES_tradnl"/>
        </w:rPr>
        <w:t>Politécnica de Tlaxcala y la Universidad Autónoma</w:t>
      </w:r>
      <w:r w:rsidR="00B06537">
        <w:rPr>
          <w:rFonts w:ascii="Arial" w:hAnsi="Arial" w:cs="Arial"/>
          <w:sz w:val="18"/>
          <w:szCs w:val="18"/>
          <w:lang w:val="es-ES_tradnl"/>
        </w:rPr>
        <w:t xml:space="preserve"> Metropolitana Xochimilco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, así como con diversas dependencias estatales, mediante el Centro Interdisciplinario de Servicios Especializados de esta institución se realizan capacitaciones a diferentes instituciones educativas y asesorías a municipios en coordinación con el INAFED, además de 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5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eventos 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presenciales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de difusión 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y 665 publicaciones en redes sociales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sobre la oferta educativa de El Colegio, así como actividades de socialización de los resultados de investigación. </w:t>
      </w:r>
    </w:p>
    <w:p w:rsidR="00441A0E" w:rsidRPr="000037D6" w:rsidRDefault="00441A0E" w:rsidP="000037D6">
      <w:pPr>
        <w:jc w:val="both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703A12" w:rsidRPr="00703A12" w:rsidRDefault="00703A12" w:rsidP="00724B8C">
      <w:pPr>
        <w:jc w:val="center"/>
        <w:rPr>
          <w:rFonts w:ascii="Arial" w:hAnsi="Arial" w:cs="Arial"/>
          <w:b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656D62" w:rsidP="00656D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F82956" w:rsidRDefault="00F82956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03A12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D95CF5">
        <w:rPr>
          <w:rFonts w:ascii="Arial" w:hAnsi="Arial" w:cs="Arial"/>
          <w:sz w:val="18"/>
          <w:szCs w:val="18"/>
        </w:rPr>
        <w:t>ANEXOS</w:t>
      </w:r>
    </w:p>
    <w:p w:rsidR="00E776A3" w:rsidRPr="00D95CF5" w:rsidRDefault="00E776A3" w:rsidP="00E776A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9D1B13" w:rsidRDefault="00986C92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986C9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946290" w:rsidRDefault="00946290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Ingresos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Egresos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Reporte Mensual de Metas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 e Inmuebles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Ingresos Acumulados</w:t>
      </w:r>
    </w:p>
    <w:p w:rsidR="00B06537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Trimestral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Acumulado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Plantilla de Personal</w:t>
      </w:r>
      <w:r w:rsidR="007A5500">
        <w:rPr>
          <w:rFonts w:ascii="Arial" w:hAnsi="Arial" w:cs="Arial"/>
          <w:sz w:val="18"/>
          <w:szCs w:val="18"/>
        </w:rPr>
        <w:t xml:space="preserve"> Trimestral</w:t>
      </w:r>
    </w:p>
    <w:p w:rsidR="00F83FC1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:rsidR="00E776A3" w:rsidRDefault="00E776A3" w:rsidP="00E776A3">
      <w:pPr>
        <w:jc w:val="both"/>
        <w:rPr>
          <w:rFonts w:ascii="Arial" w:hAnsi="Arial" w:cs="Arial"/>
          <w:sz w:val="18"/>
          <w:szCs w:val="18"/>
        </w:rPr>
      </w:pPr>
    </w:p>
    <w:p w:rsidR="00E776A3" w:rsidRDefault="00E776A3" w:rsidP="00E776A3">
      <w:pPr>
        <w:jc w:val="both"/>
        <w:rPr>
          <w:rFonts w:ascii="Arial" w:hAnsi="Arial" w:cs="Arial"/>
          <w:sz w:val="18"/>
          <w:szCs w:val="18"/>
        </w:rPr>
      </w:pPr>
    </w:p>
    <w:p w:rsidR="00E776A3" w:rsidRPr="00E776A3" w:rsidRDefault="00E776A3" w:rsidP="00E776A3">
      <w:pPr>
        <w:jc w:val="both"/>
        <w:rPr>
          <w:rFonts w:ascii="Arial" w:hAnsi="Arial" w:cs="Arial"/>
          <w:sz w:val="18"/>
          <w:szCs w:val="18"/>
        </w:rPr>
      </w:pPr>
    </w:p>
    <w:p w:rsidR="00E776A3" w:rsidRDefault="00E776A3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4C7F7B" w:rsidRP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F2" w:rsidRDefault="00CF4BF2" w:rsidP="00EA5418">
      <w:pPr>
        <w:spacing w:after="0" w:line="240" w:lineRule="auto"/>
      </w:pPr>
      <w:r>
        <w:separator/>
      </w:r>
    </w:p>
  </w:endnote>
  <w:endnote w:type="continuationSeparator" w:id="0">
    <w:p w:rsidR="00CF4BF2" w:rsidRDefault="00CF4B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E13DD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A5500" w:rsidRPr="007A550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36841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A5500" w:rsidRPr="007A550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F2" w:rsidRDefault="00CF4BF2" w:rsidP="00EA5418">
      <w:pPr>
        <w:spacing w:after="0" w:line="240" w:lineRule="auto"/>
      </w:pPr>
      <w:r>
        <w:separator/>
      </w:r>
    </w:p>
  </w:footnote>
  <w:footnote w:type="continuationSeparator" w:id="0">
    <w:p w:rsidR="00CF4BF2" w:rsidRDefault="00CF4B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2CE5B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913C6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16953"/>
    <w:rsid w:val="00036753"/>
    <w:rsid w:val="00040466"/>
    <w:rsid w:val="000532C4"/>
    <w:rsid w:val="00056042"/>
    <w:rsid w:val="000759F1"/>
    <w:rsid w:val="00087589"/>
    <w:rsid w:val="000928D4"/>
    <w:rsid w:val="00092DA5"/>
    <w:rsid w:val="000C2E25"/>
    <w:rsid w:val="000C5C36"/>
    <w:rsid w:val="00112C82"/>
    <w:rsid w:val="0012106E"/>
    <w:rsid w:val="0013011C"/>
    <w:rsid w:val="00133AAD"/>
    <w:rsid w:val="001409C3"/>
    <w:rsid w:val="00145941"/>
    <w:rsid w:val="001537CF"/>
    <w:rsid w:val="001646D9"/>
    <w:rsid w:val="001B1B72"/>
    <w:rsid w:val="00284F5E"/>
    <w:rsid w:val="002865A7"/>
    <w:rsid w:val="00297D28"/>
    <w:rsid w:val="002A70B3"/>
    <w:rsid w:val="002B36EF"/>
    <w:rsid w:val="002C2917"/>
    <w:rsid w:val="002C778A"/>
    <w:rsid w:val="002E45B2"/>
    <w:rsid w:val="002E5897"/>
    <w:rsid w:val="002F3A11"/>
    <w:rsid w:val="002F5394"/>
    <w:rsid w:val="00307635"/>
    <w:rsid w:val="00310D3A"/>
    <w:rsid w:val="003460B0"/>
    <w:rsid w:val="0034745A"/>
    <w:rsid w:val="00355821"/>
    <w:rsid w:val="003575A4"/>
    <w:rsid w:val="003610E0"/>
    <w:rsid w:val="00372F40"/>
    <w:rsid w:val="00384852"/>
    <w:rsid w:val="003D5DBF"/>
    <w:rsid w:val="003E7FD0"/>
    <w:rsid w:val="00427E2C"/>
    <w:rsid w:val="00441A0E"/>
    <w:rsid w:val="0044253C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502D8E"/>
    <w:rsid w:val="00504FA2"/>
    <w:rsid w:val="005117F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B06E7"/>
    <w:rsid w:val="005B6C40"/>
    <w:rsid w:val="005E5731"/>
    <w:rsid w:val="006048D2"/>
    <w:rsid w:val="00607D9E"/>
    <w:rsid w:val="00611E39"/>
    <w:rsid w:val="006216F8"/>
    <w:rsid w:val="00631E89"/>
    <w:rsid w:val="00633025"/>
    <w:rsid w:val="00655D8D"/>
    <w:rsid w:val="00656D62"/>
    <w:rsid w:val="00676A23"/>
    <w:rsid w:val="006B729B"/>
    <w:rsid w:val="006E1E0E"/>
    <w:rsid w:val="006E5D84"/>
    <w:rsid w:val="006E6B8E"/>
    <w:rsid w:val="006E77DD"/>
    <w:rsid w:val="006F451F"/>
    <w:rsid w:val="00703A12"/>
    <w:rsid w:val="00724B8C"/>
    <w:rsid w:val="00727186"/>
    <w:rsid w:val="00737D9B"/>
    <w:rsid w:val="00741A26"/>
    <w:rsid w:val="0075305B"/>
    <w:rsid w:val="00754508"/>
    <w:rsid w:val="0077212D"/>
    <w:rsid w:val="00782B73"/>
    <w:rsid w:val="00783049"/>
    <w:rsid w:val="0079582C"/>
    <w:rsid w:val="007A5500"/>
    <w:rsid w:val="007B145A"/>
    <w:rsid w:val="007B5824"/>
    <w:rsid w:val="007D6E9A"/>
    <w:rsid w:val="007E6475"/>
    <w:rsid w:val="00807A25"/>
    <w:rsid w:val="00824559"/>
    <w:rsid w:val="00841EB9"/>
    <w:rsid w:val="00850E90"/>
    <w:rsid w:val="0088193C"/>
    <w:rsid w:val="00884851"/>
    <w:rsid w:val="008A6E4D"/>
    <w:rsid w:val="008B0017"/>
    <w:rsid w:val="008D4272"/>
    <w:rsid w:val="008E3652"/>
    <w:rsid w:val="008F6681"/>
    <w:rsid w:val="00922527"/>
    <w:rsid w:val="0094454A"/>
    <w:rsid w:val="00946290"/>
    <w:rsid w:val="00981DDB"/>
    <w:rsid w:val="009844BB"/>
    <w:rsid w:val="00986C92"/>
    <w:rsid w:val="009D1B13"/>
    <w:rsid w:val="00A11EBA"/>
    <w:rsid w:val="00A134F8"/>
    <w:rsid w:val="00A14B74"/>
    <w:rsid w:val="00A43705"/>
    <w:rsid w:val="00A8349A"/>
    <w:rsid w:val="00AB0783"/>
    <w:rsid w:val="00AB13B7"/>
    <w:rsid w:val="00AC1FC6"/>
    <w:rsid w:val="00B06537"/>
    <w:rsid w:val="00B17423"/>
    <w:rsid w:val="00B42A02"/>
    <w:rsid w:val="00B849EE"/>
    <w:rsid w:val="00B912D9"/>
    <w:rsid w:val="00BC4EFF"/>
    <w:rsid w:val="00BE0800"/>
    <w:rsid w:val="00C102A9"/>
    <w:rsid w:val="00C16FBC"/>
    <w:rsid w:val="00C27F12"/>
    <w:rsid w:val="00C44F01"/>
    <w:rsid w:val="00C6443C"/>
    <w:rsid w:val="00C676F1"/>
    <w:rsid w:val="00C82D61"/>
    <w:rsid w:val="00C927DC"/>
    <w:rsid w:val="00CA22E6"/>
    <w:rsid w:val="00CA2D37"/>
    <w:rsid w:val="00CC5CB6"/>
    <w:rsid w:val="00CD719D"/>
    <w:rsid w:val="00CE2E28"/>
    <w:rsid w:val="00CF4783"/>
    <w:rsid w:val="00CF4BF2"/>
    <w:rsid w:val="00CF65C9"/>
    <w:rsid w:val="00D055EC"/>
    <w:rsid w:val="00D14D5F"/>
    <w:rsid w:val="00D17165"/>
    <w:rsid w:val="00D25636"/>
    <w:rsid w:val="00D404ED"/>
    <w:rsid w:val="00D4281F"/>
    <w:rsid w:val="00D51261"/>
    <w:rsid w:val="00D63805"/>
    <w:rsid w:val="00D748D3"/>
    <w:rsid w:val="00D937D2"/>
    <w:rsid w:val="00D95CF5"/>
    <w:rsid w:val="00DB1845"/>
    <w:rsid w:val="00DC6C73"/>
    <w:rsid w:val="00DD230F"/>
    <w:rsid w:val="00E14D47"/>
    <w:rsid w:val="00E202D8"/>
    <w:rsid w:val="00E23B2F"/>
    <w:rsid w:val="00E32708"/>
    <w:rsid w:val="00E37457"/>
    <w:rsid w:val="00E41B63"/>
    <w:rsid w:val="00E41C47"/>
    <w:rsid w:val="00E501E7"/>
    <w:rsid w:val="00E776A3"/>
    <w:rsid w:val="00E8339C"/>
    <w:rsid w:val="00EA5418"/>
    <w:rsid w:val="00ED6BE8"/>
    <w:rsid w:val="00F3534A"/>
    <w:rsid w:val="00F64866"/>
    <w:rsid w:val="00F81A91"/>
    <w:rsid w:val="00F82956"/>
    <w:rsid w:val="00F83FC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F09FC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FC3F-6853-41DB-A8E4-8DF5BA4B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1261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53</cp:revision>
  <cp:lastPrinted>2020-01-14T16:27:00Z</cp:lastPrinted>
  <dcterms:created xsi:type="dcterms:W3CDTF">2015-07-01T23:47:00Z</dcterms:created>
  <dcterms:modified xsi:type="dcterms:W3CDTF">2020-07-03T17:31:00Z</dcterms:modified>
</cp:coreProperties>
</file>