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E83E59">
      <w:pPr>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120F4C">
        <w:rPr>
          <w:rFonts w:ascii="Arial" w:hAnsi="Arial" w:cs="Arial"/>
          <w:sz w:val="18"/>
          <w:szCs w:val="18"/>
        </w:rPr>
        <w:t>5</w:t>
      </w:r>
      <w:r>
        <w:rPr>
          <w:rFonts w:ascii="Arial" w:hAnsi="Arial" w:cs="Arial"/>
          <w:sz w:val="18"/>
          <w:szCs w:val="18"/>
        </w:rPr>
        <w:t>,</w:t>
      </w:r>
      <w:r w:rsidR="00120F4C">
        <w:rPr>
          <w:rFonts w:ascii="Arial" w:hAnsi="Arial" w:cs="Arial"/>
          <w:sz w:val="18"/>
          <w:szCs w:val="18"/>
        </w:rPr>
        <w:t>080</w:t>
      </w:r>
      <w:r>
        <w:rPr>
          <w:rFonts w:ascii="Arial" w:hAnsi="Arial" w:cs="Arial"/>
          <w:sz w:val="18"/>
          <w:szCs w:val="18"/>
        </w:rPr>
        <w:t>,</w:t>
      </w:r>
      <w:r w:rsidR="00120F4C">
        <w:rPr>
          <w:rFonts w:ascii="Arial" w:hAnsi="Arial" w:cs="Arial"/>
          <w:sz w:val="18"/>
          <w:szCs w:val="18"/>
        </w:rPr>
        <w:t>735</w:t>
      </w:r>
      <w:r>
        <w:rPr>
          <w:rFonts w:ascii="Arial" w:hAnsi="Arial" w:cs="Arial"/>
          <w:sz w:val="18"/>
          <w:szCs w:val="18"/>
        </w:rPr>
        <w:t>,</w:t>
      </w:r>
      <w:r w:rsidR="00120F4C">
        <w:rPr>
          <w:rFonts w:ascii="Arial" w:hAnsi="Arial" w:cs="Arial"/>
          <w:sz w:val="18"/>
          <w:szCs w:val="18"/>
        </w:rPr>
        <w:t>098</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120F4C">
        <w:rPr>
          <w:rFonts w:ascii="Arial" w:hAnsi="Arial" w:cs="Arial"/>
          <w:sz w:val="18"/>
          <w:szCs w:val="18"/>
        </w:rPr>
        <w:t>Tercer</w:t>
      </w:r>
      <w:r>
        <w:rPr>
          <w:rFonts w:ascii="Arial" w:hAnsi="Arial" w:cs="Arial"/>
          <w:sz w:val="18"/>
          <w:szCs w:val="18"/>
        </w:rPr>
        <w:t xml:space="preserve"> Ajuste Trimestral 20</w:t>
      </w:r>
      <w:r w:rsidR="00496633">
        <w:rPr>
          <w:rFonts w:ascii="Arial" w:hAnsi="Arial" w:cs="Arial"/>
          <w:sz w:val="18"/>
          <w:szCs w:val="18"/>
        </w:rPr>
        <w:t>20</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B61EE1">
        <w:rPr>
          <w:rFonts w:ascii="Arial" w:hAnsi="Arial" w:cs="Arial"/>
          <w:sz w:val="18"/>
          <w:szCs w:val="18"/>
        </w:rPr>
        <w:t>, observando una diferencia de 5.2%, equivalente a $ 252,697,870 respecto del mismo periodo de 2019</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120F4C">
        <w:rPr>
          <w:rFonts w:ascii="Arial" w:hAnsi="Arial" w:cs="Arial"/>
          <w:sz w:val="18"/>
          <w:szCs w:val="18"/>
        </w:rPr>
        <w:t>3</w:t>
      </w:r>
      <w:r w:rsidR="00496633">
        <w:rPr>
          <w:rFonts w:ascii="Arial" w:hAnsi="Arial" w:cs="Arial"/>
          <w:sz w:val="18"/>
          <w:szCs w:val="18"/>
        </w:rPr>
        <w:t>8</w:t>
      </w:r>
      <w:r>
        <w:rPr>
          <w:rFonts w:ascii="Arial" w:hAnsi="Arial" w:cs="Arial"/>
          <w:sz w:val="18"/>
          <w:szCs w:val="18"/>
        </w:rPr>
        <w:t>,</w:t>
      </w:r>
      <w:r w:rsidR="00120F4C">
        <w:rPr>
          <w:rFonts w:ascii="Arial" w:hAnsi="Arial" w:cs="Arial"/>
          <w:sz w:val="18"/>
          <w:szCs w:val="18"/>
        </w:rPr>
        <w:t>500</w:t>
      </w:r>
      <w:r>
        <w:rPr>
          <w:rFonts w:ascii="Arial" w:hAnsi="Arial" w:cs="Arial"/>
          <w:sz w:val="18"/>
          <w:szCs w:val="18"/>
        </w:rPr>
        <w:t>,</w:t>
      </w:r>
      <w:r w:rsidR="00120F4C">
        <w:rPr>
          <w:rFonts w:ascii="Arial" w:hAnsi="Arial" w:cs="Arial"/>
          <w:sz w:val="18"/>
          <w:szCs w:val="18"/>
        </w:rPr>
        <w:t>604</w:t>
      </w:r>
      <w:r w:rsidRPr="0073056A">
        <w:rPr>
          <w:rFonts w:ascii="Arial" w:hAnsi="Arial" w:cs="Arial"/>
          <w:sz w:val="18"/>
          <w:szCs w:val="18"/>
        </w:rPr>
        <w:t xml:space="preserve"> que se tiene al cierre del </w:t>
      </w:r>
      <w:r w:rsidR="00120F4C">
        <w:rPr>
          <w:rFonts w:ascii="Arial" w:hAnsi="Arial" w:cs="Arial"/>
          <w:sz w:val="18"/>
          <w:szCs w:val="18"/>
        </w:rPr>
        <w:t>tercer</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1D0C95">
        <w:rPr>
          <w:rFonts w:ascii="Arial" w:hAnsi="Arial" w:cs="Arial"/>
          <w:sz w:val="18"/>
          <w:szCs w:val="18"/>
        </w:rPr>
        <w:t>, siendo menor en un 70.6% respecto al mismo periodo de 2019</w:t>
      </w:r>
      <w:r>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20F4C">
        <w:rPr>
          <w:rFonts w:ascii="Arial" w:hAnsi="Arial" w:cs="Arial"/>
          <w:sz w:val="18"/>
          <w:szCs w:val="18"/>
        </w:rPr>
        <w:t xml:space="preserve"> en cantidad de $22,767,789</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1D0C95">
        <w:rPr>
          <w:rFonts w:ascii="Arial" w:hAnsi="Arial" w:cs="Arial"/>
          <w:sz w:val="18"/>
          <w:szCs w:val="18"/>
        </w:rPr>
        <w:t>, siendo menor en un 74.3% respecto al mismo periodo de 2019</w:t>
      </w:r>
      <w:r w:rsidRPr="0073056A">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120F4C">
        <w:rPr>
          <w:rFonts w:ascii="Arial" w:hAnsi="Arial" w:cs="Arial"/>
          <w:sz w:val="18"/>
          <w:szCs w:val="18"/>
        </w:rPr>
        <w:t>tercer</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120F4C">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355</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r w:rsidR="000A6D5D">
        <w:rPr>
          <w:rFonts w:ascii="Arial" w:hAnsi="Arial" w:cs="Arial"/>
          <w:sz w:val="18"/>
          <w:szCs w:val="18"/>
        </w:rPr>
        <w:t>, observando un incremento del 27.4% respecto del mismo periodo de 2019</w:t>
      </w:r>
      <w:r>
        <w:rPr>
          <w:rFonts w:ascii="Arial" w:hAnsi="Arial" w:cs="Arial"/>
          <w:sz w:val="18"/>
          <w:szCs w:val="18"/>
        </w:rPr>
        <w:t>.</w:t>
      </w: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120F4C">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120F4C">
        <w:rPr>
          <w:rFonts w:ascii="Arial" w:hAnsi="Arial" w:cs="Arial"/>
          <w:sz w:val="18"/>
          <w:szCs w:val="18"/>
        </w:rPr>
        <w:t>605</w:t>
      </w:r>
      <w:r>
        <w:rPr>
          <w:rFonts w:ascii="Arial" w:hAnsi="Arial" w:cs="Arial"/>
          <w:sz w:val="18"/>
          <w:szCs w:val="18"/>
        </w:rPr>
        <w:t>,</w:t>
      </w:r>
      <w:r w:rsidR="00120F4C">
        <w:rPr>
          <w:rFonts w:ascii="Arial" w:hAnsi="Arial" w:cs="Arial"/>
          <w:sz w:val="18"/>
          <w:szCs w:val="18"/>
        </w:rPr>
        <w:t>562</w:t>
      </w:r>
      <w:r>
        <w:rPr>
          <w:rFonts w:ascii="Arial" w:hAnsi="Arial" w:cs="Arial"/>
          <w:sz w:val="18"/>
          <w:szCs w:val="18"/>
        </w:rPr>
        <w:t>,</w:t>
      </w:r>
      <w:r w:rsidR="00120F4C">
        <w:rPr>
          <w:rFonts w:ascii="Arial" w:hAnsi="Arial" w:cs="Arial"/>
          <w:sz w:val="18"/>
          <w:szCs w:val="18"/>
        </w:rPr>
        <w:t>963</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0A6D5D">
        <w:rPr>
          <w:rFonts w:ascii="Arial" w:hAnsi="Arial" w:cs="Arial"/>
          <w:sz w:val="18"/>
          <w:szCs w:val="18"/>
        </w:rPr>
        <w:t>, observando un incremento de 14% respecto a 2019 en el mismo periodo</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1435CE">
        <w:rPr>
          <w:rFonts w:ascii="Arial" w:hAnsi="Arial" w:cs="Arial"/>
          <w:sz w:val="18"/>
          <w:szCs w:val="18"/>
        </w:rPr>
        <w:t>8</w:t>
      </w:r>
      <w:r w:rsidRPr="00F619D6">
        <w:rPr>
          <w:rFonts w:ascii="Arial" w:hAnsi="Arial" w:cs="Arial"/>
          <w:sz w:val="18"/>
          <w:szCs w:val="18"/>
        </w:rPr>
        <w:t>,</w:t>
      </w:r>
      <w:r w:rsidR="0058542E">
        <w:rPr>
          <w:rFonts w:ascii="Arial" w:hAnsi="Arial" w:cs="Arial"/>
          <w:sz w:val="18"/>
          <w:szCs w:val="18"/>
        </w:rPr>
        <w:t>54</w:t>
      </w:r>
      <w:r w:rsidR="00120F4C">
        <w:rPr>
          <w:rFonts w:ascii="Arial" w:hAnsi="Arial" w:cs="Arial"/>
          <w:sz w:val="18"/>
          <w:szCs w:val="18"/>
        </w:rPr>
        <w:t>5</w:t>
      </w:r>
      <w:r w:rsidRPr="00F619D6">
        <w:rPr>
          <w:rFonts w:ascii="Arial" w:hAnsi="Arial" w:cs="Arial"/>
          <w:sz w:val="18"/>
          <w:szCs w:val="18"/>
        </w:rPr>
        <w:t>,</w:t>
      </w:r>
      <w:r w:rsidR="00120F4C">
        <w:rPr>
          <w:rFonts w:ascii="Arial" w:hAnsi="Arial" w:cs="Arial"/>
          <w:sz w:val="18"/>
          <w:szCs w:val="18"/>
        </w:rPr>
        <w:t>780</w:t>
      </w:r>
      <w:r w:rsidRPr="00F619D6">
        <w:rPr>
          <w:rFonts w:ascii="Arial" w:hAnsi="Arial" w:cs="Arial"/>
          <w:sz w:val="18"/>
          <w:szCs w:val="18"/>
        </w:rPr>
        <w:t>,</w:t>
      </w:r>
      <w:r w:rsidR="00120F4C">
        <w:rPr>
          <w:rFonts w:ascii="Arial" w:hAnsi="Arial" w:cs="Arial"/>
          <w:sz w:val="18"/>
          <w:szCs w:val="18"/>
        </w:rPr>
        <w:t>209</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0A6D5D">
        <w:rPr>
          <w:rFonts w:ascii="Arial" w:hAnsi="Arial" w:cs="Arial"/>
          <w:sz w:val="18"/>
          <w:szCs w:val="18"/>
        </w:rPr>
        <w:t xml:space="preserve">, </w:t>
      </w:r>
      <w:r w:rsidR="00DB1E0B">
        <w:rPr>
          <w:rFonts w:ascii="Arial" w:hAnsi="Arial" w:cs="Arial"/>
          <w:sz w:val="18"/>
          <w:szCs w:val="18"/>
        </w:rPr>
        <w:t>registrando un incremento del 12.8% respecto al mismo trimestre de 2019</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1435CE">
        <w:rPr>
          <w:rFonts w:ascii="Arial" w:hAnsi="Arial" w:cs="Arial"/>
          <w:sz w:val="18"/>
          <w:szCs w:val="18"/>
        </w:rPr>
        <w:t>9</w:t>
      </w:r>
      <w:r w:rsidR="00120F4C">
        <w:rPr>
          <w:rFonts w:ascii="Arial" w:hAnsi="Arial" w:cs="Arial"/>
          <w:sz w:val="18"/>
          <w:szCs w:val="18"/>
        </w:rPr>
        <w:t>4</w:t>
      </w:r>
      <w:r>
        <w:rPr>
          <w:rFonts w:ascii="Arial" w:hAnsi="Arial" w:cs="Arial"/>
          <w:sz w:val="18"/>
          <w:szCs w:val="18"/>
        </w:rPr>
        <w:t>,</w:t>
      </w:r>
      <w:r w:rsidR="00120F4C">
        <w:rPr>
          <w:rFonts w:ascii="Arial" w:hAnsi="Arial" w:cs="Arial"/>
          <w:sz w:val="18"/>
          <w:szCs w:val="18"/>
        </w:rPr>
        <w:t>323</w:t>
      </w:r>
      <w:r>
        <w:rPr>
          <w:rFonts w:ascii="Arial" w:hAnsi="Arial" w:cs="Arial"/>
          <w:sz w:val="18"/>
          <w:szCs w:val="18"/>
        </w:rPr>
        <w:t>,</w:t>
      </w:r>
      <w:r w:rsidR="00120F4C">
        <w:rPr>
          <w:rFonts w:ascii="Arial" w:hAnsi="Arial" w:cs="Arial"/>
          <w:sz w:val="18"/>
          <w:szCs w:val="18"/>
        </w:rPr>
        <w:t>543</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00DB1E0B">
        <w:rPr>
          <w:rFonts w:ascii="Arial" w:hAnsi="Arial" w:cs="Arial"/>
          <w:sz w:val="18"/>
          <w:szCs w:val="18"/>
        </w:rPr>
        <w:t>, reflejando un incremento del 11.1% respecto al mismo periodo de 2019</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w:t>
      </w:r>
      <w:r w:rsidR="00DD6D71">
        <w:rPr>
          <w:rFonts w:ascii="Arial" w:hAnsi="Arial" w:cs="Arial"/>
          <w:sz w:val="18"/>
          <w:szCs w:val="18"/>
        </w:rPr>
        <w:t>, no observando variaciones respecto al ejercicio 2019</w:t>
      </w:r>
      <w:r w:rsidRPr="00FB6E0E">
        <w:rPr>
          <w:rFonts w:ascii="Arial" w:hAnsi="Arial" w:cs="Arial"/>
          <w:sz w:val="18"/>
          <w:szCs w:val="18"/>
        </w:rPr>
        <w:t xml:space="preserve">.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120F4C">
        <w:rPr>
          <w:rFonts w:ascii="Arial" w:hAnsi="Arial" w:cs="Arial"/>
          <w:sz w:val="18"/>
          <w:szCs w:val="18"/>
        </w:rPr>
        <w:t>septiembre</w:t>
      </w:r>
      <w:r>
        <w:rPr>
          <w:rFonts w:ascii="Arial" w:hAnsi="Arial" w:cs="Arial"/>
          <w:sz w:val="18"/>
          <w:szCs w:val="18"/>
        </w:rPr>
        <w:t xml:space="preserve"> del ejercicio 20</w:t>
      </w:r>
      <w:r w:rsidR="00111884">
        <w:rPr>
          <w:rFonts w:ascii="Arial" w:hAnsi="Arial" w:cs="Arial"/>
          <w:sz w:val="18"/>
          <w:szCs w:val="18"/>
        </w:rPr>
        <w:t>20</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A96C1F">
        <w:rPr>
          <w:rFonts w:ascii="Arial" w:hAnsi="Arial" w:cs="Arial"/>
          <w:sz w:val="18"/>
          <w:szCs w:val="18"/>
        </w:rPr>
        <w:t>2</w:t>
      </w:r>
      <w:r>
        <w:rPr>
          <w:rFonts w:ascii="Arial" w:hAnsi="Arial" w:cs="Arial"/>
          <w:sz w:val="18"/>
          <w:szCs w:val="18"/>
        </w:rPr>
        <w:t>,</w:t>
      </w:r>
      <w:r w:rsidR="00A96C1F">
        <w:rPr>
          <w:rFonts w:ascii="Arial" w:hAnsi="Arial" w:cs="Arial"/>
          <w:sz w:val="18"/>
          <w:szCs w:val="18"/>
        </w:rPr>
        <w:t>808</w:t>
      </w:r>
      <w:r>
        <w:rPr>
          <w:rFonts w:ascii="Arial" w:hAnsi="Arial" w:cs="Arial"/>
          <w:sz w:val="18"/>
          <w:szCs w:val="18"/>
        </w:rPr>
        <w:t>,</w:t>
      </w:r>
      <w:r w:rsidR="00A96C1F">
        <w:rPr>
          <w:rFonts w:ascii="Arial" w:hAnsi="Arial" w:cs="Arial"/>
          <w:sz w:val="18"/>
          <w:szCs w:val="18"/>
        </w:rPr>
        <w:t>506</w:t>
      </w:r>
      <w:r>
        <w:rPr>
          <w:rFonts w:ascii="Arial" w:hAnsi="Arial" w:cs="Arial"/>
          <w:sz w:val="18"/>
          <w:szCs w:val="18"/>
        </w:rPr>
        <w:t>,</w:t>
      </w:r>
      <w:r w:rsidR="00A96C1F">
        <w:rPr>
          <w:rFonts w:ascii="Arial" w:hAnsi="Arial" w:cs="Arial"/>
          <w:sz w:val="18"/>
          <w:szCs w:val="18"/>
        </w:rPr>
        <w:t>420</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sidR="009A28E2">
        <w:rPr>
          <w:rFonts w:ascii="Arial" w:hAnsi="Arial" w:cs="Arial"/>
          <w:sz w:val="18"/>
          <w:szCs w:val="18"/>
        </w:rPr>
        <w:t>, registrando una disminución del 6.2% respecto al mismo periodo de 2019</w:t>
      </w:r>
      <w:r w:rsidRPr="001528B7">
        <w:rPr>
          <w:rFonts w:ascii="Arial" w:hAnsi="Arial" w:cs="Arial"/>
          <w:sz w:val="18"/>
          <w:szCs w:val="18"/>
        </w:rPr>
        <w:t>.</w:t>
      </w:r>
    </w:p>
    <w:p w:rsidR="00332091" w:rsidRDefault="00332091"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297D52">
        <w:rPr>
          <w:rFonts w:ascii="Arial" w:hAnsi="Arial" w:cs="Arial"/>
          <w:sz w:val="18"/>
          <w:szCs w:val="18"/>
          <w:lang w:val="es-ES"/>
        </w:rPr>
        <w:t>terce</w:t>
      </w:r>
      <w:r w:rsidR="00C735F9">
        <w:rPr>
          <w:rFonts w:ascii="Arial" w:hAnsi="Arial" w:cs="Arial"/>
          <w:sz w:val="18"/>
          <w:szCs w:val="18"/>
          <w:lang w:val="es-ES"/>
        </w:rPr>
        <w:t>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20</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297D52">
        <w:rPr>
          <w:rFonts w:ascii="Arial" w:hAnsi="Arial" w:cs="Arial"/>
          <w:sz w:val="18"/>
          <w:szCs w:val="18"/>
        </w:rPr>
        <w:t>16</w:t>
      </w:r>
      <w:r>
        <w:rPr>
          <w:rFonts w:ascii="Arial" w:hAnsi="Arial" w:cs="Arial"/>
          <w:sz w:val="18"/>
          <w:szCs w:val="18"/>
        </w:rPr>
        <w:t>,</w:t>
      </w:r>
      <w:r w:rsidR="00297D52">
        <w:rPr>
          <w:rFonts w:ascii="Arial" w:hAnsi="Arial" w:cs="Arial"/>
          <w:sz w:val="18"/>
          <w:szCs w:val="18"/>
        </w:rPr>
        <w:t>988</w:t>
      </w:r>
      <w:r>
        <w:rPr>
          <w:rFonts w:ascii="Arial" w:hAnsi="Arial" w:cs="Arial"/>
          <w:sz w:val="18"/>
          <w:szCs w:val="18"/>
        </w:rPr>
        <w:t>,</w:t>
      </w:r>
      <w:r w:rsidR="00297D52">
        <w:rPr>
          <w:rFonts w:ascii="Arial" w:hAnsi="Arial" w:cs="Arial"/>
          <w:sz w:val="18"/>
          <w:szCs w:val="18"/>
        </w:rPr>
        <w:t>920</w:t>
      </w:r>
      <w:r>
        <w:rPr>
          <w:rFonts w:ascii="Arial" w:hAnsi="Arial" w:cs="Arial"/>
          <w:sz w:val="18"/>
          <w:szCs w:val="18"/>
        </w:rPr>
        <w:t>,</w:t>
      </w:r>
      <w:r w:rsidR="00297D52">
        <w:rPr>
          <w:rFonts w:ascii="Arial" w:hAnsi="Arial" w:cs="Arial"/>
          <w:sz w:val="18"/>
          <w:szCs w:val="18"/>
        </w:rPr>
        <w:t>032</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297D52">
        <w:rPr>
          <w:rFonts w:ascii="Arial" w:hAnsi="Arial" w:cs="Arial"/>
          <w:sz w:val="18"/>
          <w:szCs w:val="18"/>
        </w:rPr>
        <w:t>1</w:t>
      </w:r>
      <w:r w:rsidR="00C735F9">
        <w:rPr>
          <w:rFonts w:ascii="Arial" w:hAnsi="Arial" w:cs="Arial"/>
          <w:sz w:val="18"/>
          <w:szCs w:val="18"/>
        </w:rPr>
        <w:t>4</w:t>
      </w:r>
      <w:r>
        <w:rPr>
          <w:rFonts w:ascii="Arial" w:hAnsi="Arial" w:cs="Arial"/>
          <w:sz w:val="18"/>
          <w:szCs w:val="18"/>
        </w:rPr>
        <w:t>,</w:t>
      </w:r>
      <w:r w:rsidR="00297D52">
        <w:rPr>
          <w:rFonts w:ascii="Arial" w:hAnsi="Arial" w:cs="Arial"/>
          <w:sz w:val="18"/>
          <w:szCs w:val="18"/>
        </w:rPr>
        <w:t>736</w:t>
      </w:r>
      <w:r>
        <w:rPr>
          <w:rFonts w:ascii="Arial" w:hAnsi="Arial" w:cs="Arial"/>
          <w:sz w:val="18"/>
          <w:szCs w:val="18"/>
        </w:rPr>
        <w:t>,</w:t>
      </w:r>
      <w:r w:rsidR="00297D52">
        <w:rPr>
          <w:rFonts w:ascii="Arial" w:hAnsi="Arial" w:cs="Arial"/>
          <w:sz w:val="18"/>
          <w:szCs w:val="18"/>
        </w:rPr>
        <w:t>363</w:t>
      </w:r>
      <w:r>
        <w:rPr>
          <w:rFonts w:ascii="Arial" w:hAnsi="Arial" w:cs="Arial"/>
          <w:sz w:val="18"/>
          <w:szCs w:val="18"/>
        </w:rPr>
        <w:t>,</w:t>
      </w:r>
      <w:r w:rsidR="00C735F9">
        <w:rPr>
          <w:rFonts w:ascii="Arial" w:hAnsi="Arial" w:cs="Arial"/>
          <w:sz w:val="18"/>
          <w:szCs w:val="18"/>
        </w:rPr>
        <w:t>31</w:t>
      </w:r>
      <w:r w:rsidR="00297D52">
        <w:rPr>
          <w:rFonts w:ascii="Arial" w:hAnsi="Arial" w:cs="Arial"/>
          <w:sz w:val="18"/>
          <w:szCs w:val="18"/>
        </w:rPr>
        <w:t>9</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297D52">
        <w:rPr>
          <w:rFonts w:ascii="Arial" w:hAnsi="Arial" w:cs="Arial"/>
          <w:sz w:val="18"/>
          <w:szCs w:val="18"/>
        </w:rPr>
        <w:t>2</w:t>
      </w:r>
      <w:r>
        <w:rPr>
          <w:rFonts w:ascii="Arial" w:hAnsi="Arial" w:cs="Arial"/>
          <w:sz w:val="18"/>
          <w:szCs w:val="18"/>
        </w:rPr>
        <w:t>,</w:t>
      </w:r>
      <w:r w:rsidR="00297D52">
        <w:rPr>
          <w:rFonts w:ascii="Arial" w:hAnsi="Arial" w:cs="Arial"/>
          <w:sz w:val="18"/>
          <w:szCs w:val="18"/>
        </w:rPr>
        <w:t>25</w:t>
      </w:r>
      <w:r w:rsidR="00C735F9">
        <w:rPr>
          <w:rFonts w:ascii="Arial" w:hAnsi="Arial" w:cs="Arial"/>
          <w:sz w:val="18"/>
          <w:szCs w:val="18"/>
        </w:rPr>
        <w:t>2</w:t>
      </w:r>
      <w:r>
        <w:rPr>
          <w:rFonts w:ascii="Arial" w:hAnsi="Arial" w:cs="Arial"/>
          <w:sz w:val="18"/>
          <w:szCs w:val="18"/>
        </w:rPr>
        <w:t>,</w:t>
      </w:r>
      <w:r w:rsidR="00297D52">
        <w:rPr>
          <w:rFonts w:ascii="Arial" w:hAnsi="Arial" w:cs="Arial"/>
          <w:sz w:val="18"/>
          <w:szCs w:val="18"/>
        </w:rPr>
        <w:t>556</w:t>
      </w:r>
      <w:r>
        <w:rPr>
          <w:rFonts w:ascii="Arial" w:hAnsi="Arial" w:cs="Arial"/>
          <w:sz w:val="18"/>
          <w:szCs w:val="18"/>
        </w:rPr>
        <w:t>,</w:t>
      </w:r>
      <w:r w:rsidR="00297D52">
        <w:rPr>
          <w:rFonts w:ascii="Arial" w:hAnsi="Arial" w:cs="Arial"/>
          <w:sz w:val="18"/>
          <w:szCs w:val="18"/>
        </w:rPr>
        <w:t>713</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9A28E2">
        <w:rPr>
          <w:rFonts w:ascii="Arial" w:hAnsi="Arial" w:cs="Arial"/>
          <w:sz w:val="18"/>
          <w:szCs w:val="18"/>
        </w:rPr>
        <w:t>, menor en un 6% respecto a 2019</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297D52">
        <w:rPr>
          <w:rFonts w:ascii="Arial" w:hAnsi="Arial" w:cs="Arial"/>
          <w:sz w:val="18"/>
          <w:szCs w:val="18"/>
        </w:rPr>
        <w:t xml:space="preserve">septiembre </w:t>
      </w:r>
      <w:r>
        <w:rPr>
          <w:rFonts w:ascii="Arial" w:hAnsi="Arial" w:cs="Arial"/>
          <w:sz w:val="18"/>
          <w:szCs w:val="18"/>
        </w:rPr>
        <w:t>de 20</w:t>
      </w:r>
      <w:r w:rsidR="00C735F9">
        <w:rPr>
          <w:rFonts w:ascii="Arial" w:hAnsi="Arial" w:cs="Arial"/>
          <w:sz w:val="18"/>
          <w:szCs w:val="18"/>
        </w:rPr>
        <w:t>20</w:t>
      </w:r>
      <w:r w:rsidRPr="0073056A">
        <w:rPr>
          <w:rFonts w:ascii="Arial" w:hAnsi="Arial" w:cs="Arial"/>
          <w:sz w:val="18"/>
          <w:szCs w:val="18"/>
        </w:rPr>
        <w:t xml:space="preserve"> se recaudó la cantidad de $</w:t>
      </w:r>
      <w:r>
        <w:rPr>
          <w:rFonts w:ascii="Arial" w:hAnsi="Arial" w:cs="Arial"/>
          <w:sz w:val="18"/>
          <w:szCs w:val="18"/>
        </w:rPr>
        <w:t xml:space="preserve"> </w:t>
      </w:r>
      <w:r w:rsidR="00297D52">
        <w:rPr>
          <w:rFonts w:ascii="Arial" w:hAnsi="Arial" w:cs="Arial"/>
          <w:sz w:val="18"/>
          <w:szCs w:val="18"/>
        </w:rPr>
        <w:t>42</w:t>
      </w:r>
      <w:r w:rsidR="00C735F9">
        <w:rPr>
          <w:rFonts w:ascii="Arial" w:hAnsi="Arial" w:cs="Arial"/>
          <w:sz w:val="18"/>
          <w:szCs w:val="18"/>
        </w:rPr>
        <w:t>1</w:t>
      </w:r>
      <w:r>
        <w:rPr>
          <w:rFonts w:ascii="Arial" w:hAnsi="Arial" w:cs="Arial"/>
          <w:sz w:val="18"/>
          <w:szCs w:val="18"/>
        </w:rPr>
        <w:t>,</w:t>
      </w:r>
      <w:r w:rsidR="00297D52">
        <w:rPr>
          <w:rFonts w:ascii="Arial" w:hAnsi="Arial" w:cs="Arial"/>
          <w:sz w:val="18"/>
          <w:szCs w:val="18"/>
        </w:rPr>
        <w:t>518</w:t>
      </w:r>
      <w:r>
        <w:rPr>
          <w:rFonts w:ascii="Arial" w:hAnsi="Arial" w:cs="Arial"/>
          <w:sz w:val="18"/>
          <w:szCs w:val="18"/>
        </w:rPr>
        <w:t>,</w:t>
      </w:r>
      <w:r w:rsidR="00297D52">
        <w:rPr>
          <w:rFonts w:ascii="Arial" w:hAnsi="Arial" w:cs="Arial"/>
          <w:sz w:val="18"/>
          <w:szCs w:val="18"/>
        </w:rPr>
        <w:t>252</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EC2DFD">
        <w:rPr>
          <w:rFonts w:ascii="Arial" w:hAnsi="Arial" w:cs="Arial"/>
          <w:sz w:val="18"/>
          <w:szCs w:val="18"/>
        </w:rPr>
        <w:t>401</w:t>
      </w:r>
      <w:r w:rsidR="00E004F0">
        <w:rPr>
          <w:rFonts w:ascii="Arial" w:hAnsi="Arial" w:cs="Arial"/>
          <w:sz w:val="18"/>
          <w:szCs w:val="18"/>
        </w:rPr>
        <w:t>,</w:t>
      </w:r>
      <w:r w:rsidR="00EC2DFD">
        <w:rPr>
          <w:rFonts w:ascii="Arial" w:hAnsi="Arial" w:cs="Arial"/>
          <w:sz w:val="18"/>
          <w:szCs w:val="18"/>
        </w:rPr>
        <w:t>304</w:t>
      </w:r>
      <w:r>
        <w:rPr>
          <w:rFonts w:ascii="Arial" w:hAnsi="Arial" w:cs="Arial"/>
          <w:sz w:val="18"/>
          <w:szCs w:val="18"/>
        </w:rPr>
        <w:t>,</w:t>
      </w:r>
      <w:r w:rsidR="00EC2DFD">
        <w:rPr>
          <w:rFonts w:ascii="Arial" w:hAnsi="Arial" w:cs="Arial"/>
          <w:sz w:val="18"/>
          <w:szCs w:val="18"/>
        </w:rPr>
        <w:t>948</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EC2DFD">
        <w:rPr>
          <w:rFonts w:ascii="Arial" w:hAnsi="Arial" w:cs="Arial"/>
          <w:sz w:val="18"/>
          <w:szCs w:val="18"/>
        </w:rPr>
        <w:t>5</w:t>
      </w:r>
      <w:r>
        <w:rPr>
          <w:rFonts w:ascii="Arial" w:hAnsi="Arial" w:cs="Arial"/>
          <w:sz w:val="18"/>
          <w:szCs w:val="18"/>
        </w:rPr>
        <w:t>,</w:t>
      </w:r>
      <w:r w:rsidR="00C735F9">
        <w:rPr>
          <w:rFonts w:ascii="Arial" w:hAnsi="Arial" w:cs="Arial"/>
          <w:sz w:val="18"/>
          <w:szCs w:val="18"/>
        </w:rPr>
        <w:t>5</w:t>
      </w:r>
      <w:r w:rsidR="00EC2DFD">
        <w:rPr>
          <w:rFonts w:ascii="Arial" w:hAnsi="Arial" w:cs="Arial"/>
          <w:sz w:val="18"/>
          <w:szCs w:val="18"/>
        </w:rPr>
        <w:t>64</w:t>
      </w:r>
      <w:r>
        <w:rPr>
          <w:rFonts w:ascii="Arial" w:hAnsi="Arial" w:cs="Arial"/>
          <w:sz w:val="18"/>
          <w:szCs w:val="18"/>
        </w:rPr>
        <w:t>,</w:t>
      </w:r>
      <w:r w:rsidR="00EC2DFD">
        <w:rPr>
          <w:rFonts w:ascii="Arial" w:hAnsi="Arial" w:cs="Arial"/>
          <w:sz w:val="18"/>
          <w:szCs w:val="18"/>
        </w:rPr>
        <w:t>795</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735F9">
        <w:rPr>
          <w:rFonts w:ascii="Arial" w:hAnsi="Arial" w:cs="Arial"/>
          <w:sz w:val="18"/>
          <w:szCs w:val="18"/>
        </w:rPr>
        <w:t>1</w:t>
      </w:r>
      <w:r>
        <w:rPr>
          <w:rFonts w:ascii="Arial" w:hAnsi="Arial" w:cs="Arial"/>
          <w:sz w:val="18"/>
          <w:szCs w:val="18"/>
        </w:rPr>
        <w:t>,</w:t>
      </w:r>
      <w:r w:rsidR="00EC2DFD">
        <w:rPr>
          <w:rFonts w:ascii="Arial" w:hAnsi="Arial" w:cs="Arial"/>
          <w:sz w:val="18"/>
          <w:szCs w:val="18"/>
        </w:rPr>
        <w:t>769</w:t>
      </w:r>
      <w:r>
        <w:rPr>
          <w:rFonts w:ascii="Arial" w:hAnsi="Arial" w:cs="Arial"/>
          <w:sz w:val="18"/>
          <w:szCs w:val="18"/>
        </w:rPr>
        <w:t>,</w:t>
      </w:r>
      <w:r w:rsidR="00EC2DFD">
        <w:rPr>
          <w:rFonts w:ascii="Arial" w:hAnsi="Arial" w:cs="Arial"/>
          <w:sz w:val="18"/>
          <w:szCs w:val="18"/>
        </w:rPr>
        <w:t>146</w:t>
      </w:r>
      <w:r w:rsidR="00F37896">
        <w:rPr>
          <w:rFonts w:ascii="Arial" w:hAnsi="Arial" w:cs="Arial"/>
          <w:sz w:val="18"/>
          <w:szCs w:val="18"/>
        </w:rPr>
        <w:t>, registrando un incremento del 1.3% en el total de impuestos, respecto al mismo periodo de 2019.</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297D52">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297D52">
        <w:rPr>
          <w:rFonts w:ascii="Arial" w:hAnsi="Arial" w:cs="Arial"/>
          <w:sz w:val="18"/>
          <w:szCs w:val="18"/>
        </w:rPr>
        <w:t>252</w:t>
      </w:r>
      <w:r>
        <w:rPr>
          <w:rFonts w:ascii="Arial" w:hAnsi="Arial" w:cs="Arial"/>
          <w:sz w:val="18"/>
          <w:szCs w:val="18"/>
        </w:rPr>
        <w:t>,</w:t>
      </w:r>
      <w:r w:rsidR="00297D52">
        <w:rPr>
          <w:rFonts w:ascii="Arial" w:hAnsi="Arial" w:cs="Arial"/>
          <w:sz w:val="18"/>
          <w:szCs w:val="18"/>
        </w:rPr>
        <w:t>23</w:t>
      </w:r>
      <w:r w:rsidR="00043D1E">
        <w:rPr>
          <w:rFonts w:ascii="Arial" w:hAnsi="Arial" w:cs="Arial"/>
          <w:sz w:val="18"/>
          <w:szCs w:val="18"/>
        </w:rPr>
        <w:t>1</w:t>
      </w:r>
      <w:r>
        <w:rPr>
          <w:rFonts w:ascii="Arial" w:hAnsi="Arial" w:cs="Arial"/>
          <w:sz w:val="18"/>
          <w:szCs w:val="18"/>
        </w:rPr>
        <w:t>,</w:t>
      </w:r>
      <w:r w:rsidR="00297D52">
        <w:rPr>
          <w:rFonts w:ascii="Arial" w:hAnsi="Arial" w:cs="Arial"/>
          <w:sz w:val="18"/>
          <w:szCs w:val="18"/>
        </w:rPr>
        <w:t>568</w:t>
      </w:r>
      <w:r w:rsidR="00F37896">
        <w:rPr>
          <w:rFonts w:ascii="Arial" w:hAnsi="Arial" w:cs="Arial"/>
          <w:sz w:val="18"/>
          <w:szCs w:val="18"/>
        </w:rPr>
        <w:t>, observando una disminución del 22.8% respecto al mismo periodo de 2019</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297D52">
        <w:rPr>
          <w:rFonts w:ascii="Arial" w:hAnsi="Arial" w:cs="Arial"/>
          <w:sz w:val="18"/>
          <w:szCs w:val="18"/>
        </w:rPr>
        <w:t>septiembre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297D52">
        <w:rPr>
          <w:rFonts w:ascii="Arial" w:hAnsi="Arial" w:cs="Arial"/>
          <w:sz w:val="18"/>
          <w:szCs w:val="18"/>
        </w:rPr>
        <w:t>151</w:t>
      </w:r>
      <w:r w:rsidRPr="00502DDD">
        <w:rPr>
          <w:rFonts w:ascii="Arial" w:hAnsi="Arial" w:cs="Arial"/>
          <w:sz w:val="18"/>
          <w:szCs w:val="18"/>
        </w:rPr>
        <w:t>,</w:t>
      </w:r>
      <w:r w:rsidR="00297D52">
        <w:rPr>
          <w:rFonts w:ascii="Arial" w:hAnsi="Arial" w:cs="Arial"/>
          <w:sz w:val="18"/>
          <w:szCs w:val="18"/>
        </w:rPr>
        <w:t>880</w:t>
      </w:r>
      <w:r w:rsidRPr="00502DDD">
        <w:rPr>
          <w:rFonts w:ascii="Arial" w:hAnsi="Arial" w:cs="Arial"/>
          <w:sz w:val="18"/>
          <w:szCs w:val="18"/>
        </w:rPr>
        <w:t>,</w:t>
      </w:r>
      <w:r w:rsidR="00297D52">
        <w:rPr>
          <w:rFonts w:ascii="Arial" w:hAnsi="Arial" w:cs="Arial"/>
          <w:sz w:val="18"/>
          <w:szCs w:val="18"/>
        </w:rPr>
        <w:t>824</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A9478F">
        <w:rPr>
          <w:rFonts w:ascii="Arial" w:hAnsi="Arial" w:cs="Arial"/>
          <w:sz w:val="18"/>
          <w:szCs w:val="18"/>
        </w:rPr>
        <w:t>pios, presentando una disminución del 36.3% respecto al mismo trimestre de 2019.</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6B4727">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20</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6B4727">
        <w:rPr>
          <w:rFonts w:ascii="Arial" w:hAnsi="Arial" w:cs="Arial"/>
          <w:sz w:val="18"/>
          <w:szCs w:val="18"/>
        </w:rPr>
        <w:t>717</w:t>
      </w:r>
      <w:r>
        <w:rPr>
          <w:rFonts w:ascii="Arial" w:hAnsi="Arial" w:cs="Arial"/>
          <w:sz w:val="18"/>
          <w:szCs w:val="18"/>
        </w:rPr>
        <w:t>,</w:t>
      </w:r>
      <w:r w:rsidR="006B4727">
        <w:rPr>
          <w:rFonts w:ascii="Arial" w:hAnsi="Arial" w:cs="Arial"/>
          <w:sz w:val="18"/>
          <w:szCs w:val="18"/>
        </w:rPr>
        <w:t>824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00A9478F">
        <w:rPr>
          <w:rFonts w:ascii="Arial" w:hAnsi="Arial" w:cs="Arial"/>
          <w:sz w:val="18"/>
          <w:szCs w:val="18"/>
        </w:rPr>
        <w:t xml:space="preserve">, registrando una disminución del 74.5% </w:t>
      </w:r>
      <w:r w:rsidR="004A3F31">
        <w:rPr>
          <w:rFonts w:ascii="Arial" w:hAnsi="Arial" w:cs="Arial"/>
          <w:sz w:val="18"/>
          <w:szCs w:val="18"/>
        </w:rPr>
        <w:t>respecto del ejercicio 2019 en el mismo trimestre.</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6B4727">
        <w:rPr>
          <w:rFonts w:ascii="Arial" w:hAnsi="Arial" w:cs="Arial"/>
          <w:sz w:val="18"/>
          <w:szCs w:val="18"/>
        </w:rPr>
        <w:t>95</w:t>
      </w:r>
      <w:r>
        <w:rPr>
          <w:rFonts w:ascii="Arial" w:hAnsi="Arial" w:cs="Arial"/>
          <w:sz w:val="18"/>
          <w:szCs w:val="18"/>
        </w:rPr>
        <w:t>,</w:t>
      </w:r>
      <w:r w:rsidR="00EE3D4E">
        <w:rPr>
          <w:rFonts w:ascii="Arial" w:hAnsi="Arial" w:cs="Arial"/>
          <w:sz w:val="18"/>
          <w:szCs w:val="18"/>
        </w:rPr>
        <w:t>2</w:t>
      </w:r>
      <w:r w:rsidR="000D0EE3">
        <w:rPr>
          <w:rFonts w:ascii="Arial" w:hAnsi="Arial" w:cs="Arial"/>
          <w:sz w:val="18"/>
          <w:szCs w:val="18"/>
        </w:rPr>
        <w:t>8</w:t>
      </w:r>
      <w:r w:rsidR="006B4727">
        <w:rPr>
          <w:rFonts w:ascii="Arial" w:hAnsi="Arial" w:cs="Arial"/>
          <w:sz w:val="18"/>
          <w:szCs w:val="18"/>
        </w:rPr>
        <w:t>1</w:t>
      </w:r>
      <w:r>
        <w:rPr>
          <w:rFonts w:ascii="Arial" w:hAnsi="Arial" w:cs="Arial"/>
          <w:sz w:val="18"/>
          <w:szCs w:val="18"/>
        </w:rPr>
        <w:t>,</w:t>
      </w:r>
      <w:r w:rsidR="006B4727">
        <w:rPr>
          <w:rFonts w:ascii="Arial" w:hAnsi="Arial" w:cs="Arial"/>
          <w:sz w:val="18"/>
          <w:szCs w:val="18"/>
        </w:rPr>
        <w:t>043</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4A3F31">
        <w:rPr>
          <w:rFonts w:ascii="Arial" w:hAnsi="Arial" w:cs="Arial"/>
          <w:sz w:val="18"/>
          <w:szCs w:val="18"/>
        </w:rPr>
        <w:t>, observándose una disminución del 21.8% respecto del mismo trimestre de 2019</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w:t>
      </w:r>
      <w:r>
        <w:rPr>
          <w:rFonts w:ascii="Arial" w:hAnsi="Arial" w:cs="Arial"/>
          <w:sz w:val="18"/>
          <w:szCs w:val="18"/>
        </w:rPr>
        <w:lastRenderedPageBreak/>
        <w:t xml:space="preserve">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6B4727">
        <w:rPr>
          <w:rFonts w:ascii="Arial" w:hAnsi="Arial" w:cs="Arial"/>
          <w:sz w:val="18"/>
          <w:szCs w:val="18"/>
        </w:rPr>
        <w:t>16</w:t>
      </w:r>
      <w:r>
        <w:rPr>
          <w:rFonts w:ascii="Arial" w:hAnsi="Arial" w:cs="Arial"/>
          <w:sz w:val="18"/>
          <w:szCs w:val="18"/>
        </w:rPr>
        <w:t>,</w:t>
      </w:r>
      <w:r w:rsidR="006B4727">
        <w:rPr>
          <w:rFonts w:ascii="Arial" w:hAnsi="Arial" w:cs="Arial"/>
          <w:sz w:val="18"/>
          <w:szCs w:val="18"/>
        </w:rPr>
        <w:t>067</w:t>
      </w:r>
      <w:r>
        <w:rPr>
          <w:rFonts w:ascii="Arial" w:hAnsi="Arial" w:cs="Arial"/>
          <w:sz w:val="18"/>
          <w:szCs w:val="18"/>
        </w:rPr>
        <w:t>,</w:t>
      </w:r>
      <w:r w:rsidR="006B4727">
        <w:rPr>
          <w:rFonts w:ascii="Arial" w:hAnsi="Arial" w:cs="Arial"/>
          <w:sz w:val="18"/>
          <w:szCs w:val="18"/>
        </w:rPr>
        <w:t>290</w:t>
      </w:r>
      <w:r>
        <w:rPr>
          <w:rFonts w:ascii="Arial" w:hAnsi="Arial" w:cs="Arial"/>
          <w:sz w:val="18"/>
          <w:szCs w:val="18"/>
        </w:rPr>
        <w:t>,</w:t>
      </w:r>
      <w:r w:rsidR="006B4727">
        <w:rPr>
          <w:rFonts w:ascii="Arial" w:hAnsi="Arial" w:cs="Arial"/>
          <w:sz w:val="18"/>
          <w:szCs w:val="18"/>
        </w:rPr>
        <w:t>521</w:t>
      </w:r>
      <w:r>
        <w:rPr>
          <w:rFonts w:ascii="Arial" w:hAnsi="Arial" w:cs="Arial"/>
          <w:sz w:val="18"/>
          <w:szCs w:val="18"/>
        </w:rPr>
        <w:t xml:space="preserve"> al mes de </w:t>
      </w:r>
      <w:r w:rsidR="006B4727">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20</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00405915">
        <w:rPr>
          <w:rFonts w:ascii="Arial" w:hAnsi="Arial" w:cs="Arial"/>
          <w:sz w:val="18"/>
          <w:szCs w:val="18"/>
        </w:rPr>
        <w:t>, este rubro respecto al mismo trimestre de 2019 presenta un incremento del 4.2%</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EC2DFD">
        <w:rPr>
          <w:rFonts w:ascii="Arial" w:hAnsi="Arial" w:cs="Arial"/>
          <w:sz w:val="18"/>
          <w:szCs w:val="18"/>
        </w:rPr>
        <w:t>7</w:t>
      </w:r>
      <w:r>
        <w:rPr>
          <w:rFonts w:ascii="Arial" w:hAnsi="Arial" w:cs="Arial"/>
          <w:sz w:val="18"/>
          <w:szCs w:val="18"/>
        </w:rPr>
        <w:t>,</w:t>
      </w:r>
      <w:r w:rsidR="00EC2DFD">
        <w:rPr>
          <w:rFonts w:ascii="Arial" w:hAnsi="Arial" w:cs="Arial"/>
          <w:sz w:val="18"/>
          <w:szCs w:val="18"/>
        </w:rPr>
        <w:t>150</w:t>
      </w:r>
      <w:r>
        <w:rPr>
          <w:rFonts w:ascii="Arial" w:hAnsi="Arial" w:cs="Arial"/>
          <w:sz w:val="18"/>
          <w:szCs w:val="18"/>
        </w:rPr>
        <w:t>,</w:t>
      </w:r>
      <w:r w:rsidR="00EC2DFD">
        <w:rPr>
          <w:rFonts w:ascii="Arial" w:hAnsi="Arial" w:cs="Arial"/>
          <w:sz w:val="18"/>
          <w:szCs w:val="18"/>
        </w:rPr>
        <w:t>095</w:t>
      </w:r>
      <w:r>
        <w:rPr>
          <w:rFonts w:ascii="Arial" w:hAnsi="Arial" w:cs="Arial"/>
          <w:sz w:val="18"/>
          <w:szCs w:val="18"/>
        </w:rPr>
        <w:t>,</w:t>
      </w:r>
      <w:r w:rsidR="00B27A40">
        <w:rPr>
          <w:rFonts w:ascii="Arial" w:hAnsi="Arial" w:cs="Arial"/>
          <w:sz w:val="18"/>
          <w:szCs w:val="18"/>
        </w:rPr>
        <w:t>8</w:t>
      </w:r>
      <w:r w:rsidR="00EC2DFD">
        <w:rPr>
          <w:rFonts w:ascii="Arial" w:hAnsi="Arial" w:cs="Arial"/>
          <w:sz w:val="18"/>
          <w:szCs w:val="18"/>
        </w:rPr>
        <w:t>66</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74</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6F5412">
        <w:rPr>
          <w:rFonts w:ascii="Arial" w:hAnsi="Arial" w:cs="Arial"/>
          <w:sz w:val="18"/>
          <w:szCs w:val="18"/>
        </w:rPr>
        <w:t>septiembre</w:t>
      </w:r>
      <w:r>
        <w:rPr>
          <w:rFonts w:ascii="Arial" w:hAnsi="Arial" w:cs="Arial"/>
          <w:sz w:val="18"/>
          <w:szCs w:val="18"/>
        </w:rPr>
        <w:t xml:space="preserve"> de 20</w:t>
      </w:r>
      <w:r w:rsidR="00B27A40">
        <w:rPr>
          <w:rFonts w:ascii="Arial" w:hAnsi="Arial" w:cs="Arial"/>
          <w:sz w:val="18"/>
          <w:szCs w:val="18"/>
        </w:rPr>
        <w:t>20</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3</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111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988,57</w:t>
            </w:r>
            <w:r w:rsidR="00B27A40">
              <w:rPr>
                <w:rFonts w:ascii="Arial" w:eastAsia="Times New Roman" w:hAnsi="Arial" w:cs="Arial"/>
                <w:color w:val="000000"/>
                <w:sz w:val="18"/>
                <w:szCs w:val="18"/>
                <w:lang w:eastAsia="es-MX"/>
              </w:rPr>
              <w:t>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7D316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w:t>
            </w:r>
            <w:r w:rsidR="00E828C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1,300</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694</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2</w:t>
            </w:r>
            <w:r w:rsidR="00A07E0D">
              <w:rPr>
                <w:rFonts w:ascii="Arial" w:eastAsia="Times New Roman" w:hAnsi="Arial" w:cs="Arial"/>
                <w:color w:val="000000"/>
                <w:sz w:val="18"/>
                <w:szCs w:val="18"/>
                <w:lang w:eastAsia="es-MX"/>
              </w:rPr>
              <w:t>92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7D316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w:t>
            </w:r>
            <w:r w:rsidR="0091566D">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99</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306</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279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D3166">
              <w:rPr>
                <w:rFonts w:ascii="Arial" w:eastAsia="Times New Roman" w:hAnsi="Arial" w:cs="Arial"/>
                <w:color w:val="000000"/>
                <w:sz w:val="18"/>
                <w:szCs w:val="18"/>
                <w:lang w:eastAsia="es-MX"/>
              </w:rPr>
              <w:t>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71</w:t>
            </w:r>
            <w:r w:rsidR="00B27A40">
              <w:rPr>
                <w:rFonts w:ascii="Arial" w:eastAsia="Times New Roman" w:hAnsi="Arial" w:cs="Arial"/>
                <w:color w:val="000000"/>
                <w:sz w:val="18"/>
                <w:szCs w:val="18"/>
                <w:lang w:eastAsia="es-MX"/>
              </w:rPr>
              <w:t>9</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927</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316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D3166">
              <w:rPr>
                <w:rFonts w:ascii="Arial" w:eastAsia="Times New Roman" w:hAnsi="Arial" w:cs="Arial"/>
                <w:color w:val="000000"/>
                <w:sz w:val="18"/>
                <w:szCs w:val="18"/>
                <w:lang w:eastAsia="es-MX"/>
              </w:rPr>
              <w:t>0</w:t>
            </w:r>
            <w:r>
              <w:rPr>
                <w:rFonts w:ascii="Arial" w:eastAsia="Times New Roman" w:hAnsi="Arial" w:cs="Arial"/>
                <w:color w:val="000000"/>
                <w:sz w:val="18"/>
                <w:szCs w:val="18"/>
                <w:lang w:eastAsia="es-MX"/>
              </w:rPr>
              <w:t>.</w:t>
            </w:r>
            <w:r w:rsidR="007D3166">
              <w:rPr>
                <w:rFonts w:ascii="Arial" w:eastAsia="Times New Roman" w:hAnsi="Arial" w:cs="Arial"/>
                <w:color w:val="000000"/>
                <w:sz w:val="18"/>
                <w:szCs w:val="18"/>
                <w:lang w:eastAsia="es-MX"/>
              </w:rPr>
              <w:t>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687</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256</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326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D3166">
              <w:rPr>
                <w:rFonts w:ascii="Arial" w:eastAsia="Times New Roman" w:hAnsi="Arial" w:cs="Arial"/>
                <w:color w:val="000000"/>
                <w:sz w:val="18"/>
                <w:szCs w:val="18"/>
                <w:lang w:eastAsia="es-MX"/>
              </w:rPr>
              <w:t>0.0</w:t>
            </w:r>
          </w:p>
        </w:tc>
      </w:tr>
      <w:tr w:rsidR="00E828CB"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E828CB" w:rsidRPr="00AE0E84" w:rsidRDefault="00E828CB"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2</w:t>
            </w:r>
            <w:r>
              <w:rPr>
                <w:rFonts w:ascii="Arial" w:eastAsia="Times New Roman" w:hAnsi="Arial" w:cs="Arial"/>
                <w:color w:val="000000"/>
                <w:sz w:val="18"/>
                <w:szCs w:val="18"/>
                <w:lang w:eastAsia="es-MX"/>
              </w:rPr>
              <w:t>9</w:t>
            </w:r>
            <w:r w:rsidR="00A07E0D">
              <w:rPr>
                <w:rFonts w:ascii="Arial" w:eastAsia="Times New Roman" w:hAnsi="Arial" w:cs="Arial"/>
                <w:color w:val="000000"/>
                <w:sz w:val="18"/>
                <w:szCs w:val="18"/>
                <w:lang w:eastAsia="es-MX"/>
              </w:rPr>
              <w:t>5</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421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601</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7D316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91566D">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3</w:t>
            </w:r>
            <w:r w:rsidR="00E828CB">
              <w:rPr>
                <w:rFonts w:ascii="Arial" w:eastAsia="Times New Roman" w:hAnsi="Arial" w:cs="Arial"/>
                <w:color w:val="000000"/>
                <w:sz w:val="18"/>
                <w:szCs w:val="18"/>
                <w:lang w:eastAsia="es-MX"/>
              </w:rPr>
              <w:t>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192</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768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7D3166">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33</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658</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476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7D3166">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1</w:t>
            </w:r>
            <w:r w:rsidR="00E828CB">
              <w:rPr>
                <w:rFonts w:ascii="Arial" w:eastAsia="Times New Roman" w:hAnsi="Arial" w:cs="Arial"/>
                <w:color w:val="000000"/>
                <w:sz w:val="18"/>
                <w:szCs w:val="18"/>
                <w:lang w:eastAsia="es-MX"/>
              </w:rPr>
              <w:t>4</w:t>
            </w:r>
            <w:r w:rsidR="00A07E0D">
              <w:rPr>
                <w:rFonts w:ascii="Arial" w:eastAsia="Times New Roman" w:hAnsi="Arial" w:cs="Arial"/>
                <w:color w:val="000000"/>
                <w:sz w:val="18"/>
                <w:szCs w:val="18"/>
                <w:lang w:eastAsia="es-MX"/>
              </w:rPr>
              <w:t>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941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865</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7D3166">
              <w:rPr>
                <w:rFonts w:ascii="Arial" w:eastAsia="Times New Roman" w:hAnsi="Arial" w:cs="Arial"/>
                <w:color w:val="000000"/>
                <w:sz w:val="18"/>
                <w:szCs w:val="18"/>
                <w:lang w:eastAsia="es-MX"/>
              </w:rPr>
              <w:t>1</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480</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607</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407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7D3166"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91566D">
              <w:rPr>
                <w:rFonts w:ascii="Arial" w:eastAsia="Times New Roman" w:hAnsi="Arial" w:cs="Arial"/>
                <w:color w:val="000000"/>
                <w:sz w:val="18"/>
                <w:szCs w:val="18"/>
                <w:lang w:eastAsia="es-MX"/>
              </w:rPr>
              <w:t>.0</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7D3166">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7D3166">
              <w:rPr>
                <w:rFonts w:ascii="Calibri" w:eastAsia="Times New Roman" w:hAnsi="Calibri" w:cs="Calibri"/>
                <w:color w:val="000000"/>
                <w:lang w:eastAsia="es-MX"/>
              </w:rPr>
              <w:t>6</w:t>
            </w:r>
            <w:r w:rsidRPr="00AE0E84">
              <w:rPr>
                <w:rFonts w:ascii="Calibri" w:eastAsia="Times New Roman" w:hAnsi="Calibri" w:cs="Calibri"/>
                <w:color w:val="000000"/>
                <w:lang w:eastAsia="es-MX"/>
              </w:rPr>
              <w:t>,</w:t>
            </w:r>
            <w:r w:rsidR="0091566D">
              <w:rPr>
                <w:rFonts w:ascii="Calibri" w:eastAsia="Times New Roman" w:hAnsi="Calibri" w:cs="Calibri"/>
                <w:color w:val="000000"/>
                <w:lang w:eastAsia="es-MX"/>
              </w:rPr>
              <w:t>9</w:t>
            </w:r>
            <w:r w:rsidR="007D3166">
              <w:rPr>
                <w:rFonts w:ascii="Calibri" w:eastAsia="Times New Roman" w:hAnsi="Calibri" w:cs="Calibri"/>
                <w:color w:val="000000"/>
                <w:lang w:eastAsia="es-MX"/>
              </w:rPr>
              <w:t>01</w:t>
            </w:r>
            <w:r w:rsidRPr="00AE0E84">
              <w:rPr>
                <w:rFonts w:ascii="Calibri" w:eastAsia="Times New Roman" w:hAnsi="Calibri" w:cs="Calibri"/>
                <w:color w:val="000000"/>
                <w:lang w:eastAsia="es-MX"/>
              </w:rPr>
              <w:t>,</w:t>
            </w:r>
            <w:r w:rsidR="007D3166">
              <w:rPr>
                <w:rFonts w:ascii="Calibri" w:eastAsia="Times New Roman" w:hAnsi="Calibri" w:cs="Calibri"/>
                <w:color w:val="000000"/>
                <w:lang w:eastAsia="es-MX"/>
              </w:rPr>
              <w:t>994</w:t>
            </w:r>
            <w:r w:rsidRPr="00AE0E84">
              <w:rPr>
                <w:rFonts w:ascii="Calibri" w:eastAsia="Times New Roman" w:hAnsi="Calibri" w:cs="Calibri"/>
                <w:color w:val="000000"/>
                <w:lang w:eastAsia="es-MX"/>
              </w:rPr>
              <w:t>,</w:t>
            </w:r>
            <w:r w:rsidR="007D3166">
              <w:rPr>
                <w:rFonts w:ascii="Calibri" w:eastAsia="Times New Roman" w:hAnsi="Calibri" w:cs="Calibri"/>
                <w:color w:val="000000"/>
                <w:lang w:eastAsia="es-MX"/>
              </w:rPr>
              <w:t>909</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A07E0D">
        <w:rPr>
          <w:rFonts w:ascii="Arial" w:hAnsi="Arial" w:cs="Arial"/>
          <w:sz w:val="18"/>
          <w:szCs w:val="18"/>
        </w:rPr>
        <w:t>septiembre</w:t>
      </w:r>
      <w:r>
        <w:rPr>
          <w:rFonts w:ascii="Arial" w:hAnsi="Arial" w:cs="Arial"/>
          <w:sz w:val="18"/>
          <w:szCs w:val="18"/>
        </w:rPr>
        <w:t xml:space="preserve"> del ejercicio 20</w:t>
      </w:r>
      <w:r w:rsidR="0091566D">
        <w:rPr>
          <w:rFonts w:ascii="Arial" w:hAnsi="Arial" w:cs="Arial"/>
          <w:sz w:val="18"/>
          <w:szCs w:val="18"/>
        </w:rPr>
        <w:t>20</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A07E0D">
        <w:rPr>
          <w:rFonts w:ascii="Arial" w:hAnsi="Arial" w:cs="Arial"/>
          <w:sz w:val="18"/>
          <w:szCs w:val="18"/>
        </w:rPr>
        <w:t>2</w:t>
      </w:r>
      <w:r>
        <w:rPr>
          <w:rFonts w:ascii="Arial" w:hAnsi="Arial" w:cs="Arial"/>
          <w:sz w:val="18"/>
          <w:szCs w:val="18"/>
        </w:rPr>
        <w:t>,</w:t>
      </w:r>
      <w:r w:rsidR="00A07E0D">
        <w:rPr>
          <w:rFonts w:ascii="Arial" w:hAnsi="Arial" w:cs="Arial"/>
          <w:sz w:val="18"/>
          <w:szCs w:val="18"/>
        </w:rPr>
        <w:t>00</w:t>
      </w:r>
      <w:r w:rsidR="0091566D">
        <w:rPr>
          <w:rFonts w:ascii="Arial" w:hAnsi="Arial" w:cs="Arial"/>
          <w:sz w:val="18"/>
          <w:szCs w:val="18"/>
        </w:rPr>
        <w:t>1</w:t>
      </w:r>
      <w:r>
        <w:rPr>
          <w:rFonts w:ascii="Arial" w:hAnsi="Arial" w:cs="Arial"/>
          <w:sz w:val="18"/>
          <w:szCs w:val="18"/>
        </w:rPr>
        <w:t>,</w:t>
      </w:r>
      <w:r w:rsidR="00A07E0D">
        <w:rPr>
          <w:rFonts w:ascii="Arial" w:hAnsi="Arial" w:cs="Arial"/>
          <w:sz w:val="18"/>
          <w:szCs w:val="18"/>
        </w:rPr>
        <w:t>743</w:t>
      </w:r>
      <w:r w:rsidR="009F5E29">
        <w:rPr>
          <w:rFonts w:ascii="Arial" w:hAnsi="Arial" w:cs="Arial"/>
          <w:sz w:val="18"/>
          <w:szCs w:val="18"/>
        </w:rPr>
        <w:t>,</w:t>
      </w:r>
      <w:r w:rsidR="00A07E0D">
        <w:rPr>
          <w:rFonts w:ascii="Arial" w:hAnsi="Arial" w:cs="Arial"/>
          <w:sz w:val="18"/>
          <w:szCs w:val="18"/>
        </w:rPr>
        <w:t xml:space="preserve">813,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96B2A" w:rsidRDefault="00996B2A"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1A78A4">
        <w:rPr>
          <w:rFonts w:ascii="Arial" w:hAnsi="Arial" w:cs="Arial"/>
          <w:sz w:val="18"/>
          <w:szCs w:val="18"/>
        </w:rPr>
        <w:t>tercer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20</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1A78A4">
        <w:rPr>
          <w:rFonts w:ascii="Arial" w:hAnsi="Arial" w:cs="Arial"/>
          <w:sz w:val="18"/>
          <w:szCs w:val="18"/>
        </w:rPr>
        <w:t>septiembre</w:t>
      </w:r>
      <w:r w:rsidR="00134F21">
        <w:rPr>
          <w:rFonts w:ascii="Arial" w:hAnsi="Arial" w:cs="Arial"/>
          <w:sz w:val="18"/>
          <w:szCs w:val="18"/>
        </w:rPr>
        <w:t xml:space="preserve"> por este concepto un monto de $ </w:t>
      </w:r>
      <w:r w:rsidR="001A78A4">
        <w:rPr>
          <w:rFonts w:ascii="Arial" w:hAnsi="Arial" w:cs="Arial"/>
          <w:sz w:val="18"/>
          <w:szCs w:val="18"/>
        </w:rPr>
        <w:t>1,655</w:t>
      </w:r>
      <w:r w:rsidR="00134F21">
        <w:rPr>
          <w:rFonts w:ascii="Arial" w:hAnsi="Arial" w:cs="Arial"/>
          <w:sz w:val="18"/>
          <w:szCs w:val="18"/>
        </w:rPr>
        <w:t>,</w:t>
      </w:r>
      <w:r w:rsidR="001A78A4">
        <w:rPr>
          <w:rFonts w:ascii="Arial" w:hAnsi="Arial" w:cs="Arial"/>
          <w:sz w:val="18"/>
          <w:szCs w:val="18"/>
        </w:rPr>
        <w:t>404</w:t>
      </w:r>
      <w:r w:rsidR="00134F21">
        <w:rPr>
          <w:rFonts w:ascii="Arial" w:hAnsi="Arial" w:cs="Arial"/>
          <w:sz w:val="18"/>
          <w:szCs w:val="18"/>
        </w:rPr>
        <w:t>,</w:t>
      </w:r>
      <w:r w:rsidR="001A78A4">
        <w:rPr>
          <w:rFonts w:ascii="Arial" w:hAnsi="Arial" w:cs="Arial"/>
          <w:sz w:val="18"/>
          <w:szCs w:val="18"/>
        </w:rPr>
        <w:t>238</w:t>
      </w:r>
      <w:r w:rsidR="003E33EF">
        <w:rPr>
          <w:rFonts w:ascii="Arial" w:hAnsi="Arial" w:cs="Arial"/>
          <w:sz w:val="18"/>
          <w:szCs w:val="18"/>
        </w:rPr>
        <w:t>; en apego a lo estipulado en la Ley de Disciplina Financiera de las Entidades Federativas y los municipios</w:t>
      </w:r>
      <w:r w:rsidR="00405915">
        <w:rPr>
          <w:rFonts w:ascii="Arial" w:hAnsi="Arial" w:cs="Arial"/>
          <w:sz w:val="18"/>
          <w:szCs w:val="18"/>
        </w:rPr>
        <w:t xml:space="preserve">, observando un incremento del </w:t>
      </w:r>
      <w:r w:rsidR="007061A7">
        <w:rPr>
          <w:rFonts w:ascii="Arial" w:hAnsi="Arial" w:cs="Arial"/>
          <w:sz w:val="18"/>
          <w:szCs w:val="18"/>
        </w:rPr>
        <w:t>5.9% respecto al mismo trimestre de 2019</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1A78A4">
        <w:rPr>
          <w:rFonts w:ascii="Arial" w:hAnsi="Arial" w:cs="Arial"/>
          <w:sz w:val="18"/>
          <w:szCs w:val="18"/>
        </w:rPr>
        <w:t>123</w:t>
      </w:r>
      <w:r>
        <w:rPr>
          <w:rFonts w:ascii="Arial" w:hAnsi="Arial" w:cs="Arial"/>
          <w:sz w:val="18"/>
          <w:szCs w:val="18"/>
        </w:rPr>
        <w:t>,</w:t>
      </w:r>
      <w:r w:rsidR="001A78A4">
        <w:rPr>
          <w:rFonts w:ascii="Arial" w:hAnsi="Arial" w:cs="Arial"/>
          <w:sz w:val="18"/>
          <w:szCs w:val="18"/>
        </w:rPr>
        <w:t>624</w:t>
      </w:r>
      <w:r>
        <w:rPr>
          <w:rFonts w:ascii="Arial" w:hAnsi="Arial" w:cs="Arial"/>
          <w:sz w:val="18"/>
          <w:szCs w:val="18"/>
        </w:rPr>
        <w:t>,</w:t>
      </w:r>
      <w:r w:rsidR="001A78A4">
        <w:rPr>
          <w:rFonts w:ascii="Arial" w:hAnsi="Arial" w:cs="Arial"/>
          <w:sz w:val="18"/>
          <w:szCs w:val="18"/>
        </w:rPr>
        <w:t>027</w:t>
      </w:r>
      <w:r w:rsidR="007061A7">
        <w:rPr>
          <w:rFonts w:ascii="Arial" w:hAnsi="Arial" w:cs="Arial"/>
          <w:sz w:val="18"/>
          <w:szCs w:val="18"/>
        </w:rPr>
        <w:t>, presentando un incremento del 21.1% respecto del mismo trimestre de 2019</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1A78A4">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es de $ </w:t>
      </w:r>
      <w:r w:rsidR="001A78A4">
        <w:rPr>
          <w:rFonts w:ascii="Arial" w:hAnsi="Arial" w:cs="Arial"/>
          <w:sz w:val="18"/>
          <w:szCs w:val="18"/>
        </w:rPr>
        <w:t>107</w:t>
      </w:r>
      <w:r w:rsidR="00BA3B1D">
        <w:rPr>
          <w:rFonts w:ascii="Arial" w:hAnsi="Arial" w:cs="Arial"/>
          <w:sz w:val="18"/>
          <w:szCs w:val="18"/>
        </w:rPr>
        <w:t>,</w:t>
      </w:r>
      <w:r w:rsidR="001A78A4">
        <w:rPr>
          <w:rFonts w:ascii="Arial" w:hAnsi="Arial" w:cs="Arial"/>
          <w:sz w:val="18"/>
          <w:szCs w:val="18"/>
        </w:rPr>
        <w:t>840</w:t>
      </w:r>
      <w:r w:rsidR="00BA3B1D">
        <w:rPr>
          <w:rFonts w:ascii="Arial" w:hAnsi="Arial" w:cs="Arial"/>
          <w:sz w:val="18"/>
          <w:szCs w:val="18"/>
        </w:rPr>
        <w:t>,</w:t>
      </w:r>
      <w:r w:rsidR="001A78A4">
        <w:rPr>
          <w:rFonts w:ascii="Arial" w:hAnsi="Arial" w:cs="Arial"/>
          <w:sz w:val="18"/>
          <w:szCs w:val="18"/>
        </w:rPr>
        <w:t>959</w:t>
      </w:r>
      <w:r w:rsidR="007061A7">
        <w:rPr>
          <w:rFonts w:ascii="Arial" w:hAnsi="Arial" w:cs="Arial"/>
          <w:sz w:val="18"/>
          <w:szCs w:val="18"/>
        </w:rPr>
        <w:t>, presentando un incremento del 21.1% respecto del mismo trimestre de 2019</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1A78A4">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observan un monto de $ </w:t>
      </w:r>
      <w:r w:rsidR="001A78A4">
        <w:rPr>
          <w:rFonts w:ascii="Arial" w:hAnsi="Arial" w:cs="Arial"/>
          <w:sz w:val="18"/>
          <w:szCs w:val="18"/>
        </w:rPr>
        <w:t>9,303</w:t>
      </w:r>
      <w:r>
        <w:rPr>
          <w:rFonts w:ascii="Arial" w:hAnsi="Arial" w:cs="Arial"/>
          <w:sz w:val="18"/>
          <w:szCs w:val="18"/>
        </w:rPr>
        <w:t>,</w:t>
      </w:r>
      <w:r w:rsidR="001A78A4">
        <w:rPr>
          <w:rFonts w:ascii="Arial" w:hAnsi="Arial" w:cs="Arial"/>
          <w:sz w:val="18"/>
          <w:szCs w:val="18"/>
        </w:rPr>
        <w:t>289</w:t>
      </w:r>
      <w:r>
        <w:rPr>
          <w:rFonts w:ascii="Arial" w:hAnsi="Arial" w:cs="Arial"/>
          <w:sz w:val="18"/>
          <w:szCs w:val="18"/>
        </w:rPr>
        <w:t>,</w:t>
      </w:r>
      <w:r w:rsidR="001A78A4">
        <w:rPr>
          <w:rFonts w:ascii="Arial" w:hAnsi="Arial" w:cs="Arial"/>
          <w:sz w:val="18"/>
          <w:szCs w:val="18"/>
        </w:rPr>
        <w:t>910</w:t>
      </w:r>
      <w:r>
        <w:rPr>
          <w:rFonts w:ascii="Arial" w:hAnsi="Arial" w:cs="Arial"/>
          <w:sz w:val="18"/>
          <w:szCs w:val="18"/>
        </w:rPr>
        <w:t xml:space="preserve"> de los cuales los principales sectores que reciben estas asignaciones son el sector educativo al cual le corresponde el </w:t>
      </w:r>
      <w:r w:rsidR="00CB72A9">
        <w:rPr>
          <w:rFonts w:ascii="Arial" w:hAnsi="Arial" w:cs="Arial"/>
          <w:sz w:val="18"/>
          <w:szCs w:val="18"/>
        </w:rPr>
        <w:t>5</w:t>
      </w:r>
      <w:r w:rsidR="00742C34">
        <w:rPr>
          <w:rFonts w:ascii="Arial" w:hAnsi="Arial" w:cs="Arial"/>
          <w:sz w:val="18"/>
          <w:szCs w:val="18"/>
        </w:rPr>
        <w:t>7</w:t>
      </w:r>
      <w:r>
        <w:rPr>
          <w:rFonts w:ascii="Arial" w:hAnsi="Arial" w:cs="Arial"/>
          <w:sz w:val="18"/>
          <w:szCs w:val="18"/>
        </w:rPr>
        <w:t xml:space="preserve">% y el sector salud con un </w:t>
      </w:r>
      <w:r w:rsidR="00CB72A9">
        <w:rPr>
          <w:rFonts w:ascii="Arial" w:hAnsi="Arial" w:cs="Arial"/>
          <w:sz w:val="18"/>
          <w:szCs w:val="18"/>
        </w:rPr>
        <w:t>36</w:t>
      </w:r>
      <w:r>
        <w:rPr>
          <w:rFonts w:ascii="Arial" w:hAnsi="Arial" w:cs="Arial"/>
          <w:sz w:val="18"/>
          <w:szCs w:val="18"/>
        </w:rPr>
        <w:t xml:space="preserve">% y el restante </w:t>
      </w:r>
      <w:r w:rsidR="00CB72A9">
        <w:rPr>
          <w:rFonts w:ascii="Arial" w:hAnsi="Arial" w:cs="Arial"/>
          <w:sz w:val="18"/>
          <w:szCs w:val="18"/>
        </w:rPr>
        <w:t>7</w:t>
      </w:r>
      <w:r>
        <w:rPr>
          <w:rFonts w:ascii="Arial" w:hAnsi="Arial" w:cs="Arial"/>
          <w:sz w:val="18"/>
          <w:szCs w:val="18"/>
        </w:rPr>
        <w:t>% a otros organismos del sector público</w:t>
      </w:r>
      <w:r w:rsidR="00FF6FFD">
        <w:rPr>
          <w:rFonts w:ascii="Arial" w:hAnsi="Arial" w:cs="Arial"/>
          <w:sz w:val="18"/>
          <w:szCs w:val="18"/>
        </w:rPr>
        <w:t>.</w:t>
      </w:r>
      <w:r w:rsidR="002F6BF2">
        <w:rPr>
          <w:rFonts w:ascii="Arial" w:hAnsi="Arial" w:cs="Arial"/>
          <w:sz w:val="18"/>
          <w:szCs w:val="18"/>
        </w:rPr>
        <w:t xml:space="preserve"> Lo que en su conjunto representa un incremento del 4.2% respecto al mismo periodo del ejercicio 2019</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1A78A4">
        <w:rPr>
          <w:rFonts w:ascii="Arial" w:hAnsi="Arial" w:cs="Arial"/>
          <w:sz w:val="18"/>
          <w:szCs w:val="18"/>
        </w:rPr>
        <w:t>septiembre</w:t>
      </w:r>
      <w:r>
        <w:rPr>
          <w:rFonts w:ascii="Arial" w:hAnsi="Arial" w:cs="Arial"/>
          <w:sz w:val="18"/>
          <w:szCs w:val="18"/>
        </w:rPr>
        <w:t xml:space="preserve"> de 20</w:t>
      </w:r>
      <w:r w:rsidR="005F4F77">
        <w:rPr>
          <w:rFonts w:ascii="Arial" w:hAnsi="Arial" w:cs="Arial"/>
          <w:sz w:val="18"/>
          <w:szCs w:val="18"/>
        </w:rPr>
        <w:t>20</w:t>
      </w:r>
      <w:r>
        <w:rPr>
          <w:rFonts w:ascii="Arial" w:hAnsi="Arial" w:cs="Arial"/>
          <w:sz w:val="18"/>
          <w:szCs w:val="18"/>
        </w:rPr>
        <w:t xml:space="preserve"> es de $ </w:t>
      </w:r>
      <w:r w:rsidR="001A78A4">
        <w:rPr>
          <w:rFonts w:ascii="Arial" w:hAnsi="Arial" w:cs="Arial"/>
          <w:sz w:val="18"/>
          <w:szCs w:val="18"/>
        </w:rPr>
        <w:t>2</w:t>
      </w:r>
      <w:r>
        <w:rPr>
          <w:rFonts w:ascii="Arial" w:hAnsi="Arial" w:cs="Arial"/>
          <w:sz w:val="18"/>
          <w:szCs w:val="18"/>
        </w:rPr>
        <w:t>,</w:t>
      </w:r>
      <w:r w:rsidR="001A78A4">
        <w:rPr>
          <w:rFonts w:ascii="Arial" w:hAnsi="Arial" w:cs="Arial"/>
          <w:sz w:val="18"/>
          <w:szCs w:val="18"/>
        </w:rPr>
        <w:t>252</w:t>
      </w:r>
      <w:r>
        <w:rPr>
          <w:rFonts w:ascii="Arial" w:hAnsi="Arial" w:cs="Arial"/>
          <w:sz w:val="18"/>
          <w:szCs w:val="18"/>
        </w:rPr>
        <w:t>,</w:t>
      </w:r>
      <w:r w:rsidR="001A78A4">
        <w:rPr>
          <w:rFonts w:ascii="Arial" w:hAnsi="Arial" w:cs="Arial"/>
          <w:sz w:val="18"/>
          <w:szCs w:val="18"/>
        </w:rPr>
        <w:t>556</w:t>
      </w:r>
      <w:r>
        <w:rPr>
          <w:rFonts w:ascii="Arial" w:hAnsi="Arial" w:cs="Arial"/>
          <w:sz w:val="18"/>
          <w:szCs w:val="18"/>
        </w:rPr>
        <w:t>,</w:t>
      </w:r>
      <w:r w:rsidR="001A78A4">
        <w:rPr>
          <w:rFonts w:ascii="Arial" w:hAnsi="Arial" w:cs="Arial"/>
          <w:sz w:val="18"/>
          <w:szCs w:val="18"/>
        </w:rPr>
        <w:t>713</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1A78A4">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1A78A4">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1A78A4">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2F6BF2">
        <w:rPr>
          <w:rFonts w:ascii="Arial" w:hAnsi="Arial" w:cs="Arial"/>
          <w:sz w:val="18"/>
          <w:szCs w:val="18"/>
        </w:rPr>
        <w:t xml:space="preserve"> Observándose una variación del </w:t>
      </w:r>
      <w:r w:rsidR="00996B2A">
        <w:rPr>
          <w:rFonts w:ascii="Arial" w:hAnsi="Arial" w:cs="Arial"/>
          <w:sz w:val="18"/>
          <w:szCs w:val="18"/>
        </w:rPr>
        <w:t>6</w:t>
      </w:r>
      <w:r w:rsidR="002F6BF2">
        <w:rPr>
          <w:rFonts w:ascii="Arial" w:hAnsi="Arial" w:cs="Arial"/>
          <w:sz w:val="18"/>
          <w:szCs w:val="18"/>
        </w:rPr>
        <w:t>% respecto a 2019</w:t>
      </w:r>
      <w:r w:rsidR="00996B2A">
        <w:rPr>
          <w:rFonts w:ascii="Arial" w:hAnsi="Arial" w:cs="Arial"/>
          <w:sz w:val="18"/>
          <w:szCs w:val="18"/>
        </w:rPr>
        <w:t>.</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7D78B3">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20</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7D78B3">
        <w:rPr>
          <w:rFonts w:ascii="Arial" w:hAnsi="Arial" w:cs="Arial"/>
          <w:sz w:val="18"/>
          <w:szCs w:val="18"/>
        </w:rPr>
        <w:t>2</w:t>
      </w:r>
      <w:r>
        <w:rPr>
          <w:rFonts w:ascii="Arial" w:eastAsia="Times New Roman" w:hAnsi="Arial" w:cs="Arial"/>
          <w:bCs/>
          <w:sz w:val="18"/>
          <w:szCs w:val="18"/>
          <w:lang w:eastAsia="es-MX"/>
        </w:rPr>
        <w:t>,</w:t>
      </w:r>
      <w:r w:rsidR="007D78B3">
        <w:rPr>
          <w:rFonts w:ascii="Arial" w:eastAsia="Times New Roman" w:hAnsi="Arial" w:cs="Arial"/>
          <w:bCs/>
          <w:sz w:val="18"/>
          <w:szCs w:val="18"/>
          <w:lang w:eastAsia="es-MX"/>
        </w:rPr>
        <w:t>255</w:t>
      </w:r>
      <w:r>
        <w:rPr>
          <w:rFonts w:ascii="Arial" w:eastAsia="Times New Roman" w:hAnsi="Arial" w:cs="Arial"/>
          <w:bCs/>
          <w:sz w:val="18"/>
          <w:szCs w:val="18"/>
          <w:lang w:eastAsia="es-MX"/>
        </w:rPr>
        <w:t>,</w:t>
      </w:r>
      <w:r w:rsidR="007D78B3">
        <w:rPr>
          <w:rFonts w:ascii="Arial" w:eastAsia="Times New Roman" w:hAnsi="Arial" w:cs="Arial"/>
          <w:bCs/>
          <w:sz w:val="18"/>
          <w:szCs w:val="18"/>
          <w:lang w:eastAsia="es-MX"/>
        </w:rPr>
        <w:t>018</w:t>
      </w:r>
      <w:r>
        <w:rPr>
          <w:rFonts w:ascii="Arial" w:eastAsia="Times New Roman" w:hAnsi="Arial" w:cs="Arial"/>
          <w:bCs/>
          <w:sz w:val="18"/>
          <w:szCs w:val="18"/>
          <w:lang w:eastAsia="es-MX"/>
        </w:rPr>
        <w:t>,</w:t>
      </w:r>
      <w:r w:rsidR="007D78B3">
        <w:rPr>
          <w:rFonts w:ascii="Arial" w:eastAsia="Times New Roman" w:hAnsi="Arial" w:cs="Arial"/>
          <w:bCs/>
          <w:sz w:val="18"/>
          <w:szCs w:val="18"/>
          <w:lang w:eastAsia="es-MX"/>
        </w:rPr>
        <w:t>981</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206E09">
        <w:rPr>
          <w:lang w:val="es-MX"/>
        </w:rPr>
        <w:t>incremento</w:t>
      </w:r>
      <w:r w:rsidR="004B263B">
        <w:rPr>
          <w:lang w:val="es-MX"/>
        </w:rPr>
        <w:t xml:space="preserve"> </w:t>
      </w:r>
      <w:r w:rsidR="00817DFF">
        <w:rPr>
          <w:lang w:val="es-MX"/>
        </w:rPr>
        <w:t>de</w:t>
      </w:r>
      <w:r w:rsidR="00EC56A4">
        <w:rPr>
          <w:lang w:val="es-MX"/>
        </w:rPr>
        <w:t xml:space="preserve"> </w:t>
      </w:r>
      <w:r w:rsidR="00817DFF">
        <w:rPr>
          <w:lang w:val="es-MX"/>
        </w:rPr>
        <w:t>$</w:t>
      </w:r>
      <w:r w:rsidR="009301F2">
        <w:rPr>
          <w:lang w:val="es-MX"/>
        </w:rPr>
        <w:t>1,137</w:t>
      </w:r>
      <w:r w:rsidR="00AC2CB6">
        <w:rPr>
          <w:lang w:val="es-MX"/>
        </w:rPr>
        <w:t>,</w:t>
      </w:r>
      <w:r w:rsidR="009301F2">
        <w:rPr>
          <w:lang w:val="es-MX"/>
        </w:rPr>
        <w:t>508</w:t>
      </w:r>
      <w:r w:rsidR="00AC2CB6">
        <w:rPr>
          <w:lang w:val="es-MX"/>
        </w:rPr>
        <w:t>,</w:t>
      </w:r>
      <w:r w:rsidR="001D1569">
        <w:rPr>
          <w:lang w:val="es-MX"/>
        </w:rPr>
        <w:t>9</w:t>
      </w:r>
      <w:r w:rsidR="009301F2">
        <w:rPr>
          <w:lang w:val="es-MX"/>
        </w:rPr>
        <w:t>5</w:t>
      </w:r>
      <w:r w:rsidR="004A07A5">
        <w:rPr>
          <w:lang w:val="es-MX"/>
        </w:rPr>
        <w:t>6</w:t>
      </w:r>
      <w:r w:rsidR="00996B2A">
        <w:rPr>
          <w:lang w:val="es-MX"/>
        </w:rPr>
        <w:t xml:space="preserve">, lo que representa una variación porcentual del </w:t>
      </w:r>
      <w:r w:rsidR="00B70209">
        <w:rPr>
          <w:lang w:val="es-MX"/>
        </w:rPr>
        <w:t>52.7</w:t>
      </w:r>
      <w:r w:rsidR="00996B2A">
        <w:rPr>
          <w:lang w:val="es-MX"/>
        </w:rPr>
        <w:t>% respecto al mismo periodo de 2019,</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9301F2">
        <w:rPr>
          <w:lang w:val="es-MX"/>
        </w:rPr>
        <w:t>2</w:t>
      </w:r>
      <w:r>
        <w:rPr>
          <w:lang w:val="es-MX"/>
        </w:rPr>
        <w:t>,</w:t>
      </w:r>
      <w:r w:rsidR="009301F2">
        <w:rPr>
          <w:lang w:val="es-MX"/>
        </w:rPr>
        <w:t>25</w:t>
      </w:r>
      <w:r w:rsidR="004A07A5">
        <w:rPr>
          <w:lang w:val="es-MX"/>
        </w:rPr>
        <w:t>2</w:t>
      </w:r>
      <w:r>
        <w:rPr>
          <w:lang w:val="es-MX"/>
        </w:rPr>
        <w:t>,</w:t>
      </w:r>
      <w:r w:rsidR="009301F2">
        <w:rPr>
          <w:lang w:val="es-MX"/>
        </w:rPr>
        <w:t>556</w:t>
      </w:r>
      <w:r>
        <w:rPr>
          <w:lang w:val="es-MX"/>
        </w:rPr>
        <w:t>,</w:t>
      </w:r>
      <w:r w:rsidR="009301F2">
        <w:rPr>
          <w:lang w:val="es-MX"/>
        </w:rPr>
        <w:t>713</w:t>
      </w:r>
      <w:r w:rsidR="00B70209">
        <w:rPr>
          <w:lang w:val="es-MX"/>
        </w:rPr>
        <w:t>, presentando una variación porcentual de -6% respecto del mismo periodo de 2019</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B70209" w:rsidRDefault="008D7129" w:rsidP="00B7020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9301F2">
        <w:rPr>
          <w:lang w:val="es-MX"/>
        </w:rPr>
        <w:t>septiembre</w:t>
      </w:r>
      <w:r>
        <w:rPr>
          <w:lang w:val="es-MX"/>
        </w:rPr>
        <w:t xml:space="preserve"> un importe de </w:t>
      </w:r>
      <w:r w:rsidRPr="004466A7">
        <w:rPr>
          <w:lang w:val="es-MX"/>
        </w:rPr>
        <w:t>$</w:t>
      </w:r>
      <w:r>
        <w:rPr>
          <w:lang w:val="es-MX"/>
        </w:rPr>
        <w:t xml:space="preserve"> </w:t>
      </w:r>
      <w:r w:rsidR="00F378E3">
        <w:rPr>
          <w:lang w:val="es-MX"/>
        </w:rPr>
        <w:t>100</w:t>
      </w:r>
      <w:r>
        <w:rPr>
          <w:lang w:val="es-MX"/>
        </w:rPr>
        <w:t>,</w:t>
      </w:r>
      <w:r w:rsidR="00F378E3">
        <w:rPr>
          <w:lang w:val="es-MX"/>
        </w:rPr>
        <w:t>509</w:t>
      </w:r>
      <w:r>
        <w:rPr>
          <w:lang w:val="es-MX"/>
        </w:rPr>
        <w:t>,</w:t>
      </w:r>
      <w:r w:rsidR="00F378E3">
        <w:rPr>
          <w:lang w:val="es-MX"/>
        </w:rPr>
        <w:t>199</w:t>
      </w:r>
      <w:r w:rsidR="00B70209">
        <w:rPr>
          <w:lang w:val="es-MX"/>
        </w:rPr>
        <w:t>, presentando una variación porcentual de 76.7% respecto del mismo periodo de 2019.</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F378E3">
        <w:rPr>
          <w:lang w:val="es-MX"/>
        </w:rPr>
        <w:t>0</w:t>
      </w:r>
      <w:r w:rsidRPr="00DA18AC">
        <w:rPr>
          <w:lang w:val="es-MX"/>
        </w:rPr>
        <w:t xml:space="preserve"> de </w:t>
      </w:r>
      <w:r w:rsidR="00F378E3">
        <w:rPr>
          <w:lang w:val="es-MX"/>
        </w:rPr>
        <w:t>septiembre</w:t>
      </w:r>
      <w:r w:rsidRPr="00DA18AC">
        <w:rPr>
          <w:lang w:val="es-MX"/>
        </w:rPr>
        <w:t xml:space="preserve"> de 20</w:t>
      </w:r>
      <w:r w:rsidR="00466C1E">
        <w:rPr>
          <w:lang w:val="es-MX"/>
        </w:rPr>
        <w:t>20</w:t>
      </w:r>
      <w:r w:rsidRPr="00DA18AC">
        <w:rPr>
          <w:lang w:val="es-MX"/>
        </w:rPr>
        <w:t xml:space="preserve"> de $ </w:t>
      </w:r>
      <w:r w:rsidR="009743B6">
        <w:rPr>
          <w:lang w:val="es-MX"/>
        </w:rPr>
        <w:t>-</w:t>
      </w:r>
      <w:r w:rsidR="00F378E3">
        <w:rPr>
          <w:lang w:val="es-MX"/>
        </w:rPr>
        <w:t xml:space="preserve"> 1, 215</w:t>
      </w:r>
      <w:r w:rsidRPr="00DA18AC">
        <w:rPr>
          <w:lang w:val="es-MX"/>
        </w:rPr>
        <w:t>,</w:t>
      </w:r>
      <w:r w:rsidR="00466C1E">
        <w:rPr>
          <w:lang w:val="es-MX"/>
        </w:rPr>
        <w:t>5</w:t>
      </w:r>
      <w:r w:rsidR="00F378E3">
        <w:rPr>
          <w:lang w:val="es-MX"/>
        </w:rPr>
        <w:t>5</w:t>
      </w:r>
      <w:r w:rsidR="00466C1E">
        <w:rPr>
          <w:lang w:val="es-MX"/>
        </w:rPr>
        <w:t>6</w:t>
      </w:r>
      <w:r w:rsidRPr="00DA18AC">
        <w:rPr>
          <w:lang w:val="es-MX"/>
        </w:rPr>
        <w:t>,</w:t>
      </w:r>
      <w:r w:rsidR="00F378E3">
        <w:rPr>
          <w:lang w:val="es-MX"/>
        </w:rPr>
        <w:t>956</w:t>
      </w:r>
      <w:r w:rsidRPr="00DA18AC">
        <w:rPr>
          <w:lang w:val="es-MX"/>
        </w:rPr>
        <w:t>.</w:t>
      </w: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8B060F"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465pt" o:ole="">
            <v:imagedata r:id="rId8" o:title=""/>
          </v:shape>
          <o:OLEObject Type="Embed" ProgID="Excel.Sheet.12" ShapeID="_x0000_i1025" DrawAspect="Content" ObjectID="_1665489318" r:id="rId9"/>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224155" w:rsidP="006942ED">
      <w:pPr>
        <w:rPr>
          <w:lang w:eastAsia="es-ES"/>
        </w:rPr>
      </w:pPr>
      <w:r>
        <w:rPr>
          <w:noProof/>
          <w:szCs w:val="18"/>
          <w:lang w:eastAsia="es-MX"/>
        </w:rPr>
        <w:object w:dxaOrig="1440" w:dyaOrig="1440">
          <v:shape id="_x0000_s1046" type="#_x0000_t75" style="position:absolute;margin-left:34.5pt;margin-top:22.45pt;width:681.6pt;height:292.8pt;z-index:251663360">
            <v:imagedata r:id="rId10" o:title=""/>
            <w10:wrap type="topAndBottom"/>
          </v:shape>
          <o:OLEObject Type="Embed" ProgID="Excel.Sheet.12" ShapeID="_x0000_s1046" DrawAspect="Content" ObjectID="_1665489319" r:id="rId11"/>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224155"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35pt;z-index:251664384">
            <v:imagedata r:id="rId12" o:title=""/>
            <w10:wrap type="topAndBottom"/>
          </v:shape>
          <o:OLEObject Type="Embed" ProgID="Excel.Sheet.12" ShapeID="_x0000_s1047" DrawAspect="Content" ObjectID="_1665489320" r:id="rId13"/>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F378E3">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20</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coyuntura actual es más compleja que la que podía haberse anticipado en septiembre de 2019, cuando se presentó el Paquete Económico 2020. En un periodo muy reducido el panorama económico global se ha deteriorado de forma rápida y significativa. La velocidad con la que se ha propagado el COVID-19 a nivel global ha provocado la triste pérdida de vidas humanas y la materialización de condiciones de enfermedad para un elevado número de personas. Adicionalmente, las medidas sanitarias necesarias para la contención de la pandemia están generando efectos negativos importantes sobre la actividad económica, la disrupción de las cadenas de suministro a nivel global, mayor incertidumbre, así como volatilidad en los mercados financieros en todo el mundo. Entre los diversos impactos de lo anterior destaca una fuerte caída en la demanda por petróleo y otras materias primas, que está propiciando una reducción en sus precios internacionales. La situación del mercado petrolero se ha visto exacerbada por la guerra de precios del petróleo entre Arabia Saudita y Rusia, que ha resultado en una mayor disminución en los precios de los energéticos a nivel global.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elevada incertidumbre a nivel global ha generado una recomposición de los portafolios hacia activos con mayor liquidez y más seguros, generando una elevada volatilidad en los mercados financieros y el deterioro de la mayoría de las variables financieras nacionales e internacionales, en particular de las economías emergentes. En este contexto se ha observado una depreciación generalizada de las monedas emergentes, incluyendo el peso mexicano, así como un aumento en las primas de riesgo de los bonos de dichas economías.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Dado lo anterior, las proyecciones de la actividad económica global han estado sujetas a una constante revisión a la baja en un tiempo muy reducido. Por ejemplo, el Instituto de Finanzas Internacionales (IIF, por sus siglas en inglés) recortó el crecimiento global de 1.0% a una contracción de 1.5% entre el 5 y el 23 de marzo.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Se prevé que este escenario global, aunado a las medidas internas de distanciamiento social necesarias para contener la propagación del COVID-19, tendrán un impacto sobre la actividad económica y las finanzas públicas de nuestro país durante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Para hacer frente a esta coyuntura, el Gobierno de México dispone de diversos amortiguadores financieros y fiscales. En este sentido, se inició la implementación de diferentes medidas de política pública y se prepara un conjunto adicional de acciones, lo cual ayudará a mitigar los efectos de los choques externos e internos sobre la economía, la liquidez internacional y las finanzas públicas; contribuirá a enfrentar los retos en materia de salud, empleo y liquidez de las empresas y los hogares en el corto plazo, protegiendo los ingresos y el bienestar de los grupos más vulnerables de la población; y fortalecerá la demanda agregada para reactivar la economía en el mediano plazo. </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Entre los amortiguadores con los que se cuenta destacan: i) fondos y reservas para enfrentar contingencias en materia de salud, incluidas las de tipo epidemiológico; ii) recursos en el Fondo de Estabilización de los Ingresos Presupuestarios (FEIP), que al cierre de 2019 eran de 158.4 mil millones de pesos (mmp) y cuyo uso se orientará en estricto apego a lo señalado por la Ley Federal de Presupuesto y Responsabilidad Hacendaria; iii) se cuenta con reservas internacionales por 185.5 mil millones de dólares (mmd), una línea de crédito flexible con el Fondo Monetario Internacional por 61.4 mmd y líneas de intercambio de divisas con la Reserva Federal y con el Tesoro de los Estados Unidos por 60.0 y 9.0 mmd, respectivamente, elementos destinados a hacer frente a problemas potenciales de liquidez internacional y de balanza de pagos; y iv) coberturas petroleras tanto del Gobierno Federal como de Pemex para compensar la disminución de los ingresos ante reducciones en los precios del energético. Adicionalmente, el país cuenta con un perfil de deuda pública robusto, donde la deuda externa neta del Gobierno Federal solo representa 22% del total y prácticamente el 100% está a tasa fija.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El Banco de México y la Comisión Nacional Bancaria y de Valores han implementado cambios regulatorios y otras acciones para aumentar la liquidez y el otorgamiento de créditos, como la disminución del Depósito de Regulación Monetaria por 50 mmp; las subastas de crédito en dólares; y flexibilización de la norma contable para bancos, que les permitirá diferir total o parcialmente los pagos de capital y/o intereses hasta por 6 meses de créditos comerciales, hipotecarios, personales, de nómina y para automóviles.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Asimismo, al 18 de marzo se anunciaron una serie de medidas encaminadas a proteger la liquidez de personas y empresas vulnerables, donde resaltan 1 millón de créditos gubernamentales para microempresas que difícilmente cuentan con acceso al sistema financiero; apoyos equivalentes a más de 19 mmp en préstamos de vivienda para trabajadores que vean afectados su empleo o ingresos; y adelanto de las pensiones de adultos mayores por 21 mmp para que solventen los gastos extraordinarios derivados de la coyuntura. En los próximos días se presentarán acciones adicionales para enfrentar la emergencia.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estrategia del Gobierno de México busca un balance entre la necesidad de apoyar e impulsar la economía y la disciplina fiscal. Se reconoce la importancia de contar con un espacio fiscal como el considerado en el Decreto de Presupuesto de Egresos de la Federación, así como de asegurar el despliegue del gasto y la inversión que se necesitan en la coyuntura, con la finalidad de que las finanzas públicas no contribuyan a agravar la situación macroeconómica.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Para este fin se buscará mejorar la eficiencia recaudatoria y generar ahorros presupuestales, especialmente en el gasto corriente, para financiar los programas prioritarios del Gobierno Federal, así como para atender las eventualidades de emergencia de salud y económicas que se presenten como resultado del brote epidemiológico. Adicionalmente se planea privilegiar como fuente de financiamiento el uso de activos financieros del sector público con la finalidad de minimizar el uso de un mayor endeudamiento.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Las perspectivas macroeconómicas en la presente coyuntura tienen un elevado nivel de incertidumbre ante la complejidad de la situación de la epidemia, lo que dificulta establecer un pronóstico puntual de crecimiento para la economía nacional. Por este motivo se considera un rango de crecimiento del PIB para 2020 entre -3.9 y 0.1%, consistente con proyecciones de organismos internacionales y de analistas del sector privado. Las estimaciones de las finanzas públicas para 2020 se realizan bajo un escenario prudente que considere un balance de riesgos acorde con la elevada incertidumbre que existe sobre la actividad 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Con estas consideraciones, se estima que los Requerimientos Financieros del Sector Público (RFSP) ascenderán a 4.4% del PIB; el balance público registrará un déficit de 3.3% del PIB; mientras que el balance primario se ubicará en -0.4% del PIB. El Gobierno de México reitera la importancia de Pemex como activo estratégico de nuestro país y evalúa medidas de apoyo adicionales a las ya implementadas para este año. No obstante, Pemex buscará realizar economías, así como fuentes alternativas de ingresos para enfrentar los efectos sobre sus finanzas de la reducción en el precio del petróleo.</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La velocidad del restablecimiento de la economía mundial y de la economía mexicana es todavía incierta, por lo que la responsabilidad en el manejo de las finanzas públicas por parte del Gobierno de México, así como la implementación de medidas contracíclicas orientadas a apoyar la economía de las y los mexicanos, nos permitirán superar el complejo entorno internacional y 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2019 la economía global mostró una desaceleración sincronizada resultado, en gran medida, del surgimiento y de la permanencia de tensiones comerciales, principalmente entre Estados Unidos y China, así como de la existencia de distintos conflictos geopolíticos. El Fondo Monetario Internacional (FMI) revisó a la baja sus pronósticos de crecimiento mundial en prácticamente todas las actualizaciones trimestrales del reporte de Perspectivas de la Economía Mundial. En su última revisión, la tasa de crecimiento mundial estimada para 2019 fue de 2.9%, el crecimiento más bajo desde la crisis financiera de 2008. En esta desaceleración se observó un deterioro en todos los países, tanto de la inversión como de la producción industrial, en particular la manufacturera. Hacia finales de 2019 y principios de 2020, el balance de riesgos cambió de manera positiva, principalmente por la conclusión exitosa de las negociaciones de la “fase 1” de un acuerdo comercial entre China y Estados Unidos. En este contexto, en su reporte sobre las Perspectivas de la Economía Mundial de enero de 2020, el FMI anticipó un repunte de las actividades manufacturera y comercial durante este año.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No obstante, durante los primeros meses de 2020 el entorno de la economía mundial ha presentado cambios importantes como resultado del surgimiento del brote epidémico denominado COVID-19 y su transformación en una pandemia global. Adicional a la pérdida de vidas humanas, la pandemia ha generado en diversos países retos importantes de salud pública. Las medidas sanitarias necesarias para mitigarla han tenido importantes repercusiones sobre la actividad económica, principalmente en los países afectados, aunque su efecto se ha extendido a todos los países a través de los precios de las materias primas, los mercados financieros, la menor demanda mundial y la incertidumbre sobre los efectos que tendrá en el crecimiento global. En este contexto, las proyecciones de la actividad económica global han estado sujetas a una constante revisión a la baja en un tiempo muy reducido. Así, entre el 5 y el 23 de marzo, el Instituto de Finanzas Internacionales (IIF, por sus siglas en inglés) recortó el crecimiento global de 1.0% a una contracción de 1.5%.</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precios internacionales del petróleo exhibieron una elevada volatilidad en 2019 resultado, principalmente, de la evolución de las tensiones comerciales y de la existencia de conflictos geopolíticos. Al cierre del año, estos precios mostraron una recuperación moderada, impulsada por incrementos en los recortes de la Organización de Países Exportadores de Petróleo (OPEP) y sus aliados y por el alivio de las tensiones comerciales. No obstante, en 2020, la mayor incertidumbre y las perspectivas de un menor crecimiento resultado de la propagación del COVID-19, propiciaron una caída en los precios del petróleo. En este contexto, las negociaciones entre la OPEP y sus aliados se vieron frustradas, lo que inició una guerra de precios entre Arabia Saudita y Rusia, generando reducciones adicionales en el precio del crudo.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desaceleración observada en 2019, la incertidumbre generada por los conflictos comerciales, y las menores presiones inflacionarias llevaron a un relajamiento de las condiciones monetarias de las economías avanzadas, lo cual dio espacio a los bancos centrales de las economías emergentes para reducir a su vez sus tasas de interés. En línea con las señales de estabilización de la actividad económica, a finales del cuarto trimestre de 2019 se observó una recomposición de portafolios hacia activos con mayor riesgo que se manifestó en ganancias importantes en los principales mercados mundiales de renta variable. No obstante, con la rápida propagación del COVID-19 se han observado notables episodios de volatilidad en los mercados financieros internacionales, desencadenado mayor aversión al riesgo y un aumento en la demanda de activos seguros. La respuesta de los bancos centrales ha sido decidida y rápida, reduciendo sus tasas de interés a niveles que no se veían desde la crisis financiera en 2008 y adoptando una serie importante de medidas no convencionales de política monetaria destinadas a asegurar la suficiente provisión de liquidez.</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rápida propagación del COVID-19 ha llevado a los gobiernos a implementar medidas de distanciamiento social voluntarias, recomendadas o forzosas con base en el escenario de transmisión en el que se encuentra cada país. Las regiones con mayor número de contagios han tomado medidas más drásticas, las cuales incluyen el cierre de fronteras, la suspensión de actividades académicas y laborales, la prohibición de la libre circulación y reunión de sus ciudadanos, y el cese de toda actividad comercial no esencial. Dichas medidas de contención, aunque necesarias, tendrán un efecto negativo en la actividad económica mundial al detener de manera simultánea tanto la oferta como la demanda.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Por el lado de la oferta, el cese de actividades laborales afecta tanto a las cadenas de suministros como de producción, y en consecuencia, las industrias, lo que tendrá efectos negativos sobre las cadenas globales de valor y el comercio exterior. Ante una menor demanda debido a las medidas de restricción de movilidad, el sector servicios se verá severamente impactado.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Por el lado de la demanda, se prevé una caída en la inversión por la alta incertidumbre; asimismo, la pérdida de empleo y la caída en el ingreso impactarán negativamente en el consumo. Finalmente, la desaceleración económica provocará una menor demanda de las materias primas, en particular del petróleo, presionando los precios de estas a la baja. Aunado a las pérdidas económicas, la pandemia del COVID-19 ha tenido efectos adversos en los mercados financieros internacionales. La percepción de riesgo e incertidumbre ha incrementado, lo cual provoca un menor flujo de capitales, reduce la inversión y la exposición a activos más riesgosos.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las monedas de los países emergentes productores de materias primas se han depreciado significativamente, mientras que sus primas de riesgo han aumentado. Los gobiernos y bancos centrales del mundo han anunciado diversas medidas con la intención de prevenir que la reducción en la actividad económica y la volatilidad de los mercados afecte de manera más persistente a los hogares, las empresas y el sistema financiero.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Durante 2019, la economía mundial mostró una desaceleración, lo que llevó a la tasa de expansión de la actividad económica a su menor ritmo de crecimiento estimado desde 2009. Esta desaceleración estuvo alineada con el desenvolvimiento del ciclo económico y con la presencia de tensiones comerciales, principalmente entre Estados Unidos y China. Si bien, al final del cuarto trimestre de 2019, el panorama de crecimiento comenzó a dar señales de recuperación y de menor incertidumbre geopolítica y comercial, en lo que va de 2020 las perspectivas de crecimiento se han deteriorado significativamente como resultado de la pandemia de COVID-19. En línea con lo anterior, Kristalina Georgieva, Directora Gerente del FMI, consideró el pasado 29 de marzo que la economía mundial se encuentra en recesión. Por su parte, las proyecciones de crecimiento global publicadas por organismos financieros internacionales han sido superadas por la rápida evolución de la pandemia en diversas economías.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Si bien a finales de 2019 las perspectivas de crecimiento mostraban una mejoría para el 2020 debido a una relajación de las tensiones comerciales entre China y Estados Unidos, la información disponible durante enero y febrero apunta a que el crecimiento de la actividad económica en la región continuará desacelerándose. El proceso epidemiológico del COVID-19 inició más tarde en la región; sin embargo, la experiencia de las otras regiones apunta a un deterioro de las perspectivas de crecimiento. A este deterioro contribuyen una menor demanda de exportaciones de los países del cono sur por parte de China y menores precios de las materias primas. Así, en el bimestre enerofebrero, las exportaciones de Argentina y Brasil registraron contracciones en su variación anual de 1.7 y 8.7%, respectivamente.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Adicionalmente, en enero, la producción industrial de estas economías registró una contracción en su crecimiento anual de 0.1% para Argentina y 0.9% en Brasil. Para 2020, las perspectivas de crecimiento sugieren que la actividad económica de los países emergentes registrará una mayor desaceleración respecto a lo que se observó en 2019, como consecuencia de una mayor incertidumbre para la inversión y las disrupciones en la oferta y la demanda internacional.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en 2020 el precio del crudo ha presentado una caída importante. El 27 de marzo de 2020, el precio promedio de la mezcla mexicana se ubicó en 13.0 dpb, lo que representa una reducción de 76.8% respecto al precio al cierre de 2019 de 56.1 dpb. En este mismo periodo, los precios de los crudos West Texas Intermediate (WTI) y Brent fueron 21.5 y 24.5 dpb, respectivamente, inferiores a los registrados al cierre del año pasado de 61.1 y 66.4 dpb.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lo que va de 2020 la postura de la política monetaria internacional cambió como resultado de los efectos negativos que el brote del COVID-19 tuvo sobre la actividad económica, los cuales, según el FMI, han colocado a la economía mundial en recesión y han elevado la volatilidad de los mercados financieros, creando condiciones muy restrictivas de acceso al financiamiento y reduciendo la liquidez a nivel mundial. En este contexto, el 3 de marzo de 2020, los ministros de finanzas y los gobernadores de los bancos centrales del G-7 destacaron que, dado los posibles impactos económicos provenientes de la propagación del virus, reafirmaban su compromiso de utilizar todas Las herramientas de política monetaria y fiscal para seguir cumpliendo sus mandatos, apoyando así la estabilidad de precios, el crecimiento económico y la </w:t>
      </w:r>
      <w:r w:rsidRPr="00C83A20">
        <w:rPr>
          <w:rFonts w:ascii="Arial" w:hAnsi="Arial" w:cs="Arial"/>
          <w:sz w:val="18"/>
          <w:szCs w:val="18"/>
        </w:rPr>
        <w:lastRenderedPageBreak/>
        <w:t>estabilidad del sistema financiero. Durante marzo, diversos bancos centrales de economías avanzadas disminuyeron, algunos en reuniones extraordinarias, sus tasas de interés; destacan los casos de Estados Unidos, Australia, Canadá, Reino Unido y Nueva Zelanda. Asimismo, dentro del conjunto de economías emergentes Brasil, Chile, Filipinas, México, Sudáfrica, Turquía, Tailandia, Indonesia, Paraguay, Perú, Ucrania y Argentina redujeron sus tasas de referencia disminuyeron sus tasas entre 25 y 100 puntos base (pb).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Durante 2019, la economía de nuestro país mantuvo sólidos sus fundamentos macroeconómicos y mostró resiliencia ante diversos choques como son un panorama internacional con elevada incertidumbre resultado de los conflictos comerciales y las tensiones geopolíticas, así como una ralentización de la actividad interna. La conducción prudente de las políticas monetaria y fiscal permitió mantener la estabilidad macroeconómica, garantizando la estabilidad de precios y del sistema financiero, así como el cumplimiento de las metas fiscales y de los techos de endeudamiento comprometidos en el Paquete Económico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2020 la economía mexicana se enfrenta a un entorno más adverso debido a la propagación del COVID-19 y a los efectos colaterales que las medidas aplicadas por los distintos países para contener su transmisión tendrán sobre la economía global y sobre la economía mexicana. La guerra de precios del petróleo, iniciada el 7 de marzo, entre Rusia y Arabia Saudita, representa un factor agravante en el contexto actual. Aunque el balance de riesgos para el crecimiento de la economía mexicana en el presente año está sesgado a la baja, nuestro país cuenta con fundamentos macroeconómicos robustos, así como con salvaguardas y diversas opciones de política pública para afrontar un escenario adverso en 2020.</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el primer bimestre de 2020, se observó una aceleración de las exportaciones automotrices, al aumentar 6.1% a tasa anual. Como resultado del bajo crecimiento de las exportaciones no automotrices, igual a 0.7%, las exportaciones manufactureras totales registraron un crecimiento moderado de 2.6% anual.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enero de 2020, el Indicador Global de la Actividad Económica (IGAE) presentó una caída en el año de 0.8%. A su interior, el sector agropecuario elevó su producción en 1.1% anual. La producción industrial tuvo una reducción anual de 1.6%, debido a una disminución de 8.6% en la construcción y de 0.9% en las manufacturas. En contraste, la minería y la electricidad crecieron 5.8 y 0.4% anual, respectivamente. En particular, durante el primer bimestre de 2020, la producción total de la industria automotriz fue prácticamente nula (0.1%). Por último, el sector servicios presentó una contracción de 0.5% anual en enero de 2020, debido principalmente a las caídas de 2.0% anual del comercio al por mayor, 1.7% en servicios educativos, de salud y asistencia social, y 0.3% en los servicios financieros e inmobiliarios.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2019 y 2020 los mercados financieros locales mostraron un desempeño mixto en el que destacan periodos de alta volatilidad asociados a eventos ocurridos en el ámbito internacional. Esta volatilidad se ha acentuado desde finales de febrero de 2020, como resultado de la mayor incertidumbre global en torno a la pandemia de COVID-19, por la velocidad con la que el virus se ha propagado y el número de países que han sido afectados. Adicional al costo para los sistemas de salud y la pérdida de vidas humanas, los mercados financieros han anticipado que las medidas de contención y distanciamiento social afectarán al crecimiento en los países y el comercio mundial, pero la magnitud del impacto en el año y en los diferentes países está aún sujeta a una importante incertidumbre.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anticipación al efecto que estos dos choques externos tendrán sobre el crecimiento de la economía global, y en particular sobre la economía mexicana, se observaron incrementos en las primas de riesgo de la deuda soberana y una fuerte depreciación de la moneda nacional. Estos hechos estuvieron en línea con lo observado en otros países emergentes o productores de petróleo, como México. En el mismo sentido, el mercado accionario ha registrado pérdidas asociadas a la pronunciada aversión al riesgo. En marzo de 2020 el Índice de Precios y Cotizaciones de la Bolsa Mexicana de Valores registró sus mayores caídas tanto diaria como semanal desde la crisis financiera.</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Durante los primeros meses de 2020, la inflación subyacente anual exhibió un aumento marginal, al alcanzar un nivel de 3.60% en la primera quincena de marzo. Por otro lado, incrementos en los precios de productos agropecuarios combinados con un crecimiento de las tarifas autorizadas por el gobierno, han presionado la inflación no subyacente a la primera quincena de marzo, registrando un nivel anual de 4.04%, ello a pesar de que los precios de los energéticos no presentaron aumentos.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choques externos de conflictos geopolíticos y comerciales exacerbados por la pandemia de COVID-19, permiten anticipar una disminución de la actividad económica en 2020. Los efectos negativos en el PIB estarán asociados con las medidas de contención y distanciamiento social que se llevan a cabo con la intención de evitar la mayor cantidad de fallecimientos por la enfermedad y la saturación del sistema de salud. Existe una disyuntiva entre la severidad de las medidas de contención y el costo económico que estas medidas podrían traer. En un escenario sin medidas el costo económico estaría dado por la pérdida de vidas y los periodos de ausentismo laboral. En cambio, cuando existen medidas sanitarias el costo de vidas y los periodos de ausentismo baja, pero el costo económico aumenta significativamente.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previsión de crecimiento de la Secretaría de Hacienda y Crédito Público para 2020 se encuentra en línea con el esperado por algunos especialistas del sector privado y de organismos internacionales. Los crecimientos publicados por el Banco de México, el FMI y la OCDE son 1.6, 1.0 y 0.7%, respectivamente, donde solo la OCDE ha hecho revisión a su pronóstico en la coyuntura de la pandemia de COVID-19. En la encuesta Citibanamex con fecha 20 de marzo de 2020, con 25 participantes del sector financiero, la mediana de los pronósticos anticipa una contracción de 3.0% para 2020 y un crecimiento de 1.7% para 2021. Asimismo, la mediana de los pronósticos en la encuesta Banxico de expectativas de los especialistas publicada el 1 de abril, esperan una contracción del PIB en 2020 de 3.5% y un crecimiento de 1.7% en 2021.</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Si bien es probable que la demanda interna se contraiga en el primer y segundo trimestre del 2020, se espera una recuperación relativamente rápida al concluir la contingencia sanitaria en el tercer y cuarto trimestre del año. Igualmente, la resiliencia de la economía mexicana y sus buenos fundamentos, así como el efecto de las mejoras al sector financiero implementadas a inicios de 2019, ayudarán a contener la caída en el PIB, a mantener un sistema financiero saludable y a recuperar la senda de crecimiento.  Finalmente, se espera la recuperación gradual de la plataforma de producción de petróleo, lo cual implica observar niveles de crecimiento de la producción en el mediano plazo.</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2A15A9" w:rsidRPr="002A15A9" w:rsidRDefault="002A15A9" w:rsidP="002A15A9">
      <w:pPr>
        <w:tabs>
          <w:tab w:val="left" w:pos="284"/>
        </w:tabs>
        <w:ind w:left="284"/>
        <w:jc w:val="center"/>
        <w:rPr>
          <w:rFonts w:ascii="Arial" w:hAnsi="Arial" w:cs="Arial"/>
          <w:sz w:val="18"/>
          <w:szCs w:val="18"/>
        </w:rPr>
      </w:pPr>
      <w:r w:rsidRPr="002A15A9">
        <w:rPr>
          <w:rFonts w:ascii="Arial" w:hAnsi="Arial" w:cs="Arial"/>
          <w:noProof/>
          <w:sz w:val="18"/>
          <w:szCs w:val="18"/>
          <w:lang w:eastAsia="es-MX"/>
        </w:rPr>
        <w:lastRenderedPageBreak/>
        <w:drawing>
          <wp:inline distT="0" distB="0" distL="0" distR="0">
            <wp:extent cx="3471223" cy="4821382"/>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3503721" cy="4866520"/>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lastRenderedPageBreak/>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segundo trimestre de 2020, Tlaxcala ha recibido flujos de inversión acumulados por 3 mil 562 millones de dólares (mdd) equivalentes al 1% del total de flujos captados por el país de acuerdo a la Secretaría de Economía al Segundo Trimestre de 2020, la entidad pasó a ocupar la posición 29 como receptor de inversión externa en el país.</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primer trimestre de 2020 es de 618 mil 948 personas y representa 1.1% del total nacional. La población ocupada representó 96% de la PEA de la entidad, es decir, 594 mil 706 personas. De esta población, 58.8 % son hombres y 41.2 % son mujeres. Un dato a destacar es el aumento de la participación laboral femenina en el estado. En 2001, la proporción de mujeres trabajadoras tlaxcaltecas dentro de la población ocupada total era de 33%. Actualmente, alcanza 41%, 2 puntos porcentuales mayor al promedio nacional. </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Al mes de agosto de 2020 la tasa de ocupación reflejó una participación del 1.1 % al total nacional, representando un decremento de 2,606 puestos de trabajo respecto a diciembre de 2019. Al mes de agosto de 2020, se tienen registrados 99,667 trabajadores asegurados en el IMSS, tal y como se muestra en los siguientes cuadros:</w:t>
      </w:r>
    </w:p>
    <w:p w:rsidR="002A15A9" w:rsidRPr="002A15A9" w:rsidRDefault="002A15A9" w:rsidP="002A15A9">
      <w:pPr>
        <w:tabs>
          <w:tab w:val="left" w:pos="284"/>
        </w:tabs>
        <w:ind w:left="284"/>
        <w:jc w:val="center"/>
        <w:rPr>
          <w:rFonts w:ascii="Arial" w:hAnsi="Arial" w:cs="Arial"/>
          <w:sz w:val="18"/>
          <w:szCs w:val="18"/>
        </w:rPr>
      </w:pPr>
      <w:r w:rsidRPr="002A15A9">
        <w:rPr>
          <w:rFonts w:ascii="Arial" w:hAnsi="Arial" w:cs="Arial"/>
          <w:noProof/>
          <w:sz w:val="18"/>
          <w:szCs w:val="18"/>
          <w:lang w:eastAsia="es-MX"/>
        </w:rPr>
        <w:drawing>
          <wp:inline distT="0" distB="0" distL="0" distR="0">
            <wp:extent cx="6900785" cy="2837676"/>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8311" t="16780" r="12215" b="12305"/>
                    <a:stretch>
                      <a:fillRect/>
                    </a:stretch>
                  </pic:blipFill>
                  <pic:spPr bwMode="auto">
                    <a:xfrm>
                      <a:off x="0" y="0"/>
                      <a:ext cx="6958474" cy="2861398"/>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noProof/>
          <w:sz w:val="18"/>
          <w:szCs w:val="18"/>
          <w:lang w:eastAsia="es-MX"/>
        </w:rPr>
        <w:lastRenderedPageBreak/>
        <w:drawing>
          <wp:inline distT="0" distB="0" distL="0" distR="0">
            <wp:extent cx="8348345" cy="60210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4303" t="22365" r="26830" b="14766"/>
                    <a:stretch>
                      <a:fillRect/>
                    </a:stretch>
                  </pic:blipFill>
                  <pic:spPr bwMode="auto">
                    <a:xfrm>
                      <a:off x="0" y="0"/>
                      <a:ext cx="8348345" cy="6021070"/>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lastRenderedPageBreak/>
        <w:t>De acuerdo al Directorio Estadístico Nacional de Unidades Económicas, Tlaxcala cuenta con 81,304 Unidades Económicas, lo que representa el 2 % del total nacional. Al primer trimestre de 2020 la Población Económicamente Activa (PEA) ascendió a 618,948 personas, representando el 62 % de la población en edad de trabajar. Del Total de la PEA, el 96 % está ocupada y el 4 % se encuentra desocupada.</w:t>
      </w:r>
    </w:p>
    <w:p w:rsidR="002A15A9" w:rsidRPr="002A15A9" w:rsidRDefault="002A15A9" w:rsidP="002A15A9">
      <w:pPr>
        <w:tabs>
          <w:tab w:val="left" w:pos="284"/>
        </w:tabs>
        <w:ind w:left="284"/>
        <w:jc w:val="center"/>
        <w:rPr>
          <w:rFonts w:ascii="Arial" w:hAnsi="Arial" w:cs="Arial"/>
          <w:sz w:val="18"/>
          <w:szCs w:val="18"/>
        </w:rPr>
      </w:pPr>
      <w:r w:rsidRPr="002A15A9">
        <w:rPr>
          <w:rFonts w:ascii="Arial" w:hAnsi="Arial" w:cs="Arial"/>
          <w:noProof/>
          <w:sz w:val="18"/>
          <w:szCs w:val="18"/>
          <w:lang w:eastAsia="es-MX"/>
        </w:rPr>
        <w:drawing>
          <wp:inline distT="0" distB="0" distL="0" distR="0">
            <wp:extent cx="6626225" cy="418020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0059" t="17435" r="25847" b="15431"/>
                    <a:stretch>
                      <a:fillRect/>
                    </a:stretch>
                  </pic:blipFill>
                  <pic:spPr bwMode="auto">
                    <a:xfrm>
                      <a:off x="0" y="0"/>
                      <a:ext cx="6626225" cy="4180205"/>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lastRenderedPageBreak/>
        <w:t>Al segundo trimestre de 2020, la Inversión Extranjera Directa Acumulada del año 2011 al mes de junio de 2020 en el Estado de Tlaxcala fue de 1,895.5 millones de dólares lo que representó un aporte del 1% al total nacional, instalándose empresas de diversas nacionalidades en la Entidad.</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noProof/>
          <w:sz w:val="18"/>
          <w:szCs w:val="18"/>
          <w:lang w:eastAsia="es-MX"/>
        </w:rPr>
        <w:drawing>
          <wp:inline distT="0" distB="0" distL="0" distR="0">
            <wp:extent cx="8395970" cy="5426710"/>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95970" cy="5426710"/>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noProof/>
          <w:sz w:val="18"/>
          <w:szCs w:val="18"/>
          <w:lang w:eastAsia="es-MX"/>
        </w:rPr>
        <w:lastRenderedPageBreak/>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5411E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2A15A9">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El poco dinamismo de la economía regional, restringe al Estado para incrementar significativamente su recaudación propia; de 2011 a 2020, los ingresos propios promediaron entre el 4 y 6 por ciento de los ingresos totales captados. Se han implementado algunas medidas que incentivaron el pago de impuestos para reducir el rezago fiscal, particularmente en materia de tenencia y derechos vehiculares.</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registros de las operaciones están en apego a los Postulados Básicos de Contabilidad Gubernamental y a las normas y manuales vigentes;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 xml:space="preserve">Garantizar </w:t>
      </w:r>
      <w:r>
        <w:rPr>
          <w:rFonts w:ascii="Arial" w:hAnsi="Arial" w:cs="Arial"/>
          <w:sz w:val="18"/>
          <w:szCs w:val="18"/>
        </w:rPr>
        <w:lastRenderedPageBreak/>
        <w:t>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EC2DFD" w:rsidRDefault="00EC2DF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EC2DFD" w:rsidRDefault="00EC2DFD"/>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EC2DFD" w:rsidRDefault="00EC2DFD"/>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EC2DFD" w:rsidRDefault="00EC2DF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EC2DFD" w:rsidRDefault="00EC2DF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EC2DFD" w:rsidRDefault="00EC2DF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EC2DFD" w:rsidRDefault="00EC2DF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155" w:rsidRDefault="00224155" w:rsidP="00EA5418">
      <w:pPr>
        <w:spacing w:after="0" w:line="240" w:lineRule="auto"/>
      </w:pPr>
      <w:r>
        <w:separator/>
      </w:r>
    </w:p>
  </w:endnote>
  <w:endnote w:type="continuationSeparator" w:id="0">
    <w:p w:rsidR="00224155" w:rsidRDefault="0022415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Pr="004E3EA4" w:rsidRDefault="00EC2DF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E83E59" w:rsidRPr="00E83E59">
          <w:rPr>
            <w:rFonts w:ascii="Arial" w:hAnsi="Arial" w:cs="Arial"/>
            <w:noProof/>
            <w:sz w:val="20"/>
            <w:lang w:val="es-ES"/>
          </w:rPr>
          <w:t>20</w:t>
        </w:r>
        <w:r w:rsidRPr="004E3EA4">
          <w:rPr>
            <w:rFonts w:ascii="Arial" w:hAnsi="Arial" w:cs="Arial"/>
            <w:sz w:val="20"/>
          </w:rPr>
          <w:fldChar w:fldCharType="end"/>
        </w:r>
      </w:sdtContent>
    </w:sdt>
  </w:p>
  <w:p w:rsidR="00EC2DFD" w:rsidRDefault="00EC2D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Pr="003527CD" w:rsidRDefault="00EC2DFD"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E83E59" w:rsidRPr="00E83E59">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155" w:rsidRDefault="00224155" w:rsidP="00EA5418">
      <w:pPr>
        <w:spacing w:after="0" w:line="240" w:lineRule="auto"/>
      </w:pPr>
      <w:r>
        <w:separator/>
      </w:r>
    </w:p>
  </w:footnote>
  <w:footnote w:type="continuationSeparator" w:id="0">
    <w:p w:rsidR="00224155" w:rsidRDefault="00224155"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Default="00EC2DFD">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2DFD" w:rsidRPr="00DE4269" w:rsidRDefault="00EC2DF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EC2DFD" w:rsidRPr="00DE4269" w:rsidRDefault="00EC2DF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C2DFD" w:rsidRDefault="00EC2DF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EC2DFD" w:rsidRDefault="00EC2DF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C2DFD" w:rsidRDefault="00EC2DF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Pr="003527CD" w:rsidRDefault="00EC2DFD"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1"/>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7DA"/>
    <w:rsid w:val="00043D1E"/>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604B"/>
    <w:rsid w:val="00097255"/>
    <w:rsid w:val="000A00F8"/>
    <w:rsid w:val="000A1DD4"/>
    <w:rsid w:val="000A4867"/>
    <w:rsid w:val="000A5776"/>
    <w:rsid w:val="000A58AB"/>
    <w:rsid w:val="000A6D5D"/>
    <w:rsid w:val="000A7734"/>
    <w:rsid w:val="000A7AB8"/>
    <w:rsid w:val="000B54AD"/>
    <w:rsid w:val="000B552D"/>
    <w:rsid w:val="000B62E8"/>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4245"/>
    <w:rsid w:val="001156F5"/>
    <w:rsid w:val="00115E5C"/>
    <w:rsid w:val="00115FAF"/>
    <w:rsid w:val="00117F03"/>
    <w:rsid w:val="001203B5"/>
    <w:rsid w:val="00120A86"/>
    <w:rsid w:val="00120F4C"/>
    <w:rsid w:val="001210DD"/>
    <w:rsid w:val="00121982"/>
    <w:rsid w:val="00123461"/>
    <w:rsid w:val="001234D1"/>
    <w:rsid w:val="0013011C"/>
    <w:rsid w:val="001330F9"/>
    <w:rsid w:val="00134F21"/>
    <w:rsid w:val="00136E7D"/>
    <w:rsid w:val="00142035"/>
    <w:rsid w:val="001435CE"/>
    <w:rsid w:val="00144A5D"/>
    <w:rsid w:val="0014540D"/>
    <w:rsid w:val="001528B7"/>
    <w:rsid w:val="00161865"/>
    <w:rsid w:val="0016242F"/>
    <w:rsid w:val="001635E1"/>
    <w:rsid w:val="00165BB4"/>
    <w:rsid w:val="001660FE"/>
    <w:rsid w:val="00171788"/>
    <w:rsid w:val="00172B7D"/>
    <w:rsid w:val="00174F47"/>
    <w:rsid w:val="001769D8"/>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0C95"/>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1DB1"/>
    <w:rsid w:val="0022227A"/>
    <w:rsid w:val="00223CE1"/>
    <w:rsid w:val="00224155"/>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2E20"/>
    <w:rsid w:val="0027627B"/>
    <w:rsid w:val="002766AC"/>
    <w:rsid w:val="00280CD3"/>
    <w:rsid w:val="002858C7"/>
    <w:rsid w:val="00287D90"/>
    <w:rsid w:val="00290A24"/>
    <w:rsid w:val="00295D09"/>
    <w:rsid w:val="00295FCC"/>
    <w:rsid w:val="00297D52"/>
    <w:rsid w:val="002A15A9"/>
    <w:rsid w:val="002A2013"/>
    <w:rsid w:val="002A70B3"/>
    <w:rsid w:val="002A728F"/>
    <w:rsid w:val="002B0770"/>
    <w:rsid w:val="002B32BF"/>
    <w:rsid w:val="002B4828"/>
    <w:rsid w:val="002B547F"/>
    <w:rsid w:val="002B7C62"/>
    <w:rsid w:val="002C0A9F"/>
    <w:rsid w:val="002C479E"/>
    <w:rsid w:val="002C4A76"/>
    <w:rsid w:val="002C4E19"/>
    <w:rsid w:val="002C55F6"/>
    <w:rsid w:val="002C5ACA"/>
    <w:rsid w:val="002D0278"/>
    <w:rsid w:val="002D22E8"/>
    <w:rsid w:val="002D2BEE"/>
    <w:rsid w:val="002E3C2E"/>
    <w:rsid w:val="002E4A3B"/>
    <w:rsid w:val="002E52F9"/>
    <w:rsid w:val="002F502D"/>
    <w:rsid w:val="002F546C"/>
    <w:rsid w:val="002F6BF2"/>
    <w:rsid w:val="00300EF3"/>
    <w:rsid w:val="0030292A"/>
    <w:rsid w:val="00302E39"/>
    <w:rsid w:val="00310A44"/>
    <w:rsid w:val="00311255"/>
    <w:rsid w:val="00312040"/>
    <w:rsid w:val="003156F1"/>
    <w:rsid w:val="003171B4"/>
    <w:rsid w:val="0032152C"/>
    <w:rsid w:val="0032384C"/>
    <w:rsid w:val="00323D16"/>
    <w:rsid w:val="00324311"/>
    <w:rsid w:val="00327048"/>
    <w:rsid w:val="00327701"/>
    <w:rsid w:val="00327740"/>
    <w:rsid w:val="00331185"/>
    <w:rsid w:val="003312F1"/>
    <w:rsid w:val="00332091"/>
    <w:rsid w:val="0033398C"/>
    <w:rsid w:val="00336B8F"/>
    <w:rsid w:val="00351921"/>
    <w:rsid w:val="003527CD"/>
    <w:rsid w:val="003530FB"/>
    <w:rsid w:val="00354047"/>
    <w:rsid w:val="0035405F"/>
    <w:rsid w:val="0035468F"/>
    <w:rsid w:val="00356170"/>
    <w:rsid w:val="00357A70"/>
    <w:rsid w:val="003612CA"/>
    <w:rsid w:val="00365BA0"/>
    <w:rsid w:val="00370FF6"/>
    <w:rsid w:val="00372F40"/>
    <w:rsid w:val="00374E36"/>
    <w:rsid w:val="00375F89"/>
    <w:rsid w:val="00380E8C"/>
    <w:rsid w:val="00380EE2"/>
    <w:rsid w:val="003811EC"/>
    <w:rsid w:val="003815D6"/>
    <w:rsid w:val="00382E8F"/>
    <w:rsid w:val="00383BCB"/>
    <w:rsid w:val="0038695F"/>
    <w:rsid w:val="00386DD7"/>
    <w:rsid w:val="00386E53"/>
    <w:rsid w:val="003900E3"/>
    <w:rsid w:val="00390936"/>
    <w:rsid w:val="00390A9A"/>
    <w:rsid w:val="00393281"/>
    <w:rsid w:val="00393659"/>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5915"/>
    <w:rsid w:val="0040746E"/>
    <w:rsid w:val="004076AC"/>
    <w:rsid w:val="0041065F"/>
    <w:rsid w:val="00411B83"/>
    <w:rsid w:val="00412CB0"/>
    <w:rsid w:val="00415099"/>
    <w:rsid w:val="004213BC"/>
    <w:rsid w:val="00424251"/>
    <w:rsid w:val="004306DA"/>
    <w:rsid w:val="004311BE"/>
    <w:rsid w:val="004373B9"/>
    <w:rsid w:val="00437809"/>
    <w:rsid w:val="00441E7C"/>
    <w:rsid w:val="0044253C"/>
    <w:rsid w:val="004466A7"/>
    <w:rsid w:val="00451963"/>
    <w:rsid w:val="00454129"/>
    <w:rsid w:val="00454250"/>
    <w:rsid w:val="00462592"/>
    <w:rsid w:val="00463B0D"/>
    <w:rsid w:val="0046425D"/>
    <w:rsid w:val="00464409"/>
    <w:rsid w:val="004644D4"/>
    <w:rsid w:val="004649FD"/>
    <w:rsid w:val="00466C1E"/>
    <w:rsid w:val="004714CF"/>
    <w:rsid w:val="00474420"/>
    <w:rsid w:val="00480F7F"/>
    <w:rsid w:val="004842C3"/>
    <w:rsid w:val="00484C0D"/>
    <w:rsid w:val="00484E35"/>
    <w:rsid w:val="00487AC2"/>
    <w:rsid w:val="0049279C"/>
    <w:rsid w:val="00493E27"/>
    <w:rsid w:val="00496633"/>
    <w:rsid w:val="00497D8B"/>
    <w:rsid w:val="004A07A5"/>
    <w:rsid w:val="004A3F31"/>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542A"/>
    <w:rsid w:val="004F5641"/>
    <w:rsid w:val="0050183B"/>
    <w:rsid w:val="00502DDD"/>
    <w:rsid w:val="0050345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277D"/>
    <w:rsid w:val="005327CE"/>
    <w:rsid w:val="0053400D"/>
    <w:rsid w:val="00534F38"/>
    <w:rsid w:val="00540418"/>
    <w:rsid w:val="00543F97"/>
    <w:rsid w:val="00545527"/>
    <w:rsid w:val="00550363"/>
    <w:rsid w:val="00553CB3"/>
    <w:rsid w:val="00556D2F"/>
    <w:rsid w:val="00556DC7"/>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42E"/>
    <w:rsid w:val="00585D38"/>
    <w:rsid w:val="00587618"/>
    <w:rsid w:val="005876AE"/>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D3D25"/>
    <w:rsid w:val="005D5223"/>
    <w:rsid w:val="005D568E"/>
    <w:rsid w:val="005E39FD"/>
    <w:rsid w:val="005E68A5"/>
    <w:rsid w:val="005E7914"/>
    <w:rsid w:val="005F253A"/>
    <w:rsid w:val="005F3B9E"/>
    <w:rsid w:val="005F4F77"/>
    <w:rsid w:val="005F52B3"/>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1AAA"/>
    <w:rsid w:val="00632109"/>
    <w:rsid w:val="00632C87"/>
    <w:rsid w:val="006331B3"/>
    <w:rsid w:val="0063488B"/>
    <w:rsid w:val="006356AA"/>
    <w:rsid w:val="00637A48"/>
    <w:rsid w:val="006429DB"/>
    <w:rsid w:val="0064409F"/>
    <w:rsid w:val="006441E4"/>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B4727"/>
    <w:rsid w:val="006C2C92"/>
    <w:rsid w:val="006C54B8"/>
    <w:rsid w:val="006D2166"/>
    <w:rsid w:val="006D3DF1"/>
    <w:rsid w:val="006D5097"/>
    <w:rsid w:val="006D5AC5"/>
    <w:rsid w:val="006E2D9E"/>
    <w:rsid w:val="006E77DD"/>
    <w:rsid w:val="006E7F02"/>
    <w:rsid w:val="006F0CCF"/>
    <w:rsid w:val="006F2058"/>
    <w:rsid w:val="006F23B1"/>
    <w:rsid w:val="006F4379"/>
    <w:rsid w:val="006F4C3C"/>
    <w:rsid w:val="006F5412"/>
    <w:rsid w:val="006F6AC2"/>
    <w:rsid w:val="007004C7"/>
    <w:rsid w:val="00702079"/>
    <w:rsid w:val="0070431B"/>
    <w:rsid w:val="007061A7"/>
    <w:rsid w:val="00707693"/>
    <w:rsid w:val="007103D4"/>
    <w:rsid w:val="007149DA"/>
    <w:rsid w:val="007156AF"/>
    <w:rsid w:val="00720256"/>
    <w:rsid w:val="00721EA3"/>
    <w:rsid w:val="007277F5"/>
    <w:rsid w:val="0073056A"/>
    <w:rsid w:val="007314A9"/>
    <w:rsid w:val="00731CA2"/>
    <w:rsid w:val="00734272"/>
    <w:rsid w:val="0073429B"/>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3166"/>
    <w:rsid w:val="007D4702"/>
    <w:rsid w:val="007D59DE"/>
    <w:rsid w:val="007D6E9A"/>
    <w:rsid w:val="007D78B3"/>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60F"/>
    <w:rsid w:val="008B092A"/>
    <w:rsid w:val="008B17FD"/>
    <w:rsid w:val="008B3A8C"/>
    <w:rsid w:val="008B4143"/>
    <w:rsid w:val="008B59D6"/>
    <w:rsid w:val="008B5B85"/>
    <w:rsid w:val="008C155F"/>
    <w:rsid w:val="008C2121"/>
    <w:rsid w:val="008C568D"/>
    <w:rsid w:val="008D0B37"/>
    <w:rsid w:val="008D64D4"/>
    <w:rsid w:val="008D7129"/>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37BD"/>
    <w:rsid w:val="009458FF"/>
    <w:rsid w:val="0095031E"/>
    <w:rsid w:val="00952714"/>
    <w:rsid w:val="00953127"/>
    <w:rsid w:val="00954137"/>
    <w:rsid w:val="00955BF1"/>
    <w:rsid w:val="00957043"/>
    <w:rsid w:val="00957060"/>
    <w:rsid w:val="0095751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96B2A"/>
    <w:rsid w:val="009A00D4"/>
    <w:rsid w:val="009A28E2"/>
    <w:rsid w:val="009A407A"/>
    <w:rsid w:val="009A6CA9"/>
    <w:rsid w:val="009A76C0"/>
    <w:rsid w:val="009B0197"/>
    <w:rsid w:val="009B0DC1"/>
    <w:rsid w:val="009B20EA"/>
    <w:rsid w:val="009B2C65"/>
    <w:rsid w:val="009B484F"/>
    <w:rsid w:val="009B49CD"/>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5407"/>
    <w:rsid w:val="00A70107"/>
    <w:rsid w:val="00A74CAF"/>
    <w:rsid w:val="00A764EF"/>
    <w:rsid w:val="00A8050B"/>
    <w:rsid w:val="00A8077E"/>
    <w:rsid w:val="00A8166B"/>
    <w:rsid w:val="00A85EE5"/>
    <w:rsid w:val="00A90E13"/>
    <w:rsid w:val="00A9143E"/>
    <w:rsid w:val="00A9478F"/>
    <w:rsid w:val="00A94BD0"/>
    <w:rsid w:val="00A94FC9"/>
    <w:rsid w:val="00A95577"/>
    <w:rsid w:val="00A96C1F"/>
    <w:rsid w:val="00A97E66"/>
    <w:rsid w:val="00AA16F7"/>
    <w:rsid w:val="00AA3279"/>
    <w:rsid w:val="00AA6498"/>
    <w:rsid w:val="00AB2062"/>
    <w:rsid w:val="00AB3613"/>
    <w:rsid w:val="00AB5D6A"/>
    <w:rsid w:val="00AC2CB6"/>
    <w:rsid w:val="00AD27C1"/>
    <w:rsid w:val="00AD46DD"/>
    <w:rsid w:val="00AD4F95"/>
    <w:rsid w:val="00AD5E8D"/>
    <w:rsid w:val="00AE0E84"/>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55AE8"/>
    <w:rsid w:val="00B611B8"/>
    <w:rsid w:val="00B61EE1"/>
    <w:rsid w:val="00B67BC6"/>
    <w:rsid w:val="00B70209"/>
    <w:rsid w:val="00B73EB9"/>
    <w:rsid w:val="00B82BF9"/>
    <w:rsid w:val="00B83E59"/>
    <w:rsid w:val="00B849EE"/>
    <w:rsid w:val="00B84D02"/>
    <w:rsid w:val="00B870E0"/>
    <w:rsid w:val="00B87589"/>
    <w:rsid w:val="00B95032"/>
    <w:rsid w:val="00B976BF"/>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646"/>
    <w:rsid w:val="00BD7BBB"/>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379D0"/>
    <w:rsid w:val="00C40279"/>
    <w:rsid w:val="00C411EA"/>
    <w:rsid w:val="00C431B4"/>
    <w:rsid w:val="00C4471C"/>
    <w:rsid w:val="00C458D3"/>
    <w:rsid w:val="00C502CF"/>
    <w:rsid w:val="00C50527"/>
    <w:rsid w:val="00C509E2"/>
    <w:rsid w:val="00C51FAB"/>
    <w:rsid w:val="00C5304F"/>
    <w:rsid w:val="00C5373A"/>
    <w:rsid w:val="00C53B18"/>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3536"/>
    <w:rsid w:val="00D254F0"/>
    <w:rsid w:val="00D3018F"/>
    <w:rsid w:val="00D32544"/>
    <w:rsid w:val="00D34D7A"/>
    <w:rsid w:val="00D351EE"/>
    <w:rsid w:val="00D35411"/>
    <w:rsid w:val="00D3669D"/>
    <w:rsid w:val="00D37294"/>
    <w:rsid w:val="00D37DC9"/>
    <w:rsid w:val="00D43342"/>
    <w:rsid w:val="00D4394E"/>
    <w:rsid w:val="00D44728"/>
    <w:rsid w:val="00D45237"/>
    <w:rsid w:val="00D52FF5"/>
    <w:rsid w:val="00D55E41"/>
    <w:rsid w:val="00D56088"/>
    <w:rsid w:val="00D562FF"/>
    <w:rsid w:val="00D57DAB"/>
    <w:rsid w:val="00D62468"/>
    <w:rsid w:val="00D628F8"/>
    <w:rsid w:val="00D66910"/>
    <w:rsid w:val="00D6706B"/>
    <w:rsid w:val="00D700D5"/>
    <w:rsid w:val="00D71A33"/>
    <w:rsid w:val="00D73B4D"/>
    <w:rsid w:val="00D7657E"/>
    <w:rsid w:val="00D844B8"/>
    <w:rsid w:val="00D854E6"/>
    <w:rsid w:val="00D8596D"/>
    <w:rsid w:val="00D86C30"/>
    <w:rsid w:val="00D92473"/>
    <w:rsid w:val="00D97591"/>
    <w:rsid w:val="00DA1B01"/>
    <w:rsid w:val="00DA5237"/>
    <w:rsid w:val="00DA68FB"/>
    <w:rsid w:val="00DA6BE0"/>
    <w:rsid w:val="00DA72D4"/>
    <w:rsid w:val="00DB1E0B"/>
    <w:rsid w:val="00DB3AF6"/>
    <w:rsid w:val="00DB4C18"/>
    <w:rsid w:val="00DB53FB"/>
    <w:rsid w:val="00DC4EE2"/>
    <w:rsid w:val="00DD136E"/>
    <w:rsid w:val="00DD22DD"/>
    <w:rsid w:val="00DD2474"/>
    <w:rsid w:val="00DD4F48"/>
    <w:rsid w:val="00DD6C54"/>
    <w:rsid w:val="00DD6D71"/>
    <w:rsid w:val="00DD6DC0"/>
    <w:rsid w:val="00DD6FB4"/>
    <w:rsid w:val="00DE2F50"/>
    <w:rsid w:val="00DE4269"/>
    <w:rsid w:val="00DE5274"/>
    <w:rsid w:val="00DE621F"/>
    <w:rsid w:val="00DE62C8"/>
    <w:rsid w:val="00DE6B8B"/>
    <w:rsid w:val="00DF0216"/>
    <w:rsid w:val="00DF2160"/>
    <w:rsid w:val="00DF325D"/>
    <w:rsid w:val="00DF386E"/>
    <w:rsid w:val="00DF56C9"/>
    <w:rsid w:val="00DF6AC4"/>
    <w:rsid w:val="00DF75FF"/>
    <w:rsid w:val="00E004F0"/>
    <w:rsid w:val="00E007EC"/>
    <w:rsid w:val="00E01158"/>
    <w:rsid w:val="00E0449B"/>
    <w:rsid w:val="00E04E64"/>
    <w:rsid w:val="00E06027"/>
    <w:rsid w:val="00E1077F"/>
    <w:rsid w:val="00E119AC"/>
    <w:rsid w:val="00E23867"/>
    <w:rsid w:val="00E23A75"/>
    <w:rsid w:val="00E2421E"/>
    <w:rsid w:val="00E25A1C"/>
    <w:rsid w:val="00E30318"/>
    <w:rsid w:val="00E32708"/>
    <w:rsid w:val="00E32B77"/>
    <w:rsid w:val="00E33BBD"/>
    <w:rsid w:val="00E37034"/>
    <w:rsid w:val="00E37782"/>
    <w:rsid w:val="00E44022"/>
    <w:rsid w:val="00E442EC"/>
    <w:rsid w:val="00E505EF"/>
    <w:rsid w:val="00E545B2"/>
    <w:rsid w:val="00E651B5"/>
    <w:rsid w:val="00E70E56"/>
    <w:rsid w:val="00E75CE5"/>
    <w:rsid w:val="00E768E8"/>
    <w:rsid w:val="00E8055E"/>
    <w:rsid w:val="00E82195"/>
    <w:rsid w:val="00E828CB"/>
    <w:rsid w:val="00E83362"/>
    <w:rsid w:val="00E83E59"/>
    <w:rsid w:val="00E87962"/>
    <w:rsid w:val="00E90D36"/>
    <w:rsid w:val="00E913D9"/>
    <w:rsid w:val="00E91553"/>
    <w:rsid w:val="00E94AAC"/>
    <w:rsid w:val="00EA186A"/>
    <w:rsid w:val="00EA19C2"/>
    <w:rsid w:val="00EA5418"/>
    <w:rsid w:val="00EA5AD0"/>
    <w:rsid w:val="00EA6927"/>
    <w:rsid w:val="00EA6BE9"/>
    <w:rsid w:val="00EB2A4A"/>
    <w:rsid w:val="00EB3D8F"/>
    <w:rsid w:val="00EC0BE3"/>
    <w:rsid w:val="00EC1EBD"/>
    <w:rsid w:val="00EC2DFD"/>
    <w:rsid w:val="00EC56A4"/>
    <w:rsid w:val="00EC5C3D"/>
    <w:rsid w:val="00EC61A6"/>
    <w:rsid w:val="00EC7901"/>
    <w:rsid w:val="00ED0858"/>
    <w:rsid w:val="00ED319C"/>
    <w:rsid w:val="00ED518E"/>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C0"/>
    <w:rsid w:val="00F17C0D"/>
    <w:rsid w:val="00F20F31"/>
    <w:rsid w:val="00F2612E"/>
    <w:rsid w:val="00F30A85"/>
    <w:rsid w:val="00F32EC8"/>
    <w:rsid w:val="00F34C98"/>
    <w:rsid w:val="00F364E9"/>
    <w:rsid w:val="00F37896"/>
    <w:rsid w:val="00F378E3"/>
    <w:rsid w:val="00F40A84"/>
    <w:rsid w:val="00F424B7"/>
    <w:rsid w:val="00F4519D"/>
    <w:rsid w:val="00F46140"/>
    <w:rsid w:val="00F5056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6F78"/>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C4B1B"/>
    <w:rsid w:val="00FD16BF"/>
    <w:rsid w:val="00FD5A63"/>
    <w:rsid w:val="00FE0968"/>
    <w:rsid w:val="00FE1848"/>
    <w:rsid w:val="00FE4810"/>
    <w:rsid w:val="00FE6B37"/>
    <w:rsid w:val="00FE7EF5"/>
    <w:rsid w:val="00FF1FEF"/>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D4E3F-DB34-47AC-B07F-2BD679E8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10587</Words>
  <Characters>58229</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68679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2020-10-07T17:14:00Z</cp:lastPrinted>
  <dcterms:created xsi:type="dcterms:W3CDTF">2020-10-29T21:09:00Z</dcterms:created>
  <dcterms:modified xsi:type="dcterms:W3CDTF">2020-10-29T21:09:00Z</dcterms:modified>
</cp:coreProperties>
</file>