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8E38D0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Introducción</w:t>
      </w:r>
    </w:p>
    <w:p w:rsidR="00F27A45" w:rsidRPr="008E38D0" w:rsidRDefault="00D849A4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 El Instituto Inmobiliario de Desarrollo Urbano Y Vivienda del Estado de Tlaxcala tiene como principal propósito d</w:t>
      </w:r>
      <w:r w:rsidR="000774CD" w:rsidRPr="008E38D0">
        <w:rPr>
          <w:rFonts w:ascii="Arial" w:hAnsi="Arial" w:cs="Arial"/>
          <w:sz w:val="18"/>
          <w:szCs w:val="18"/>
        </w:rPr>
        <w:t>i</w:t>
      </w:r>
      <w:r w:rsidRPr="008E38D0">
        <w:rPr>
          <w:rFonts w:ascii="Arial" w:hAnsi="Arial" w:cs="Arial"/>
          <w:sz w:val="18"/>
          <w:szCs w:val="18"/>
        </w:rPr>
        <w:t>señar y ejecutar programas de con</w:t>
      </w:r>
      <w:r w:rsidR="000774CD" w:rsidRPr="008E38D0">
        <w:rPr>
          <w:rFonts w:ascii="Arial" w:hAnsi="Arial" w:cs="Arial"/>
          <w:sz w:val="18"/>
          <w:szCs w:val="18"/>
        </w:rPr>
        <w:t>s</w:t>
      </w:r>
      <w:r w:rsidRPr="008E38D0">
        <w:rPr>
          <w:rFonts w:ascii="Arial" w:hAnsi="Arial" w:cs="Arial"/>
          <w:sz w:val="18"/>
          <w:szCs w:val="18"/>
        </w:rPr>
        <w:t>trucción, ampliación y mejoramiento de vivienda para abatir el rezago y atender la necesidad creciente que presenta este esencial satisfact</w:t>
      </w:r>
      <w:r w:rsidR="000774CD" w:rsidRPr="008E38D0">
        <w:rPr>
          <w:rFonts w:ascii="Arial" w:hAnsi="Arial" w:cs="Arial"/>
          <w:sz w:val="18"/>
          <w:szCs w:val="18"/>
        </w:rPr>
        <w:t>or social en la entidad que  junto con los programas para la regularización de la tenencia de la tierra de uso habitacional y aquellos dirigidos a la creación de zonas de reservas territoriales, que permitan atender la responsabilidad constitucional a cargo del estado, a fin  de que cada familia Tlaxcalteca pueda disfrutar de una vivienda digna y decorosa. Constru</w:t>
      </w:r>
      <w:r w:rsidR="00816B7E" w:rsidRPr="008E38D0">
        <w:rPr>
          <w:rFonts w:ascii="Arial" w:hAnsi="Arial" w:cs="Arial"/>
          <w:sz w:val="18"/>
          <w:szCs w:val="18"/>
        </w:rPr>
        <w:t>i</w:t>
      </w:r>
      <w:r w:rsidR="000774CD" w:rsidRPr="008E38D0">
        <w:rPr>
          <w:rFonts w:ascii="Arial" w:hAnsi="Arial" w:cs="Arial"/>
          <w:sz w:val="18"/>
          <w:szCs w:val="18"/>
        </w:rPr>
        <w:t xml:space="preserve">mos a una Tlaxcala  cuya sociedad futura cuente,  en forma integral, con los más </w:t>
      </w:r>
      <w:r w:rsidR="00816B7E" w:rsidRPr="008E38D0">
        <w:rPr>
          <w:rFonts w:ascii="Arial" w:hAnsi="Arial" w:cs="Arial"/>
          <w:sz w:val="18"/>
          <w:szCs w:val="18"/>
        </w:rPr>
        <w:t>altos índices de desarrollo humano y social. Expectativa de progreso que será posible alcanzar con políticas públicas en materia  habitacional que resulten eficaces en complementar los esfuerzos individuales para que cada persona esté en posibilidad  de acceder a una vivienda de calidad, en centros de población con crecimiento ordenado, sustentable y con plena seguridad jurídica patrimonial.</w:t>
      </w:r>
    </w:p>
    <w:p w:rsidR="00F167D7" w:rsidRDefault="00F27A45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 xml:space="preserve">Así mismo y acorde  con los cambios en materia administrativa, contable, transparencia gubernamental, etc., nos lleva a generar información </w:t>
      </w:r>
      <w:r w:rsidR="00F167D7" w:rsidRPr="008E38D0">
        <w:rPr>
          <w:rFonts w:ascii="Arial" w:hAnsi="Arial" w:cs="Arial"/>
          <w:sz w:val="18"/>
          <w:szCs w:val="18"/>
        </w:rPr>
        <w:t>de manera más completa y sencilla de tal forma que la sociedad pueda tener la posibilidad de leerla, comprender y de esta manera tener conocimiento de l</w:t>
      </w:r>
      <w:r w:rsidR="002626C0">
        <w:rPr>
          <w:rFonts w:ascii="Arial" w:hAnsi="Arial" w:cs="Arial"/>
          <w:sz w:val="18"/>
          <w:szCs w:val="18"/>
        </w:rPr>
        <w:t>o</w:t>
      </w:r>
      <w:r w:rsidR="00F167D7" w:rsidRPr="008E38D0">
        <w:rPr>
          <w:rFonts w:ascii="Arial" w:hAnsi="Arial" w:cs="Arial"/>
          <w:sz w:val="18"/>
          <w:szCs w:val="18"/>
        </w:rPr>
        <w:t>s objetivos alcanzados en las actividades del Estado.</w:t>
      </w:r>
    </w:p>
    <w:p w:rsidR="008E38D0" w:rsidRPr="008E38D0" w:rsidRDefault="008E38D0" w:rsidP="000774CD">
      <w:pPr>
        <w:jc w:val="both"/>
        <w:rPr>
          <w:rFonts w:ascii="Arial" w:hAnsi="Arial" w:cs="Arial"/>
          <w:sz w:val="18"/>
          <w:szCs w:val="18"/>
        </w:rPr>
      </w:pPr>
    </w:p>
    <w:p w:rsidR="00A06191" w:rsidRPr="008E38D0" w:rsidRDefault="00F167D7" w:rsidP="000774CD">
      <w:p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Por lo anterior y en cumplimiento a la Ley</w:t>
      </w:r>
      <w:r w:rsidR="00A06191" w:rsidRPr="008E38D0">
        <w:rPr>
          <w:rFonts w:ascii="Arial" w:hAnsi="Arial" w:cs="Arial"/>
          <w:sz w:val="18"/>
          <w:szCs w:val="18"/>
        </w:rPr>
        <w:t xml:space="preserve"> General de </w:t>
      </w:r>
      <w:r w:rsidRPr="008E38D0">
        <w:rPr>
          <w:rFonts w:ascii="Arial" w:hAnsi="Arial" w:cs="Arial"/>
          <w:sz w:val="18"/>
          <w:szCs w:val="18"/>
        </w:rPr>
        <w:t>C</w:t>
      </w:r>
      <w:r w:rsidR="00A06191" w:rsidRPr="008E38D0">
        <w:rPr>
          <w:rFonts w:ascii="Arial" w:hAnsi="Arial" w:cs="Arial"/>
          <w:sz w:val="18"/>
          <w:szCs w:val="18"/>
        </w:rPr>
        <w:t>ontabilidad Gubernamental en su artículo 53, que establece que la Cuenta Pública del Gobierno  Federal se formulará por la Secretaría de Hacienda y Crédito Público</w:t>
      </w:r>
      <w:r w:rsidR="00F00986">
        <w:rPr>
          <w:rFonts w:ascii="Arial" w:hAnsi="Arial" w:cs="Arial"/>
          <w:sz w:val="18"/>
          <w:szCs w:val="18"/>
        </w:rPr>
        <w:t xml:space="preserve"> </w:t>
      </w:r>
      <w:r w:rsidR="00A06191" w:rsidRPr="008E38D0">
        <w:rPr>
          <w:rFonts w:ascii="Arial" w:hAnsi="Arial" w:cs="Arial"/>
          <w:sz w:val="18"/>
          <w:szCs w:val="18"/>
        </w:rPr>
        <w:t>y al Acuerdo por el que se armoniza la estructura</w:t>
      </w:r>
      <w:r w:rsidR="00D849A4" w:rsidRPr="008E38D0">
        <w:rPr>
          <w:rFonts w:ascii="Arial" w:hAnsi="Arial" w:cs="Arial"/>
          <w:sz w:val="18"/>
          <w:szCs w:val="18"/>
        </w:rPr>
        <w:t xml:space="preserve"> de las cuentas públicas, emitido por el Consejo Nacional de Armonización Contable, a continuación</w:t>
      </w:r>
      <w:r w:rsidRPr="008E38D0">
        <w:rPr>
          <w:rFonts w:ascii="Arial" w:hAnsi="Arial" w:cs="Arial"/>
          <w:sz w:val="18"/>
          <w:szCs w:val="18"/>
        </w:rPr>
        <w:t xml:space="preserve"> se presenta la siguiente información:</w:t>
      </w:r>
    </w:p>
    <w:p w:rsidR="00C24392" w:rsidRPr="008E38D0" w:rsidRDefault="00A230DA" w:rsidP="000774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Información  Contable: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Actividades;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variación en la hacienda pública: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cambios en la situación financiera;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Informes sobre pasivos contingentes;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Notas a los estados financieros;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activo</w:t>
      </w:r>
    </w:p>
    <w:p w:rsidR="00F167D7" w:rsidRPr="008E38D0" w:rsidRDefault="00F167D7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la deuda y otros pasivos; y</w:t>
      </w:r>
    </w:p>
    <w:p w:rsidR="00F167D7" w:rsidRPr="008E38D0" w:rsidRDefault="00C24392" w:rsidP="00F167D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de flujos de efectivo</w:t>
      </w:r>
    </w:p>
    <w:p w:rsidR="00C24392" w:rsidRPr="008E38D0" w:rsidRDefault="000702D6" w:rsidP="00C243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 Información Presupuestal: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 ingresos</w:t>
      </w:r>
    </w:p>
    <w:p w:rsidR="00C24392" w:rsidRPr="008E38D0" w:rsidRDefault="00C24392" w:rsidP="00C243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C24392" w:rsidRDefault="00C24392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8E38D0">
        <w:rPr>
          <w:rFonts w:ascii="Arial" w:hAnsi="Arial" w:cs="Arial"/>
          <w:sz w:val="18"/>
          <w:szCs w:val="18"/>
        </w:rPr>
        <w:t>Administrativa</w:t>
      </w:r>
      <w:bookmarkStart w:id="0" w:name="_GoBack"/>
      <w:bookmarkEnd w:id="0"/>
    </w:p>
    <w:p w:rsidR="000702D6" w:rsidRPr="008E38D0" w:rsidRDefault="000702D6" w:rsidP="00C2439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objeto del gasto (capítulo y concepto)</w:t>
      </w:r>
    </w:p>
    <w:p w:rsidR="000702D6" w:rsidRDefault="00F00986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Económica,</w:t>
      </w:r>
      <w:r w:rsidR="00C24392" w:rsidRPr="000702D6">
        <w:rPr>
          <w:rFonts w:ascii="Arial" w:hAnsi="Arial" w:cs="Arial"/>
          <w:sz w:val="18"/>
          <w:szCs w:val="18"/>
        </w:rPr>
        <w:t xml:space="preserve"> </w:t>
      </w:r>
      <w:r w:rsidR="000702D6" w:rsidRPr="000702D6">
        <w:rPr>
          <w:rFonts w:ascii="Arial" w:hAnsi="Arial" w:cs="Arial"/>
          <w:sz w:val="18"/>
          <w:szCs w:val="18"/>
        </w:rPr>
        <w:t>(</w:t>
      </w:r>
      <w:r w:rsidR="00C24392" w:rsidRPr="000702D6">
        <w:rPr>
          <w:rFonts w:ascii="Arial" w:hAnsi="Arial" w:cs="Arial"/>
          <w:sz w:val="18"/>
          <w:szCs w:val="18"/>
        </w:rPr>
        <w:t>por</w:t>
      </w:r>
      <w:r w:rsidR="000702D6" w:rsidRPr="000702D6">
        <w:rPr>
          <w:rFonts w:ascii="Arial" w:hAnsi="Arial" w:cs="Arial"/>
          <w:sz w:val="18"/>
          <w:szCs w:val="18"/>
        </w:rPr>
        <w:t xml:space="preserve"> tipo de gasto)</w:t>
      </w:r>
    </w:p>
    <w:p w:rsidR="00056042" w:rsidRDefault="00C24392" w:rsidP="00003A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0702D6">
        <w:rPr>
          <w:rFonts w:ascii="Arial" w:hAnsi="Arial" w:cs="Arial"/>
          <w:sz w:val="18"/>
          <w:szCs w:val="18"/>
        </w:rPr>
        <w:t>Funcional</w:t>
      </w:r>
      <w:r w:rsidR="000702D6">
        <w:rPr>
          <w:rFonts w:ascii="Arial" w:hAnsi="Arial" w:cs="Arial"/>
          <w:sz w:val="18"/>
          <w:szCs w:val="18"/>
        </w:rPr>
        <w:t xml:space="preserve"> (finalidad y función)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Endeudamiento neto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0702D6" w:rsidRDefault="000702D6" w:rsidP="000702D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0702D6" w:rsidRDefault="000702D6" w:rsidP="000702D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Información Programática</w:t>
      </w:r>
    </w:p>
    <w:p w:rsidR="000702D6" w:rsidRDefault="000702D6" w:rsidP="000702D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 Gatos por categoría programática</w:t>
      </w:r>
    </w:p>
    <w:p w:rsidR="008937DA" w:rsidRDefault="000702D6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b)  </w:t>
      </w:r>
      <w:r w:rsidR="008937DA">
        <w:rPr>
          <w:rFonts w:ascii="Arial" w:hAnsi="Arial" w:cs="Arial"/>
          <w:sz w:val="18"/>
          <w:szCs w:val="18"/>
        </w:rPr>
        <w:t>Programas y proyectos de inversión</w:t>
      </w:r>
    </w:p>
    <w:p w:rsidR="000702D6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702D6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c)   Indicadores de resultados</w:t>
      </w:r>
    </w:p>
    <w:p w:rsidR="008937DA" w:rsidRDefault="008937DA" w:rsidP="008937D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Anexos</w:t>
      </w:r>
    </w:p>
    <w:p w:rsidR="008C3321" w:rsidRDefault="008C3321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p w:rsidR="008937DA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8937DA" w:rsidRPr="000702D6" w:rsidRDefault="008937DA" w:rsidP="008937DA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</w:p>
    <w:sectPr w:rsidR="008937DA" w:rsidRPr="000702D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A6" w:rsidRDefault="008B4FA6" w:rsidP="00EA5418">
      <w:pPr>
        <w:spacing w:after="0" w:line="240" w:lineRule="auto"/>
      </w:pPr>
      <w:r>
        <w:separator/>
      </w:r>
    </w:p>
  </w:endnote>
  <w:end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h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16E25" w:rsidRPr="00316E2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16E25" w:rsidRPr="00316E2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A6" w:rsidRDefault="008B4FA6" w:rsidP="00EA5418">
      <w:pPr>
        <w:spacing w:after="0" w:line="240" w:lineRule="auto"/>
      </w:pPr>
      <w:r>
        <w:separator/>
      </w:r>
    </w:p>
  </w:footnote>
  <w:footnote w:type="continuationSeparator" w:id="0">
    <w:p w:rsidR="008B4FA6" w:rsidRDefault="008B4F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E0E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E0E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6B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" strokecolor="#c0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FB31A" wp14:editId="2366E0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F63E8B"/>
    <w:multiLevelType w:val="hybridMultilevel"/>
    <w:tmpl w:val="64F47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EBA"/>
    <w:multiLevelType w:val="hybridMultilevel"/>
    <w:tmpl w:val="347E4C8A"/>
    <w:lvl w:ilvl="0" w:tplc="DD1AE0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32A2C47"/>
    <w:multiLevelType w:val="hybridMultilevel"/>
    <w:tmpl w:val="8AD6D2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A2B"/>
    <w:rsid w:val="00040466"/>
    <w:rsid w:val="00056042"/>
    <w:rsid w:val="000702D6"/>
    <w:rsid w:val="000774CD"/>
    <w:rsid w:val="000A487B"/>
    <w:rsid w:val="0013011C"/>
    <w:rsid w:val="00134B24"/>
    <w:rsid w:val="001646D9"/>
    <w:rsid w:val="001B1B72"/>
    <w:rsid w:val="002626C0"/>
    <w:rsid w:val="002865A7"/>
    <w:rsid w:val="002A336A"/>
    <w:rsid w:val="002A70B3"/>
    <w:rsid w:val="002E0E64"/>
    <w:rsid w:val="002E5897"/>
    <w:rsid w:val="00307635"/>
    <w:rsid w:val="00316E2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DFC"/>
    <w:rsid w:val="00522632"/>
    <w:rsid w:val="00531310"/>
    <w:rsid w:val="00534982"/>
    <w:rsid w:val="00540418"/>
    <w:rsid w:val="00582405"/>
    <w:rsid w:val="005859FA"/>
    <w:rsid w:val="006048D2"/>
    <w:rsid w:val="00611E39"/>
    <w:rsid w:val="00613B50"/>
    <w:rsid w:val="00687C0B"/>
    <w:rsid w:val="006B729B"/>
    <w:rsid w:val="006E6B8E"/>
    <w:rsid w:val="006E77DD"/>
    <w:rsid w:val="0079582C"/>
    <w:rsid w:val="007C0C02"/>
    <w:rsid w:val="007D6E9A"/>
    <w:rsid w:val="007F3AC0"/>
    <w:rsid w:val="00816B7E"/>
    <w:rsid w:val="00850E90"/>
    <w:rsid w:val="008937DA"/>
    <w:rsid w:val="008A6E4D"/>
    <w:rsid w:val="008B0017"/>
    <w:rsid w:val="008B4FA6"/>
    <w:rsid w:val="008C3321"/>
    <w:rsid w:val="008D4272"/>
    <w:rsid w:val="008E3652"/>
    <w:rsid w:val="008E38D0"/>
    <w:rsid w:val="009C5054"/>
    <w:rsid w:val="00A06191"/>
    <w:rsid w:val="00A14B74"/>
    <w:rsid w:val="00A230DA"/>
    <w:rsid w:val="00AB13B7"/>
    <w:rsid w:val="00B06B7E"/>
    <w:rsid w:val="00B17423"/>
    <w:rsid w:val="00B42A02"/>
    <w:rsid w:val="00B849EE"/>
    <w:rsid w:val="00BE3FCF"/>
    <w:rsid w:val="00C24392"/>
    <w:rsid w:val="00C44F01"/>
    <w:rsid w:val="00C62815"/>
    <w:rsid w:val="00CA2D37"/>
    <w:rsid w:val="00CC5CB6"/>
    <w:rsid w:val="00CF6E71"/>
    <w:rsid w:val="00D055EC"/>
    <w:rsid w:val="00D404ED"/>
    <w:rsid w:val="00D51261"/>
    <w:rsid w:val="00D748D3"/>
    <w:rsid w:val="00D849A4"/>
    <w:rsid w:val="00DD230F"/>
    <w:rsid w:val="00E25850"/>
    <w:rsid w:val="00E32708"/>
    <w:rsid w:val="00EA5418"/>
    <w:rsid w:val="00F00986"/>
    <w:rsid w:val="00F167D7"/>
    <w:rsid w:val="00F27A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93BF-CE77-414F-AA60-C78FB554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6</cp:revision>
  <cp:lastPrinted>2018-04-06T16:40:00Z</cp:lastPrinted>
  <dcterms:created xsi:type="dcterms:W3CDTF">2015-01-06T16:41:00Z</dcterms:created>
  <dcterms:modified xsi:type="dcterms:W3CDTF">2020-04-06T17:40:00Z</dcterms:modified>
</cp:coreProperties>
</file>