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4F" w:rsidRDefault="00120AA1" w:rsidP="00AE7DEF">
      <w:r>
        <w:rPr>
          <w:noProof/>
          <w:lang w:eastAsia="es-MX"/>
        </w:rPr>
        <w:object w:dxaOrig="22094" w:dyaOrig="15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-7.7pt;margin-top:0;width:719.65pt;height:384.15pt;z-index:251671552">
            <v:imagedata r:id="rId8" o:title=""/>
            <w10:wrap type="square" side="right"/>
          </v:shape>
          <o:OLEObject Type="Embed" ProgID="Excel.Sheet.12" ShapeID="_x0000_s1069" DrawAspect="Content" ObjectID="_1655724603" r:id="rId9"/>
        </w:object>
      </w:r>
    </w:p>
    <w:p w:rsidR="0016354F" w:rsidRDefault="0016354F" w:rsidP="00AE7DEF"/>
    <w:p w:rsidR="006832F7" w:rsidRDefault="006832F7" w:rsidP="00AE7DEF"/>
    <w:p w:rsidR="006832F7" w:rsidRDefault="00120AA1" w:rsidP="00AE7DEF">
      <w:r>
        <w:rPr>
          <w:noProof/>
        </w:rPr>
        <w:lastRenderedPageBreak/>
        <w:object w:dxaOrig="22094" w:dyaOrig="15505">
          <v:shape id="_x0000_s1063" type="#_x0000_t75" style="position:absolute;margin-left:-3.8pt;margin-top:10pt;width:713.8pt;height:361.2pt;z-index:25167052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63" DrawAspect="Content" ObjectID="_1655724604" r:id="rId11"/>
        </w:object>
      </w:r>
    </w:p>
    <w:p w:rsidR="0016354F" w:rsidRDefault="0016354F" w:rsidP="00AE7DEF"/>
    <w:p w:rsidR="00FD1649" w:rsidRDefault="00FD1649" w:rsidP="00C33B82"/>
    <w:bookmarkStart w:id="0" w:name="_MON_1470806992"/>
    <w:bookmarkEnd w:id="0"/>
    <w:p w:rsidR="00372F40" w:rsidRDefault="00735F20" w:rsidP="00C33B82">
      <w:r>
        <w:object w:dxaOrig="22094" w:dyaOrig="15505">
          <v:shape id="_x0000_i1025" type="#_x0000_t75" style="width:687.2pt;height:444.35pt" o:ole="">
            <v:imagedata r:id="rId12" o:title=""/>
          </v:shape>
          <o:OLEObject Type="Embed" ProgID="Excel.Sheet.12" ShapeID="_x0000_i1025" DrawAspect="Content" ObjectID="_1655724598" r:id="rId13"/>
        </w:object>
      </w:r>
      <w:bookmarkStart w:id="1" w:name="_MON_1470807348"/>
      <w:bookmarkEnd w:id="1"/>
      <w:r w:rsidR="00700256">
        <w:object w:dxaOrig="17744" w:dyaOrig="12398">
          <v:shape id="_x0000_i1027" type="#_x0000_t75" style="width:680.25pt;height:447.6pt" o:ole="">
            <v:imagedata r:id="rId14" o:title=""/>
          </v:shape>
          <o:OLEObject Type="Embed" ProgID="Excel.Sheet.12" ShapeID="_x0000_i1027" DrawAspect="Content" ObjectID="_1655724599" r:id="rId15"/>
        </w:object>
      </w:r>
      <w:bookmarkStart w:id="2" w:name="_MON_1470809138"/>
      <w:bookmarkEnd w:id="2"/>
      <w:r w:rsidR="001654F4">
        <w:object w:dxaOrig="17886" w:dyaOrig="12269">
          <v:shape id="_x0000_i1026" type="#_x0000_t75" style="width:686.7pt;height:433.05pt" o:ole="">
            <v:imagedata r:id="rId16" o:title=""/>
          </v:shape>
          <o:OLEObject Type="Embed" ProgID="Excel.Sheet.12" ShapeID="_x0000_i1026" DrawAspect="Content" ObjectID="_1655724600" r:id="rId17"/>
        </w:object>
      </w:r>
    </w:p>
    <w:bookmarkStart w:id="3" w:name="_MON_1470814596"/>
    <w:bookmarkEnd w:id="3"/>
    <w:p w:rsidR="00E32708" w:rsidRDefault="00700256" w:rsidP="00E32708">
      <w:pPr>
        <w:tabs>
          <w:tab w:val="left" w:pos="2430"/>
        </w:tabs>
        <w:jc w:val="center"/>
      </w:pPr>
      <w:r>
        <w:object w:dxaOrig="18375" w:dyaOrig="13401">
          <v:shape id="_x0000_i1029" type="#_x0000_t75" style="width:686.15pt;height:452.95pt" o:ole="">
            <v:imagedata r:id="rId18" o:title=""/>
          </v:shape>
          <o:OLEObject Type="Embed" ProgID="Excel.Sheet.12" ShapeID="_x0000_i1029" DrawAspect="Content" ObjectID="_1655724601" r:id="rId19"/>
        </w:object>
      </w:r>
      <w:bookmarkStart w:id="4" w:name="_MON_1470810366"/>
      <w:bookmarkEnd w:id="4"/>
      <w:r>
        <w:object w:dxaOrig="25970" w:dyaOrig="16762">
          <v:shape id="_x0000_i1028" type="#_x0000_t75" style="width:666.25pt;height:447.6pt" o:ole="">
            <v:imagedata r:id="rId20" o:title=""/>
          </v:shape>
          <o:OLEObject Type="Embed" ProgID="Excel.Sheet.12" ShapeID="_x0000_i1028" DrawAspect="Content" ObjectID="_1655724602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</w:t>
      </w:r>
      <w:r w:rsidR="002D000E">
        <w:rPr>
          <w:rFonts w:ascii="Arial" w:hAnsi="Arial" w:cs="Arial"/>
          <w:sz w:val="18"/>
          <w:szCs w:val="18"/>
        </w:rPr>
        <w:t>d</w:t>
      </w:r>
      <w:r w:rsidR="001645F7">
        <w:rPr>
          <w:rFonts w:ascii="Arial" w:hAnsi="Arial" w:cs="Arial"/>
          <w:sz w:val="18"/>
          <w:szCs w:val="18"/>
        </w:rPr>
        <w:t xml:space="preserve"> </w:t>
      </w:r>
      <w:r w:rsidR="00073ED9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>el Instituto de Catastro al 3</w:t>
      </w:r>
      <w:r w:rsidR="007B6D8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</w:t>
      </w:r>
      <w:r w:rsidR="0059467F">
        <w:rPr>
          <w:rFonts w:ascii="Arial" w:hAnsi="Arial" w:cs="Arial"/>
          <w:sz w:val="18"/>
          <w:szCs w:val="18"/>
        </w:rPr>
        <w:t xml:space="preserve"> </w:t>
      </w:r>
      <w:r w:rsidR="007B6D81">
        <w:rPr>
          <w:rFonts w:ascii="Arial" w:hAnsi="Arial" w:cs="Arial"/>
          <w:sz w:val="18"/>
          <w:szCs w:val="18"/>
        </w:rPr>
        <w:t xml:space="preserve">junio </w:t>
      </w:r>
      <w:r w:rsidR="00CE4A22">
        <w:rPr>
          <w:rFonts w:ascii="Arial" w:hAnsi="Arial" w:cs="Arial"/>
          <w:sz w:val="18"/>
          <w:szCs w:val="18"/>
        </w:rPr>
        <w:t>d</w:t>
      </w:r>
      <w:r w:rsidR="006419CD">
        <w:rPr>
          <w:rFonts w:ascii="Arial" w:hAnsi="Arial" w:cs="Arial"/>
          <w:sz w:val="18"/>
          <w:szCs w:val="18"/>
        </w:rPr>
        <w:t>e</w:t>
      </w:r>
      <w:r w:rsidR="007B6D81">
        <w:rPr>
          <w:rFonts w:ascii="Arial" w:hAnsi="Arial" w:cs="Arial"/>
          <w:sz w:val="18"/>
          <w:szCs w:val="18"/>
        </w:rPr>
        <w:t>l</w:t>
      </w:r>
      <w:r w:rsidR="006419CD">
        <w:rPr>
          <w:rFonts w:ascii="Arial" w:hAnsi="Arial" w:cs="Arial"/>
          <w:sz w:val="18"/>
          <w:szCs w:val="18"/>
        </w:rPr>
        <w:t xml:space="preserve"> </w:t>
      </w:r>
      <w:r w:rsidR="00170378">
        <w:rPr>
          <w:rFonts w:ascii="Arial" w:hAnsi="Arial" w:cs="Arial"/>
          <w:sz w:val="18"/>
          <w:szCs w:val="18"/>
        </w:rPr>
        <w:t>Ejercic</w:t>
      </w:r>
      <w:r w:rsidR="007272A1">
        <w:rPr>
          <w:rFonts w:ascii="Arial" w:hAnsi="Arial" w:cs="Arial"/>
          <w:sz w:val="18"/>
          <w:szCs w:val="18"/>
        </w:rPr>
        <w:t>io Fiscal 2020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>tablece el Decreto de Creación, sin embargo no se omite men</w:t>
      </w:r>
      <w:r w:rsidR="001645F7">
        <w:rPr>
          <w:rFonts w:ascii="Arial" w:hAnsi="Arial" w:cs="Arial"/>
          <w:sz w:val="18"/>
          <w:szCs w:val="18"/>
        </w:rPr>
        <w:t xml:space="preserve">cionar que cabe la posibilidad </w:t>
      </w:r>
      <w:r w:rsidR="00A849F2">
        <w:rPr>
          <w:rFonts w:ascii="Arial" w:hAnsi="Arial" w:cs="Arial"/>
          <w:sz w:val="18"/>
          <w:szCs w:val="18"/>
        </w:rPr>
        <w:t xml:space="preserve">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>______________                                                                                                 _____________________________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Pr="0009688C">
        <w:rPr>
          <w:rFonts w:ascii="Century Schoolbook" w:hAnsi="Century Schoolbook" w:cs="Arial"/>
          <w:sz w:val="20"/>
          <w:szCs w:val="20"/>
        </w:rPr>
        <w:t>Ing.</w:t>
      </w:r>
      <w:r>
        <w:rPr>
          <w:rFonts w:ascii="Century Schoolbook" w:hAnsi="Century Schoolbook" w:cs="Arial"/>
          <w:sz w:val="20"/>
          <w:szCs w:val="20"/>
        </w:rPr>
        <w:t xml:space="preserve"> Emilio Minor M</w:t>
      </w:r>
      <w:r w:rsidRPr="0009688C">
        <w:rPr>
          <w:rFonts w:ascii="Century Schoolbook" w:hAnsi="Century Schoolbook" w:cs="Arial"/>
          <w:sz w:val="20"/>
          <w:szCs w:val="20"/>
        </w:rPr>
        <w:t>olina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 w:rsidR="00320467">
        <w:rPr>
          <w:rFonts w:ascii="Century Schoolbook" w:hAnsi="Century Schoolbook" w:cs="Arial"/>
          <w:sz w:val="20"/>
          <w:szCs w:val="20"/>
        </w:rPr>
        <w:t>MAGIE</w:t>
      </w:r>
      <w:r>
        <w:rPr>
          <w:rFonts w:ascii="Century Schoolbook" w:hAnsi="Century Schoolbook" w:cs="Arial"/>
          <w:sz w:val="20"/>
          <w:szCs w:val="20"/>
        </w:rPr>
        <w:t>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Pr="003B2773" w:rsidRDefault="00540418" w:rsidP="003B27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>
        <w:rPr>
          <w:rFonts w:ascii="Soberana Sans Light" w:hAnsi="Soberana Sans Light"/>
          <w:b/>
        </w:rPr>
        <w:lastRenderedPageBreak/>
        <w:t>NOTAS A LOS ESTADOS FINANCIEROS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7B6D81">
        <w:rPr>
          <w:lang w:val="es-MX"/>
        </w:rPr>
        <w:t>488,978</w:t>
      </w:r>
      <w:r w:rsidR="007272A1">
        <w:rPr>
          <w:lang w:val="es-MX"/>
        </w:rPr>
        <w:t>.00</w:t>
      </w:r>
      <w:r w:rsidR="000A26F3"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 xml:space="preserve">nde a </w:t>
      </w:r>
      <w:r w:rsidR="00F3780C">
        <w:rPr>
          <w:lang w:val="es-MX"/>
        </w:rPr>
        <w:t>transferencias</w:t>
      </w:r>
      <w:r w:rsidR="00855D0C">
        <w:rPr>
          <w:lang w:val="es-MX"/>
        </w:rPr>
        <w:t xml:space="preserve"> recibidas</w:t>
      </w:r>
      <w:r w:rsidR="00B10F55">
        <w:rPr>
          <w:lang w:val="es-MX"/>
        </w:rPr>
        <w:t xml:space="preserve"> </w:t>
      </w:r>
      <w:r w:rsidR="00F3780C">
        <w:rPr>
          <w:lang w:val="es-MX"/>
        </w:rPr>
        <w:t xml:space="preserve">por ministración de recursos </w:t>
      </w:r>
      <w:r w:rsidR="00B10F55">
        <w:rPr>
          <w:lang w:val="es-MX"/>
        </w:rPr>
        <w:t>y productos financieros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59467F">
        <w:rPr>
          <w:lang w:val="es-MX"/>
        </w:rPr>
        <w:t>al 3</w:t>
      </w:r>
      <w:r w:rsidR="007B6D81">
        <w:rPr>
          <w:lang w:val="es-MX"/>
        </w:rPr>
        <w:t>0</w:t>
      </w:r>
      <w:r w:rsidR="00073ED9">
        <w:rPr>
          <w:lang w:val="es-MX"/>
        </w:rPr>
        <w:t xml:space="preserve"> de</w:t>
      </w:r>
      <w:r w:rsidR="004D61D0">
        <w:rPr>
          <w:lang w:val="es-MX"/>
        </w:rPr>
        <w:t xml:space="preserve"> </w:t>
      </w:r>
      <w:r w:rsidR="007B6D81">
        <w:rPr>
          <w:lang w:val="es-MX"/>
        </w:rPr>
        <w:t xml:space="preserve">junio </w:t>
      </w:r>
      <w:r w:rsidR="00073ED9">
        <w:rPr>
          <w:lang w:val="es-MX"/>
        </w:rPr>
        <w:t>no cuenta con Derechos a recibir efectivo y Equivalentes y Bienes y Servicios a Recibir</w:t>
      </w:r>
      <w:r w:rsidR="002D000E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</w:t>
      </w:r>
      <w:r w:rsidR="00CC4330">
        <w:rPr>
          <w:lang w:val="es-MX"/>
        </w:rPr>
        <w:t xml:space="preserve"> </w:t>
      </w:r>
      <w:r w:rsidR="00617DAA">
        <w:rPr>
          <w:lang w:val="es-MX"/>
        </w:rPr>
        <w:t xml:space="preserve"> </w:t>
      </w:r>
      <w:r w:rsidR="00640C94">
        <w:rPr>
          <w:lang w:val="es-MX"/>
        </w:rPr>
        <w:t xml:space="preserve"> </w:t>
      </w:r>
      <w:r w:rsidR="00C65D50">
        <w:rPr>
          <w:lang w:val="es-MX"/>
        </w:rPr>
        <w:t>394,500.00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617DAA">
        <w:rPr>
          <w:lang w:val="es-MX"/>
        </w:rPr>
        <w:t xml:space="preserve">     8,425,275.00</w:t>
      </w:r>
    </w:p>
    <w:p w:rsidR="00E3285D" w:rsidRPr="000F6B3C" w:rsidRDefault="00E3285D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</w:t>
      </w:r>
      <w:r w:rsidR="0068210F">
        <w:rPr>
          <w:lang w:val="es-MX"/>
        </w:rPr>
        <w:t>ó</w:t>
      </w:r>
      <w:r>
        <w:rPr>
          <w:lang w:val="es-MX"/>
        </w:rPr>
        <w:t>n.</w:t>
      </w:r>
      <w:r>
        <w:rPr>
          <w:lang w:val="es-MX"/>
        </w:rPr>
        <w:tab/>
        <w:t xml:space="preserve">       455,979.00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 w:rsidR="00E3285D">
        <w:rPr>
          <w:lang w:val="es-MX"/>
        </w:rPr>
        <w:t xml:space="preserve"> </w:t>
      </w:r>
      <w:r w:rsidRPr="000F6B3C">
        <w:rPr>
          <w:lang w:val="es-MX"/>
        </w:rPr>
        <w:t xml:space="preserve"> </w:t>
      </w:r>
      <w:r w:rsidR="00907AB2">
        <w:rPr>
          <w:lang w:val="es-MX"/>
        </w:rPr>
        <w:t>2</w:t>
      </w:r>
      <w:r w:rsidR="00F03E9E">
        <w:rPr>
          <w:lang w:val="es-MX"/>
        </w:rPr>
        <w:t>44</w:t>
      </w:r>
      <w:r w:rsidR="00907AB2">
        <w:rPr>
          <w:lang w:val="es-MX"/>
        </w:rPr>
        <w:t>,</w:t>
      </w:r>
      <w:r w:rsidR="00F03E9E">
        <w:rPr>
          <w:lang w:val="es-MX"/>
        </w:rPr>
        <w:t>61</w:t>
      </w:r>
      <w:r w:rsidR="00907AB2">
        <w:rPr>
          <w:lang w:val="es-MX"/>
        </w:rPr>
        <w:t>2.00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C261C8">
        <w:rPr>
          <w:lang w:val="es-MX"/>
        </w:rPr>
        <w:t>334,43</w:t>
      </w:r>
      <w:r w:rsidR="00F03E9E">
        <w:rPr>
          <w:lang w:val="es-MX"/>
        </w:rPr>
        <w:t>0</w:t>
      </w:r>
      <w:r w:rsidR="00A011C4">
        <w:rPr>
          <w:lang w:val="es-MX"/>
        </w:rPr>
        <w:t>.00</w:t>
      </w:r>
    </w:p>
    <w:p w:rsid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A011C4">
        <w:rPr>
          <w:lang w:val="es-MX"/>
        </w:rPr>
        <w:t>879,744.00</w:t>
      </w:r>
    </w:p>
    <w:p w:rsidR="00A011C4" w:rsidRPr="0068210F" w:rsidRDefault="00A011C4" w:rsidP="00640C94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</w:t>
      </w:r>
      <w:r w:rsidR="00E3285D" w:rsidRPr="0068210F">
        <w:rPr>
          <w:u w:val="single"/>
          <w:lang w:val="es-MX"/>
        </w:rPr>
        <w:t xml:space="preserve"> </w:t>
      </w:r>
      <w:r w:rsidRPr="0068210F">
        <w:rPr>
          <w:u w:val="single"/>
          <w:lang w:val="es-MX"/>
        </w:rPr>
        <w:t xml:space="preserve">    8,294.00</w:t>
      </w:r>
    </w:p>
    <w:p w:rsidR="000A26F3" w:rsidRDefault="00640C94" w:rsidP="00DF3429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DF3429" w:rsidRPr="000F6B3C">
        <w:rPr>
          <w:lang w:val="es-MX"/>
        </w:rPr>
        <w:t>Total</w:t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8A4EE3">
        <w:rPr>
          <w:b/>
          <w:lang w:val="es-MX"/>
        </w:rPr>
        <w:t>$</w:t>
      </w:r>
      <w:r w:rsidR="004D61D0">
        <w:rPr>
          <w:b/>
          <w:lang w:val="es-MX"/>
        </w:rPr>
        <w:t>10,</w:t>
      </w:r>
      <w:r w:rsidR="00C65D50">
        <w:rPr>
          <w:b/>
          <w:lang w:val="es-MX"/>
        </w:rPr>
        <w:t>742,834.00</w:t>
      </w:r>
    </w:p>
    <w:p w:rsidR="004D61D0" w:rsidRDefault="004D61D0" w:rsidP="00DF3429">
      <w:pPr>
        <w:pStyle w:val="ROMANOS"/>
        <w:spacing w:after="0" w:line="240" w:lineRule="exact"/>
        <w:rPr>
          <w:lang w:val="es-MX"/>
        </w:rPr>
      </w:pPr>
    </w:p>
    <w:p w:rsidR="00E4745C" w:rsidRPr="00E4745C" w:rsidRDefault="00981BF2" w:rsidP="00E4745C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</w:t>
      </w:r>
      <w:r w:rsidR="00E4745C">
        <w:rPr>
          <w:lang w:val="es-MX"/>
        </w:rPr>
        <w:t xml:space="preserve">  </w:t>
      </w:r>
      <w:r>
        <w:rPr>
          <w:lang w:val="es-MX"/>
        </w:rPr>
        <w:t>La cuenta de activo fijo del Instituto de Catastro</w:t>
      </w:r>
      <w:r w:rsidR="007272A1">
        <w:rPr>
          <w:lang w:val="es-MX"/>
        </w:rPr>
        <w:t xml:space="preserve"> a</w:t>
      </w:r>
      <w:r w:rsidR="007B6D81">
        <w:rPr>
          <w:lang w:val="es-MX"/>
        </w:rPr>
        <w:t>l 30</w:t>
      </w:r>
      <w:r w:rsidR="007272A1">
        <w:rPr>
          <w:lang w:val="es-MX"/>
        </w:rPr>
        <w:t xml:space="preserve"> de </w:t>
      </w:r>
      <w:r w:rsidR="007B6D81">
        <w:rPr>
          <w:lang w:val="es-MX"/>
        </w:rPr>
        <w:t xml:space="preserve">junio </w:t>
      </w:r>
      <w:r w:rsidR="007272A1">
        <w:rPr>
          <w:lang w:val="es-MX"/>
        </w:rPr>
        <w:t>de 2020 no</w:t>
      </w:r>
      <w:r w:rsidR="00232BF3">
        <w:rPr>
          <w:lang w:val="es-MX"/>
        </w:rPr>
        <w:t xml:space="preserve"> fue </w:t>
      </w:r>
      <w:r w:rsidR="007272A1">
        <w:rPr>
          <w:lang w:val="es-MX"/>
        </w:rPr>
        <w:t>modificada.</w:t>
      </w:r>
      <w:r w:rsidR="007B6D81">
        <w:rPr>
          <w:lang w:val="es-MX"/>
        </w:rPr>
        <w:t xml:space="preserve"> Cabe señalar que en cuanto la Dirección de Recursos Materiales Servicios y Adquisiciones efectúe las bajas correspondientes de bienes que fueron entregados para su proceso de desincorporación, el IDC proceder</w:t>
      </w:r>
      <w:r w:rsidR="00E4745C">
        <w:rPr>
          <w:lang w:val="es-MX"/>
        </w:rPr>
        <w:t xml:space="preserve">á a  la baja contable, por el importe de </w:t>
      </w:r>
      <w:r w:rsidR="00E4745C" w:rsidRPr="00E4745C">
        <w:rPr>
          <w:lang w:val="es-MX"/>
        </w:rPr>
        <w:t>$175,954.00</w:t>
      </w:r>
    </w:p>
    <w:p w:rsidR="006E4018" w:rsidRDefault="006E4018" w:rsidP="009D455B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 depreciación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E4745C" w:rsidRPr="000F6B3C" w:rsidRDefault="00E4745C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2A4338" w:rsidRDefault="002A627D" w:rsidP="002A627D">
      <w:pPr>
        <w:pStyle w:val="ROMANOS"/>
        <w:numPr>
          <w:ilvl w:val="0"/>
          <w:numId w:val="6"/>
        </w:numPr>
        <w:tabs>
          <w:tab w:val="clear" w:pos="720"/>
          <w:tab w:val="left" w:pos="723"/>
        </w:tabs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tienen registrados pasivos al 3</w:t>
      </w:r>
      <w:r w:rsidR="003353C0">
        <w:rPr>
          <w:lang w:val="es-MX"/>
        </w:rPr>
        <w:t>0</w:t>
      </w:r>
      <w:r w:rsidR="008158F5">
        <w:rPr>
          <w:lang w:val="es-MX"/>
        </w:rPr>
        <w:t xml:space="preserve"> de </w:t>
      </w:r>
      <w:r w:rsidR="003353C0">
        <w:rPr>
          <w:lang w:val="es-MX"/>
        </w:rPr>
        <w:t xml:space="preserve">junio </w:t>
      </w:r>
      <w:r w:rsidR="007272A1">
        <w:rPr>
          <w:lang w:val="es-MX"/>
        </w:rPr>
        <w:t>de 2020</w:t>
      </w:r>
      <w:r>
        <w:rPr>
          <w:lang w:val="es-MX"/>
        </w:rPr>
        <w:t>.</w:t>
      </w:r>
    </w:p>
    <w:p w:rsidR="009B150C" w:rsidRPr="009B150C" w:rsidRDefault="009B150C" w:rsidP="009B150C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  <w:bookmarkStart w:id="5" w:name="_GoBack"/>
      <w:bookmarkEnd w:id="5"/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7272A1" w:rsidRDefault="00DF3429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>Se registraron</w:t>
      </w:r>
      <w:r w:rsidR="005860F2"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 ingresos </w:t>
      </w:r>
      <w:r w:rsidR="00E4745C">
        <w:rPr>
          <w:rFonts w:ascii="Arial" w:eastAsia="Times New Roman" w:hAnsi="Arial" w:cs="Arial"/>
          <w:sz w:val="18"/>
          <w:szCs w:val="18"/>
          <w:lang w:eastAsia="es-ES"/>
        </w:rPr>
        <w:t xml:space="preserve">al 30 de junio </w:t>
      </w:r>
      <w:r w:rsidR="007272A1"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p w:rsidR="007E46DD" w:rsidRDefault="007E46DD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61"/>
        <w:gridCol w:w="1677"/>
        <w:gridCol w:w="1395"/>
        <w:gridCol w:w="1474"/>
      </w:tblGrid>
      <w:tr w:rsidR="007272A1" w:rsidRPr="00062D05" w:rsidTr="007E46DD">
        <w:trPr>
          <w:trHeight w:val="241"/>
          <w:jc w:val="center"/>
        </w:trPr>
        <w:tc>
          <w:tcPr>
            <w:tcW w:w="546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677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PRESUPUESTAL</w:t>
            </w:r>
          </w:p>
        </w:tc>
        <w:tc>
          <w:tcPr>
            <w:tcW w:w="1395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FINANCIERO</w:t>
            </w:r>
          </w:p>
        </w:tc>
        <w:tc>
          <w:tcPr>
            <w:tcW w:w="1474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2F1C38" w:rsidRPr="00062D05" w:rsidTr="00120AA1">
        <w:trPr>
          <w:trHeight w:val="241"/>
          <w:jc w:val="center"/>
        </w:trPr>
        <w:tc>
          <w:tcPr>
            <w:tcW w:w="546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(Ministración de gasto operativo)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5" w:type="dxa"/>
          </w:tcPr>
          <w:p w:rsidR="002F1C38" w:rsidRPr="004B2B1A" w:rsidRDefault="002F1C38" w:rsidP="002F1C38">
            <w:pPr>
              <w:jc w:val="right"/>
              <w:rPr>
                <w:rFonts w:ascii="Calibri" w:hAnsi="Calibri"/>
                <w:color w:val="000000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016D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584,051</w:t>
            </w:r>
            <w:r w:rsidRPr="004B2B1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474" w:type="dxa"/>
          </w:tcPr>
          <w:p w:rsidR="002F1C38" w:rsidRPr="004B2B1A" w:rsidRDefault="002F1C38" w:rsidP="001E6B5F">
            <w:pPr>
              <w:jc w:val="right"/>
              <w:rPr>
                <w:rFonts w:ascii="Calibri" w:hAnsi="Calibri"/>
                <w:color w:val="000000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016D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584,051</w:t>
            </w:r>
            <w:r w:rsidRPr="004B2B1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00</w:t>
            </w:r>
          </w:p>
        </w:tc>
      </w:tr>
      <w:tr w:rsidR="002F1C38" w:rsidRPr="00062D05" w:rsidTr="00120AA1">
        <w:trPr>
          <w:trHeight w:val="241"/>
          <w:jc w:val="center"/>
        </w:trPr>
        <w:tc>
          <w:tcPr>
            <w:tcW w:w="546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(Gasto médico)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5" w:type="dxa"/>
          </w:tcPr>
          <w:p w:rsidR="002F1C38" w:rsidRPr="004B2B1A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B2B1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119,938.0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74" w:type="dxa"/>
          </w:tcPr>
          <w:p w:rsidR="002F1C38" w:rsidRPr="004B2B1A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B2B1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119,938.0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2F1C38" w:rsidRPr="00062D05" w:rsidTr="00120AA1">
        <w:trPr>
          <w:trHeight w:val="228"/>
          <w:jc w:val="center"/>
        </w:trPr>
        <w:tc>
          <w:tcPr>
            <w:tcW w:w="546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2F1C38" w:rsidRPr="00062D05" w:rsidRDefault="003353C0" w:rsidP="00DD4E4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$2,102,59</w:t>
            </w:r>
            <w:r w:rsidR="00DD4E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="002F1C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395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74" w:type="dxa"/>
          </w:tcPr>
          <w:p w:rsidR="002F1C38" w:rsidRPr="00062D05" w:rsidRDefault="002F1C38" w:rsidP="003353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$2,102,59</w:t>
            </w:r>
            <w:r w:rsidR="003353C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</w:tr>
      <w:tr w:rsidR="002F1C38" w:rsidRPr="00062D05" w:rsidTr="00120AA1">
        <w:trPr>
          <w:trHeight w:val="241"/>
          <w:jc w:val="center"/>
        </w:trPr>
        <w:tc>
          <w:tcPr>
            <w:tcW w:w="546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F1C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39,220.00</w:t>
            </w:r>
          </w:p>
        </w:tc>
        <w:tc>
          <w:tcPr>
            <w:tcW w:w="1395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74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F1C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39,220.00</w:t>
            </w:r>
          </w:p>
        </w:tc>
      </w:tr>
      <w:tr w:rsidR="00062D05" w:rsidRPr="00062D05" w:rsidTr="007E46DD">
        <w:trPr>
          <w:trHeight w:val="241"/>
          <w:jc w:val="center"/>
        </w:trPr>
        <w:tc>
          <w:tcPr>
            <w:tcW w:w="546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5" w:type="dxa"/>
          </w:tcPr>
          <w:p w:rsidR="00062D05" w:rsidRPr="00062D05" w:rsidRDefault="00787E89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  <w:r w:rsidR="00062D05"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474" w:type="dxa"/>
            <w:vAlign w:val="center"/>
          </w:tcPr>
          <w:p w:rsidR="00062D05" w:rsidRPr="002F1C38" w:rsidRDefault="00787E89" w:rsidP="00062D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  <w:r w:rsidR="002F1C38" w:rsidRPr="002F1C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</w:tr>
      <w:tr w:rsidR="00062D05" w:rsidRPr="00062D05" w:rsidTr="002F1C38">
        <w:trPr>
          <w:trHeight w:val="231"/>
          <w:jc w:val="center"/>
        </w:trPr>
        <w:tc>
          <w:tcPr>
            <w:tcW w:w="546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677" w:type="dxa"/>
            <w:vAlign w:val="bottom"/>
          </w:tcPr>
          <w:p w:rsidR="002F1C38" w:rsidRPr="002F1C38" w:rsidRDefault="00DD4E42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$2,141,812</w:t>
            </w:r>
            <w:r w:rsidR="002F1C38" w:rsidRPr="002F1C3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  <w:r w:rsidR="002F1C3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00</w:t>
            </w:r>
          </w:p>
          <w:p w:rsidR="00062D05" w:rsidRPr="002F1C38" w:rsidRDefault="00062D05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95" w:type="dxa"/>
            <w:vAlign w:val="bottom"/>
          </w:tcPr>
          <w:p w:rsidR="002F1C38" w:rsidRPr="002F1C38" w:rsidRDefault="002F1C38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F1C38" w:rsidRPr="002F1C38" w:rsidRDefault="002F1C38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F1C3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787E8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704,008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  <w:p w:rsidR="00062D05" w:rsidRPr="002F1C38" w:rsidRDefault="00062D05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74" w:type="dxa"/>
            <w:vAlign w:val="bottom"/>
          </w:tcPr>
          <w:p w:rsidR="002F1C38" w:rsidRPr="002F1C38" w:rsidRDefault="002F1C38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$2,845,82</w:t>
            </w:r>
            <w:r w:rsidR="00787E8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  <w:p w:rsidR="00062D05" w:rsidRPr="002F1C38" w:rsidRDefault="00062D05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7272A1" w:rsidRPr="00062D05" w:rsidRDefault="007272A1" w:rsidP="006571BB">
      <w:pPr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7E46DD" w:rsidRDefault="00D7394C" w:rsidP="00D7394C">
      <w:pPr>
        <w:pStyle w:val="ROMANOS"/>
        <w:numPr>
          <w:ilvl w:val="0"/>
          <w:numId w:val="12"/>
        </w:numPr>
        <w:tabs>
          <w:tab w:val="clear" w:pos="720"/>
          <w:tab w:val="left" w:pos="288"/>
        </w:tabs>
        <w:spacing w:after="0" w:line="240" w:lineRule="exact"/>
        <w:rPr>
          <w:lang w:val="es-MX"/>
        </w:rPr>
      </w:pPr>
      <w:r>
        <w:rPr>
          <w:lang w:val="es-MX"/>
        </w:rPr>
        <w:t>I</w:t>
      </w:r>
      <w:r w:rsidR="00062D05">
        <w:rPr>
          <w:lang w:val="es-MX"/>
        </w:rPr>
        <w:t>ngresos</w:t>
      </w:r>
      <w:r w:rsidR="007E46DD">
        <w:rPr>
          <w:lang w:val="es-MX"/>
        </w:rPr>
        <w:t xml:space="preserve"> por concepto de transferencias que incluye tanto cargos presupuestales (Registro de nómina e impuesto sobre nóminas) como financieros (ministración de recursos de gasto operativo) por la cantidad de $</w:t>
      </w:r>
      <w:r w:rsidR="006B615E">
        <w:rPr>
          <w:lang w:val="es-MX"/>
        </w:rPr>
        <w:t>2,845,801.00</w:t>
      </w:r>
      <w:r w:rsidR="007E46DD">
        <w:rPr>
          <w:lang w:val="es-MX"/>
        </w:rPr>
        <w:t>.</w:t>
      </w:r>
      <w:r w:rsidR="006B615E">
        <w:rPr>
          <w:lang w:val="es-MX"/>
        </w:rPr>
        <w:t xml:space="preserve"> </w:t>
      </w:r>
    </w:p>
    <w:p w:rsidR="007E46DD" w:rsidRDefault="007E46DD" w:rsidP="007E46DD">
      <w:pPr>
        <w:pStyle w:val="ROMANOS"/>
        <w:tabs>
          <w:tab w:val="clear" w:pos="720"/>
          <w:tab w:val="left" w:pos="288"/>
        </w:tabs>
        <w:spacing w:after="0" w:line="240" w:lineRule="exact"/>
        <w:ind w:left="284" w:firstLine="4"/>
        <w:rPr>
          <w:lang w:val="es-MX"/>
        </w:rPr>
      </w:pPr>
    </w:p>
    <w:p w:rsidR="00062D05" w:rsidRDefault="007E46DD" w:rsidP="00D7394C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Productos financieros </w:t>
      </w:r>
      <w:r w:rsidR="00062D05">
        <w:rPr>
          <w:lang w:val="es-MX"/>
        </w:rPr>
        <w:t>por la cantidad de $</w:t>
      </w:r>
      <w:r w:rsidR="00787E89">
        <w:rPr>
          <w:lang w:val="es-MX"/>
        </w:rPr>
        <w:t>20</w:t>
      </w:r>
      <w:r>
        <w:rPr>
          <w:lang w:val="es-MX"/>
        </w:rPr>
        <w:t>.00.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Pr="007E46DD" w:rsidRDefault="007E46DD" w:rsidP="007E46DD">
      <w:pPr>
        <w:pStyle w:val="ROMANOS"/>
        <w:spacing w:after="0" w:line="240" w:lineRule="exact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 w:rsidR="00F3780C">
        <w:rPr>
          <w:b/>
          <w:lang w:val="es-MX"/>
        </w:rPr>
        <w:t xml:space="preserve"> (transferencias)</w:t>
      </w:r>
      <w:r w:rsidRPr="007E46DD">
        <w:rPr>
          <w:b/>
          <w:lang w:val="es-MX"/>
        </w:rPr>
        <w:t xml:space="preserve"> por el importe de $</w:t>
      </w:r>
      <w:r w:rsidR="006B615E">
        <w:rPr>
          <w:b/>
          <w:lang w:val="es-MX"/>
        </w:rPr>
        <w:t>2,845,82</w:t>
      </w:r>
      <w:r w:rsidR="00787E89">
        <w:rPr>
          <w:b/>
          <w:lang w:val="es-MX"/>
        </w:rPr>
        <w:t>1</w:t>
      </w:r>
      <w:r w:rsidR="006B615E">
        <w:rPr>
          <w:b/>
          <w:lang w:val="es-MX"/>
        </w:rPr>
        <w:t>.00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68210F" w:rsidRDefault="0068210F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</w:p>
    <w:p w:rsidR="00CE4951" w:rsidRDefault="00B76009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  <w:r>
        <w:rPr>
          <w:lang w:val="es-MX"/>
        </w:rPr>
        <w:t>Es importante mencionar que</w:t>
      </w:r>
      <w:r w:rsidR="007E46DD">
        <w:rPr>
          <w:lang w:val="es-MX"/>
        </w:rPr>
        <w:t xml:space="preserve"> el Instituto de Catastro solicitó en recurso financiero por concepto de Gasto Médico correspondiente a los meses de febrero y marzo del presente ejercicio fiscal, </w:t>
      </w:r>
      <w:r w:rsidR="006B615E">
        <w:rPr>
          <w:lang w:val="es-MX"/>
        </w:rPr>
        <w:t xml:space="preserve">mismo que fueron ministrados en el mes de junio </w:t>
      </w:r>
      <w:r w:rsidR="007E46DD">
        <w:rPr>
          <w:lang w:val="es-MX"/>
        </w:rPr>
        <w:t xml:space="preserve">por parte de </w:t>
      </w:r>
      <w:r>
        <w:rPr>
          <w:lang w:val="es-MX"/>
        </w:rPr>
        <w:t>la Dirección de Presupuesto de la Secretaría de Planeación y Finanzas</w:t>
      </w:r>
      <w:r w:rsidR="007E46DD">
        <w:rPr>
          <w:lang w:val="es-MX"/>
        </w:rPr>
        <w:t>.</w:t>
      </w: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CE4951" w:rsidRDefault="00CE4951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CE4951" w:rsidRDefault="00CE4951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Pr="00120AA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:rsidR="007E46DD" w:rsidRP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:rsidR="007E46DD" w:rsidRDefault="007E46DD" w:rsidP="007E46DD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551"/>
        <w:gridCol w:w="2410"/>
        <w:gridCol w:w="1559"/>
      </w:tblGrid>
      <w:tr w:rsidR="00D7394C" w:rsidTr="00D7394C">
        <w:trPr>
          <w:jc w:val="center"/>
        </w:trPr>
        <w:tc>
          <w:tcPr>
            <w:tcW w:w="2394" w:type="dxa"/>
          </w:tcPr>
          <w:p w:rsidR="007E46DD" w:rsidRDefault="007E46DD" w:rsidP="00D7394C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CAPÍTULO</w:t>
            </w:r>
          </w:p>
        </w:tc>
        <w:tc>
          <w:tcPr>
            <w:tcW w:w="2551" w:type="dxa"/>
          </w:tcPr>
          <w:p w:rsidR="007E46DD" w:rsidRDefault="007E46DD" w:rsidP="00D7394C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PRESUPUESTAL</w:t>
            </w:r>
          </w:p>
        </w:tc>
        <w:tc>
          <w:tcPr>
            <w:tcW w:w="2410" w:type="dxa"/>
          </w:tcPr>
          <w:p w:rsidR="007E46DD" w:rsidRDefault="00D7394C" w:rsidP="00D7394C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FINANCIERO</w:t>
            </w:r>
          </w:p>
        </w:tc>
        <w:tc>
          <w:tcPr>
            <w:tcW w:w="1559" w:type="dxa"/>
          </w:tcPr>
          <w:p w:rsidR="007E46DD" w:rsidRDefault="00D7394C" w:rsidP="00D7394C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</w:tr>
      <w:tr w:rsidR="00787E89" w:rsidTr="00D7394C">
        <w:trPr>
          <w:jc w:val="center"/>
        </w:trPr>
        <w:tc>
          <w:tcPr>
            <w:tcW w:w="2394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D7394C">
              <w:rPr>
                <w:lang w:val="es-MX"/>
              </w:rPr>
              <w:t>Servicios personales</w:t>
            </w:r>
          </w:p>
        </w:tc>
        <w:tc>
          <w:tcPr>
            <w:tcW w:w="2551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$2,102,592.00</w:t>
            </w:r>
          </w:p>
        </w:tc>
        <w:tc>
          <w:tcPr>
            <w:tcW w:w="2410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$64,535.00</w:t>
            </w:r>
          </w:p>
        </w:tc>
        <w:tc>
          <w:tcPr>
            <w:tcW w:w="1559" w:type="dxa"/>
            <w:vAlign w:val="bottom"/>
          </w:tcPr>
          <w:p w:rsidR="00787E89" w:rsidRPr="00787E89" w:rsidRDefault="00787E89" w:rsidP="00787E8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87E89">
              <w:rPr>
                <w:rFonts w:ascii="Calibri" w:hAnsi="Calibri"/>
                <w:b/>
                <w:color w:val="000000"/>
              </w:rPr>
              <w:t>$2,167,127.00</w:t>
            </w:r>
          </w:p>
        </w:tc>
      </w:tr>
      <w:tr w:rsidR="00787E89" w:rsidTr="00D7394C">
        <w:trPr>
          <w:jc w:val="center"/>
        </w:trPr>
        <w:tc>
          <w:tcPr>
            <w:tcW w:w="2394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D7394C">
              <w:rPr>
                <w:lang w:val="es-MX"/>
              </w:rPr>
              <w:t>Materiales y Suministros</w:t>
            </w:r>
          </w:p>
        </w:tc>
        <w:tc>
          <w:tcPr>
            <w:tcW w:w="2551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0.00</w:t>
            </w:r>
          </w:p>
        </w:tc>
        <w:tc>
          <w:tcPr>
            <w:tcW w:w="2410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380,024.00</w:t>
            </w:r>
          </w:p>
        </w:tc>
        <w:tc>
          <w:tcPr>
            <w:tcW w:w="1559" w:type="dxa"/>
            <w:vAlign w:val="bottom"/>
          </w:tcPr>
          <w:p w:rsidR="00787E89" w:rsidRPr="00787E89" w:rsidRDefault="00787E89" w:rsidP="00787E8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87E89">
              <w:rPr>
                <w:rFonts w:ascii="Calibri" w:hAnsi="Calibri"/>
                <w:b/>
                <w:color w:val="000000"/>
              </w:rPr>
              <w:t>$380,024.00</w:t>
            </w:r>
          </w:p>
        </w:tc>
      </w:tr>
      <w:tr w:rsidR="00787E89" w:rsidTr="00D7394C">
        <w:trPr>
          <w:jc w:val="center"/>
        </w:trPr>
        <w:tc>
          <w:tcPr>
            <w:tcW w:w="2394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D7394C">
              <w:rPr>
                <w:lang w:val="es-MX"/>
              </w:rPr>
              <w:t>Servicios Generales</w:t>
            </w:r>
          </w:p>
        </w:tc>
        <w:tc>
          <w:tcPr>
            <w:tcW w:w="2551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39,220.00</w:t>
            </w:r>
          </w:p>
        </w:tc>
        <w:tc>
          <w:tcPr>
            <w:tcW w:w="2410" w:type="dxa"/>
          </w:tcPr>
          <w:p w:rsidR="00787E89" w:rsidRPr="00D7394C" w:rsidRDefault="00787E89" w:rsidP="00787E8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37,558.00</w:t>
            </w:r>
          </w:p>
        </w:tc>
        <w:tc>
          <w:tcPr>
            <w:tcW w:w="1559" w:type="dxa"/>
            <w:vAlign w:val="bottom"/>
          </w:tcPr>
          <w:p w:rsidR="00787E89" w:rsidRPr="00787E89" w:rsidRDefault="00787E89" w:rsidP="00787E8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87E89">
              <w:rPr>
                <w:rFonts w:ascii="Calibri" w:hAnsi="Calibri"/>
                <w:b/>
                <w:color w:val="000000"/>
              </w:rPr>
              <w:t>$76,778.00</w:t>
            </w:r>
          </w:p>
        </w:tc>
      </w:tr>
      <w:tr w:rsidR="00787E89" w:rsidTr="00D7394C">
        <w:trPr>
          <w:jc w:val="center"/>
        </w:trPr>
        <w:tc>
          <w:tcPr>
            <w:tcW w:w="2394" w:type="dxa"/>
          </w:tcPr>
          <w:p w:rsidR="00787E89" w:rsidRDefault="00787E89" w:rsidP="00787E8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2551" w:type="dxa"/>
            <w:vAlign w:val="bottom"/>
          </w:tcPr>
          <w:p w:rsidR="00787E89" w:rsidRPr="00787E89" w:rsidRDefault="00787E89" w:rsidP="00787E8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87E89">
              <w:rPr>
                <w:rFonts w:ascii="Calibri" w:hAnsi="Calibri"/>
                <w:b/>
                <w:color w:val="000000"/>
              </w:rPr>
              <w:t>$2,141,812.00</w:t>
            </w:r>
          </w:p>
        </w:tc>
        <w:tc>
          <w:tcPr>
            <w:tcW w:w="2410" w:type="dxa"/>
            <w:vAlign w:val="bottom"/>
          </w:tcPr>
          <w:p w:rsidR="00787E89" w:rsidRPr="00787E89" w:rsidRDefault="00787E89" w:rsidP="00787E8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87E89">
              <w:rPr>
                <w:rFonts w:ascii="Calibri" w:hAnsi="Calibri"/>
                <w:b/>
                <w:color w:val="000000"/>
              </w:rPr>
              <w:t>$482,117.00</w:t>
            </w:r>
          </w:p>
        </w:tc>
        <w:tc>
          <w:tcPr>
            <w:tcW w:w="1559" w:type="dxa"/>
            <w:vAlign w:val="bottom"/>
          </w:tcPr>
          <w:p w:rsidR="00787E89" w:rsidRPr="00787E89" w:rsidRDefault="00787E89" w:rsidP="00787E8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87E89">
              <w:rPr>
                <w:rFonts w:ascii="Calibri" w:hAnsi="Calibri"/>
                <w:b/>
                <w:color w:val="000000"/>
              </w:rPr>
              <w:t>$2,623,929.00</w:t>
            </w:r>
          </w:p>
        </w:tc>
      </w:tr>
    </w:tbl>
    <w:p w:rsidR="007E46DD" w:rsidRPr="00252B38" w:rsidRDefault="007E46DD" w:rsidP="007E46DD">
      <w:pPr>
        <w:pStyle w:val="ROMANOS"/>
        <w:spacing w:after="0" w:line="240" w:lineRule="exact"/>
        <w:rPr>
          <w:lang w:val="es-MX"/>
        </w:rPr>
      </w:pPr>
    </w:p>
    <w:p w:rsidR="00DF3429" w:rsidRPr="00216810" w:rsidRDefault="009458F4" w:rsidP="00120AA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G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astos por concepto de Servicios Personales ascienden a </w:t>
      </w:r>
      <w:r w:rsidR="00F031F7"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787E89" w:rsidRPr="00216810">
        <w:rPr>
          <w:rFonts w:ascii="Arial" w:eastAsia="Times New Roman" w:hAnsi="Arial" w:cs="Arial"/>
          <w:sz w:val="18"/>
          <w:szCs w:val="18"/>
          <w:lang w:eastAsia="es-ES"/>
        </w:rPr>
        <w:t>2,167,127.00</w:t>
      </w:r>
      <w:r w:rsidR="001F53D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mismos que incluyen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cargos presupuestales </w:t>
      </w:r>
      <w:r w:rsidR="00004482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la S.P. y F. conforme al Acuerdo por el que se establecen las bases para la administración de la nómina y el cumplimiento de las obligaciones fiscales federales y estatales del ITJ, ITC, ITPCD, IDC y FOMTLAX,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>por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remuneraciones al personal de carácter permanente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por $</w:t>
      </w:r>
      <w:r w:rsidR="00216810" w:rsidRPr="00216810">
        <w:rPr>
          <w:rFonts w:ascii="Arial" w:eastAsia="Times New Roman" w:hAnsi="Arial" w:cs="Arial"/>
          <w:sz w:val="18"/>
          <w:szCs w:val="18"/>
          <w:lang w:eastAsia="es-ES"/>
        </w:rPr>
        <w:t>1,716,943.00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remuneraciones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provisionadas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(devengos) por parte de la Dirección de Presupuesto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durante el </w:t>
      </w:r>
      <w:r w:rsidR="00216810">
        <w:rPr>
          <w:rFonts w:ascii="Arial" w:eastAsia="Times New Roman" w:hAnsi="Arial" w:cs="Arial"/>
          <w:sz w:val="18"/>
          <w:szCs w:val="18"/>
          <w:lang w:eastAsia="es-ES"/>
        </w:rPr>
        <w:t>semestre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por la cantidad de $ </w:t>
      </w:r>
      <w:r w:rsidR="00216810">
        <w:rPr>
          <w:rFonts w:ascii="Arial" w:eastAsia="Times New Roman" w:hAnsi="Arial" w:cs="Arial"/>
          <w:sz w:val="18"/>
          <w:szCs w:val="18"/>
          <w:lang w:eastAsia="es-ES"/>
        </w:rPr>
        <w:t>385,649</w:t>
      </w:r>
      <w:r w:rsidR="0021681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.00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siendo las percepciones siguientes: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aguinaldo,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prima vacacional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, bono anual y despensa especial de fin de año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>así como otras prestaciones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y </w:t>
      </w:r>
      <w:r w:rsidR="00264876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aportaciones a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pensiones, danto un total por concepto de nómina de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DD4E42">
        <w:rPr>
          <w:rFonts w:ascii="Arial" w:eastAsia="Times New Roman" w:hAnsi="Arial" w:cs="Arial"/>
          <w:sz w:val="18"/>
          <w:szCs w:val="18"/>
          <w:lang w:eastAsia="es-ES"/>
        </w:rPr>
        <w:t>2,102,592.00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; y financieros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por la cantidad de  $</w:t>
      </w:r>
      <w:r w:rsidR="0021681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64,535.00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pago de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servicio de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>gasto médico.</w:t>
      </w:r>
    </w:p>
    <w:p w:rsid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M</w:t>
      </w:r>
      <w:r w:rsidR="00DF3429">
        <w:rPr>
          <w:lang w:val="es-MX"/>
        </w:rPr>
        <w:t>ateriales y suministros se registraron erogaciones</w:t>
      </w:r>
      <w:r w:rsidR="00BA7251">
        <w:rPr>
          <w:lang w:val="es-MX"/>
        </w:rPr>
        <w:t xml:space="preserve"> financieras</w:t>
      </w:r>
      <w:r w:rsidR="00DF3429">
        <w:rPr>
          <w:lang w:val="es-MX"/>
        </w:rPr>
        <w:t xml:space="preserve"> </w:t>
      </w:r>
      <w:r w:rsidR="00DF3429" w:rsidRPr="00574EBC">
        <w:rPr>
          <w:lang w:val="es-MX"/>
        </w:rPr>
        <w:t>por $</w:t>
      </w:r>
      <w:r w:rsidR="00216810">
        <w:rPr>
          <w:lang w:val="es-MX"/>
        </w:rPr>
        <w:t>380,024.00</w:t>
      </w:r>
    </w:p>
    <w:p w:rsidR="009F0D30" w:rsidRP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458F4">
        <w:rPr>
          <w:lang w:val="es-MX"/>
        </w:rPr>
        <w:t>S</w:t>
      </w:r>
      <w:r w:rsidR="00DF3429" w:rsidRPr="009458F4">
        <w:rPr>
          <w:lang w:val="es-MX"/>
        </w:rPr>
        <w:t>ervicios Generales se registraron erogaciones</w:t>
      </w:r>
      <w:r>
        <w:rPr>
          <w:lang w:val="es-MX"/>
        </w:rPr>
        <w:t xml:space="preserve"> financieras</w:t>
      </w:r>
      <w:r w:rsidR="00DF3429" w:rsidRPr="009458F4">
        <w:rPr>
          <w:lang w:val="es-MX"/>
        </w:rPr>
        <w:t xml:space="preserve"> por </w:t>
      </w:r>
      <w:r w:rsidR="00BA7251" w:rsidRPr="009458F4">
        <w:rPr>
          <w:lang w:val="es-MX"/>
        </w:rPr>
        <w:t>$</w:t>
      </w:r>
      <w:r w:rsidR="00216810">
        <w:rPr>
          <w:lang w:val="es-MX"/>
        </w:rPr>
        <w:t>76,778.00</w:t>
      </w:r>
      <w:r w:rsidR="00447FFA" w:rsidRPr="009458F4">
        <w:rPr>
          <w:lang w:val="es-MX"/>
        </w:rPr>
        <w:t>, incluye cargo presupuestal por concepto de impuesto sobre nómina por la cantidad de $</w:t>
      </w:r>
      <w:r w:rsidR="00216810">
        <w:rPr>
          <w:lang w:val="es-MX"/>
        </w:rPr>
        <w:t>39,220.00</w:t>
      </w:r>
      <w:r>
        <w:rPr>
          <w:lang w:val="es-MX"/>
        </w:rPr>
        <w:t xml:space="preserve"> y financieras por $</w:t>
      </w:r>
      <w:r w:rsidR="00216810">
        <w:rPr>
          <w:lang w:val="es-MX"/>
        </w:rPr>
        <w:t>37,558.00</w:t>
      </w:r>
      <w:r w:rsidR="0068210F">
        <w:rPr>
          <w:lang w:val="es-MX"/>
        </w:rPr>
        <w:t>.</w:t>
      </w:r>
    </w:p>
    <w:p w:rsidR="009F0D30" w:rsidRDefault="009F0D30" w:rsidP="009F0D30">
      <w:pPr>
        <w:pStyle w:val="ROMANOS"/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8E129E" w:rsidRPr="008E129E" w:rsidRDefault="00DF3429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modificó, </w:t>
      </w:r>
      <w:r w:rsidR="00BC7FE0">
        <w:rPr>
          <w:lang w:val="es-MX"/>
        </w:rPr>
        <w:t xml:space="preserve">en virtud de que se pagaron gastos </w:t>
      </w:r>
      <w:r w:rsidR="009F0D30">
        <w:rPr>
          <w:lang w:val="es-MX"/>
        </w:rPr>
        <w:t>médicos generados en 201</w:t>
      </w:r>
      <w:r w:rsidR="009458F4">
        <w:rPr>
          <w:lang w:val="es-MX"/>
        </w:rPr>
        <w:t>9</w:t>
      </w:r>
      <w:r w:rsidR="009F0D30">
        <w:rPr>
          <w:lang w:val="es-MX"/>
        </w:rPr>
        <w:t>, previamente autorizados en la primera acta de Consejo Técnico</w:t>
      </w:r>
      <w:r w:rsidR="008E129E">
        <w:rPr>
          <w:lang w:val="es-MX"/>
        </w:rPr>
        <w:t xml:space="preserve"> 2020</w:t>
      </w:r>
      <w:r w:rsidR="009F0D30">
        <w:rPr>
          <w:lang w:val="es-MX"/>
        </w:rPr>
        <w:t>, por la cantidad de $</w:t>
      </w:r>
      <w:r w:rsidR="00F139DD">
        <w:rPr>
          <w:lang w:val="es-MX"/>
        </w:rPr>
        <w:t>23,461.00</w:t>
      </w:r>
      <w:r w:rsidR="009C5F09">
        <w:rPr>
          <w:lang w:val="es-MX"/>
        </w:rPr>
        <w:t>, quedando un saldo</w:t>
      </w:r>
      <w:r w:rsidR="008E129E">
        <w:rPr>
          <w:lang w:val="es-MX"/>
        </w:rPr>
        <w:t xml:space="preserve"> </w:t>
      </w:r>
      <w:r w:rsidR="008E129E" w:rsidRPr="008E129E">
        <w:rPr>
          <w:lang w:val="es-MX"/>
        </w:rPr>
        <w:t xml:space="preserve">financiero de </w:t>
      </w:r>
      <w:r w:rsidR="005F6932" w:rsidRPr="005F6932">
        <w:rPr>
          <w:lang w:val="es-MX"/>
        </w:rPr>
        <w:t>$267,086</w:t>
      </w:r>
      <w:r w:rsidR="004C0C6A">
        <w:rPr>
          <w:lang w:val="es-MX"/>
        </w:rPr>
        <w:t>.00</w:t>
      </w:r>
      <w:r w:rsidR="005F6932" w:rsidRPr="005F6932">
        <w:rPr>
          <w:lang w:val="es-MX"/>
        </w:rPr>
        <w:t xml:space="preserve"> </w:t>
      </w:r>
      <w:r w:rsidR="008E129E" w:rsidRPr="008E129E">
        <w:rPr>
          <w:lang w:val="es-MX"/>
        </w:rPr>
        <w:t xml:space="preserve">y presupuestal por la cantidad de </w:t>
      </w:r>
      <w:r w:rsidR="005F6932" w:rsidRPr="005F6932">
        <w:rPr>
          <w:lang w:val="es-MX"/>
        </w:rPr>
        <w:t>$54,104.00</w:t>
      </w:r>
      <w:r w:rsidR="008E129E" w:rsidRPr="008E129E">
        <w:rPr>
          <w:lang w:val="es-MX"/>
        </w:rPr>
        <w:t xml:space="preserve"> dando un </w:t>
      </w:r>
      <w:r w:rsidR="005F6932">
        <w:rPr>
          <w:lang w:val="es-MX"/>
        </w:rPr>
        <w:t xml:space="preserve">saldo final </w:t>
      </w:r>
      <w:r w:rsidR="008E129E" w:rsidRPr="008E129E">
        <w:rPr>
          <w:lang w:val="es-MX"/>
        </w:rPr>
        <w:t xml:space="preserve">de </w:t>
      </w:r>
      <w:r w:rsidR="008E129E" w:rsidRPr="005F6932">
        <w:rPr>
          <w:lang w:val="es-MX"/>
        </w:rPr>
        <w:t>$321,190.00</w:t>
      </w:r>
      <w:r w:rsidR="005F6932">
        <w:rPr>
          <w:lang w:val="es-MX"/>
        </w:rPr>
        <w:t>.</w:t>
      </w:r>
    </w:p>
    <w:p w:rsidR="009C5F09" w:rsidRPr="009C5F09" w:rsidRDefault="009C5F09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Pr="000F6B3C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BC7FE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2019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45" w:rsidRPr="000F6B3C" w:rsidRDefault="00216810" w:rsidP="00CC675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488,978.00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290,548.00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lastRenderedPageBreak/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F630FF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F630FF" w:rsidP="00F630F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216810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488,978.00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290,548.00</w:t>
            </w:r>
          </w:p>
        </w:tc>
      </w:tr>
    </w:tbl>
    <w:p w:rsidR="00385231" w:rsidRDefault="00385231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:rsidR="00F705D7" w:rsidRDefault="00385231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 xml:space="preserve">Es importante </w:t>
      </w:r>
      <w:r w:rsidR="0051049E">
        <w:rPr>
          <w:szCs w:val="18"/>
          <w:lang w:val="es-MX"/>
        </w:rPr>
        <w:t>aclarar</w:t>
      </w:r>
      <w:r>
        <w:rPr>
          <w:szCs w:val="18"/>
          <w:lang w:val="es-MX"/>
        </w:rPr>
        <w:t xml:space="preserve"> que </w:t>
      </w:r>
      <w:r w:rsidR="00D26485">
        <w:rPr>
          <w:szCs w:val="18"/>
          <w:lang w:val="es-MX"/>
        </w:rPr>
        <w:t xml:space="preserve">este Estado </w:t>
      </w:r>
      <w:r w:rsidR="009C5F09">
        <w:rPr>
          <w:szCs w:val="18"/>
          <w:lang w:val="es-MX"/>
        </w:rPr>
        <w:t>F</w:t>
      </w:r>
      <w:r w:rsidR="00D26485">
        <w:rPr>
          <w:szCs w:val="18"/>
          <w:lang w:val="es-MX"/>
        </w:rPr>
        <w:t>inanciero</w:t>
      </w:r>
      <w:r>
        <w:rPr>
          <w:szCs w:val="18"/>
          <w:lang w:val="es-MX"/>
        </w:rPr>
        <w:t>, está</w:t>
      </w:r>
      <w:r w:rsidR="00D26485">
        <w:rPr>
          <w:szCs w:val="18"/>
          <w:lang w:val="es-MX"/>
        </w:rPr>
        <w:t xml:space="preserve"> integrado</w:t>
      </w:r>
      <w:r>
        <w:rPr>
          <w:szCs w:val="18"/>
          <w:lang w:val="es-MX"/>
        </w:rPr>
        <w:t xml:space="preserve"> </w:t>
      </w:r>
      <w:r w:rsidR="008E129E">
        <w:rPr>
          <w:szCs w:val="18"/>
          <w:lang w:val="es-MX"/>
        </w:rPr>
        <w:t xml:space="preserve">únicamente por importes financieros (cargos y abonos) efectivamente reconocidos en bancos, en virtud que hasta al 31 de diciembre de 2019 éste estado financiero también </w:t>
      </w:r>
      <w:r w:rsidR="005368B2">
        <w:rPr>
          <w:szCs w:val="18"/>
          <w:lang w:val="es-MX"/>
        </w:rPr>
        <w:t>contemplaba movimiento</w:t>
      </w:r>
      <w:r w:rsidR="00457D9B">
        <w:rPr>
          <w:szCs w:val="18"/>
          <w:lang w:val="es-MX"/>
        </w:rPr>
        <w:t>s</w:t>
      </w:r>
      <w:r w:rsidR="005368B2">
        <w:rPr>
          <w:szCs w:val="18"/>
          <w:lang w:val="es-MX"/>
        </w:rPr>
        <w:t xml:space="preserve"> tanto </w:t>
      </w:r>
      <w:r w:rsidR="008E129E">
        <w:rPr>
          <w:szCs w:val="18"/>
          <w:lang w:val="es-MX"/>
        </w:rPr>
        <w:t xml:space="preserve">presupuestales como </w:t>
      </w:r>
      <w:r w:rsidR="005368B2">
        <w:rPr>
          <w:szCs w:val="18"/>
          <w:lang w:val="es-MX"/>
        </w:rPr>
        <w:t>financieros, si</w:t>
      </w:r>
      <w:r w:rsidR="008E129E">
        <w:rPr>
          <w:szCs w:val="18"/>
          <w:lang w:val="es-MX"/>
        </w:rPr>
        <w:t xml:space="preserve">n embrago esta situación ha sido observable por parte del Órgano de Fiscalización Superior </w:t>
      </w:r>
      <w:r w:rsidR="00F43F8D">
        <w:rPr>
          <w:szCs w:val="18"/>
          <w:lang w:val="es-MX"/>
        </w:rPr>
        <w:t>en distintas ocas</w:t>
      </w:r>
      <w:r w:rsidR="008E129E">
        <w:rPr>
          <w:szCs w:val="18"/>
          <w:lang w:val="es-MX"/>
        </w:rPr>
        <w:t xml:space="preserve">iones, por lo que </w:t>
      </w:r>
      <w:r w:rsidR="00F43F8D">
        <w:rPr>
          <w:szCs w:val="18"/>
          <w:lang w:val="es-MX"/>
        </w:rPr>
        <w:t>derivado de esto se ha soli</w:t>
      </w:r>
      <w:r w:rsidR="00185FFF">
        <w:rPr>
          <w:szCs w:val="18"/>
          <w:lang w:val="es-MX"/>
        </w:rPr>
        <w:t>ci</w:t>
      </w:r>
      <w:r w:rsidR="00F43F8D">
        <w:rPr>
          <w:szCs w:val="18"/>
          <w:lang w:val="es-MX"/>
        </w:rPr>
        <w:t>tad</w:t>
      </w:r>
      <w:r w:rsidR="00185FFF">
        <w:rPr>
          <w:szCs w:val="18"/>
          <w:lang w:val="es-MX"/>
        </w:rPr>
        <w:t>o el apoyo Institucional de la D</w:t>
      </w:r>
      <w:r w:rsidR="00F43F8D">
        <w:rPr>
          <w:szCs w:val="18"/>
          <w:lang w:val="es-MX"/>
        </w:rPr>
        <w:t>irección d</w:t>
      </w:r>
      <w:r w:rsidR="00F3780C">
        <w:rPr>
          <w:szCs w:val="18"/>
          <w:lang w:val="es-MX"/>
        </w:rPr>
        <w:t>e Contabilidad Gubernamental, por lo que d</w:t>
      </w:r>
      <w:r w:rsidR="00F43F8D">
        <w:rPr>
          <w:szCs w:val="18"/>
          <w:lang w:val="es-MX"/>
        </w:rPr>
        <w:t>e</w:t>
      </w:r>
      <w:r w:rsidR="00F3780C">
        <w:rPr>
          <w:szCs w:val="18"/>
          <w:lang w:val="es-MX"/>
        </w:rPr>
        <w:t xml:space="preserve"> </w:t>
      </w:r>
      <w:r w:rsidR="00F43F8D">
        <w:rPr>
          <w:szCs w:val="18"/>
          <w:lang w:val="es-MX"/>
        </w:rPr>
        <w:t xml:space="preserve">acuerdo </w:t>
      </w:r>
      <w:r w:rsidR="00F3780C">
        <w:rPr>
          <w:szCs w:val="18"/>
          <w:lang w:val="es-MX"/>
        </w:rPr>
        <w:t>a los</w:t>
      </w:r>
      <w:r w:rsidR="00F43F8D">
        <w:rPr>
          <w:szCs w:val="18"/>
          <w:lang w:val="es-MX"/>
        </w:rPr>
        <w:t xml:space="preserve"> artículo</w:t>
      </w:r>
      <w:r w:rsidR="0051049E">
        <w:rPr>
          <w:szCs w:val="18"/>
          <w:lang w:val="es-MX"/>
        </w:rPr>
        <w:t>s</w:t>
      </w:r>
      <w:r w:rsidR="00F43F8D">
        <w:rPr>
          <w:szCs w:val="18"/>
          <w:lang w:val="es-MX"/>
        </w:rPr>
        <w:t xml:space="preserve"> 272</w:t>
      </w:r>
      <w:r w:rsidR="00457D9B">
        <w:rPr>
          <w:szCs w:val="18"/>
          <w:lang w:val="es-MX"/>
        </w:rPr>
        <w:t xml:space="preserve"> y</w:t>
      </w:r>
      <w:r w:rsidR="00F43F8D">
        <w:rPr>
          <w:szCs w:val="18"/>
          <w:lang w:val="es-MX"/>
        </w:rPr>
        <w:t xml:space="preserve"> 302</w:t>
      </w:r>
      <w:r w:rsidR="0051049E">
        <w:rPr>
          <w:szCs w:val="18"/>
          <w:lang w:val="es-MX"/>
        </w:rPr>
        <w:t xml:space="preserve"> del Código fin</w:t>
      </w:r>
      <w:r w:rsidR="001719ED">
        <w:rPr>
          <w:szCs w:val="18"/>
          <w:lang w:val="es-MX"/>
        </w:rPr>
        <w:t>an</w:t>
      </w:r>
      <w:r w:rsidR="0051049E">
        <w:rPr>
          <w:szCs w:val="18"/>
          <w:lang w:val="es-MX"/>
        </w:rPr>
        <w:t>c</w:t>
      </w:r>
      <w:r w:rsidR="001719ED">
        <w:rPr>
          <w:szCs w:val="18"/>
          <w:lang w:val="es-MX"/>
        </w:rPr>
        <w:t>ie</w:t>
      </w:r>
      <w:r w:rsidR="0051049E">
        <w:rPr>
          <w:szCs w:val="18"/>
          <w:lang w:val="es-MX"/>
        </w:rPr>
        <w:t>ro para el Estado de Tlaxcala y sus Municipios</w:t>
      </w:r>
      <w:r w:rsidR="00EB2F80">
        <w:rPr>
          <w:szCs w:val="18"/>
          <w:lang w:val="es-MX"/>
        </w:rPr>
        <w:t xml:space="preserve"> y artícul</w:t>
      </w:r>
      <w:r w:rsidR="00457D9B">
        <w:rPr>
          <w:szCs w:val="18"/>
          <w:lang w:val="es-MX"/>
        </w:rPr>
        <w:t>os 17 y</w:t>
      </w:r>
      <w:r w:rsidR="00EB2F80">
        <w:rPr>
          <w:szCs w:val="18"/>
          <w:lang w:val="es-MX"/>
        </w:rPr>
        <w:t xml:space="preserve">  52 de la Ley General de Contabilidad Gu</w:t>
      </w:r>
      <w:r w:rsidR="0051049E">
        <w:rPr>
          <w:szCs w:val="18"/>
          <w:lang w:val="es-MX"/>
        </w:rPr>
        <w:t>bernamental</w:t>
      </w:r>
      <w:r w:rsidR="00185FFF">
        <w:rPr>
          <w:szCs w:val="18"/>
          <w:lang w:val="es-MX"/>
        </w:rPr>
        <w:t>, la elaboraci</w:t>
      </w:r>
      <w:r w:rsidR="00CC7D09">
        <w:rPr>
          <w:szCs w:val="18"/>
          <w:lang w:val="es-MX"/>
        </w:rPr>
        <w:t xml:space="preserve">ón </w:t>
      </w:r>
      <w:r w:rsidR="00457D9B">
        <w:rPr>
          <w:szCs w:val="18"/>
          <w:lang w:val="es-MX"/>
        </w:rPr>
        <w:t>de este documento</w:t>
      </w:r>
      <w:r w:rsidR="00CC7D09">
        <w:rPr>
          <w:szCs w:val="18"/>
          <w:lang w:val="es-MX"/>
        </w:rPr>
        <w:t xml:space="preserve"> a partir del 01 de enero al 3</w:t>
      </w:r>
      <w:r w:rsidR="00216810">
        <w:rPr>
          <w:szCs w:val="18"/>
          <w:lang w:val="es-MX"/>
        </w:rPr>
        <w:t>0</w:t>
      </w:r>
      <w:r w:rsidR="00CC7D09">
        <w:rPr>
          <w:szCs w:val="18"/>
          <w:lang w:val="es-MX"/>
        </w:rPr>
        <w:t xml:space="preserve"> de </w:t>
      </w:r>
      <w:r w:rsidR="00216810">
        <w:rPr>
          <w:szCs w:val="18"/>
          <w:lang w:val="es-MX"/>
        </w:rPr>
        <w:t>junio d</w:t>
      </w:r>
      <w:r w:rsidR="00CC7D09">
        <w:rPr>
          <w:szCs w:val="18"/>
          <w:lang w:val="es-MX"/>
        </w:rPr>
        <w:t>e 2020, se hace en base a efectivo.</w:t>
      </w:r>
    </w:p>
    <w:p w:rsidR="0051049E" w:rsidRPr="000F6B3C" w:rsidRDefault="0051049E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400DEE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 xml:space="preserve">jos de efectivo por el </w:t>
      </w:r>
      <w:r w:rsidRPr="00AF12C1">
        <w:rPr>
          <w:color w:val="000000" w:themeColor="text1"/>
          <w:szCs w:val="18"/>
          <w:lang w:val="es-MX"/>
        </w:rPr>
        <w:t xml:space="preserve">importe </w:t>
      </w:r>
      <w:r>
        <w:rPr>
          <w:color w:val="000000" w:themeColor="text1"/>
          <w:szCs w:val="18"/>
          <w:lang w:val="es-MX"/>
        </w:rPr>
        <w:t>$</w:t>
      </w:r>
      <w:r w:rsidR="00216810">
        <w:rPr>
          <w:color w:val="000000" w:themeColor="text1"/>
          <w:szCs w:val="18"/>
          <w:lang w:val="es-MX"/>
        </w:rPr>
        <w:t>198,430.00</w:t>
      </w:r>
      <w:r w:rsidR="000E7712">
        <w:rPr>
          <w:color w:val="000000" w:themeColor="text1"/>
          <w:szCs w:val="18"/>
          <w:lang w:val="es-MX"/>
        </w:rPr>
        <w:t>.</w:t>
      </w:r>
    </w:p>
    <w:p w:rsidR="00400DEE" w:rsidRPr="00400DEE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</w:t>
      </w:r>
      <w:r w:rsidR="00216810">
        <w:rPr>
          <w:szCs w:val="18"/>
          <w:lang w:val="es-MX"/>
        </w:rPr>
        <w:t xml:space="preserve"> del Instituto de Catastro al 30</w:t>
      </w:r>
      <w:r>
        <w:rPr>
          <w:szCs w:val="18"/>
          <w:lang w:val="es-MX"/>
        </w:rPr>
        <w:t xml:space="preserve"> de </w:t>
      </w:r>
      <w:r w:rsidR="00216810">
        <w:rPr>
          <w:szCs w:val="18"/>
          <w:lang w:val="es-MX"/>
        </w:rPr>
        <w:t xml:space="preserve">junio </w:t>
      </w:r>
      <w:r w:rsidR="00801BEA">
        <w:rPr>
          <w:szCs w:val="18"/>
          <w:lang w:val="es-MX"/>
        </w:rPr>
        <w:t>de 2020</w:t>
      </w:r>
      <w:r>
        <w:rPr>
          <w:szCs w:val="18"/>
          <w:lang w:val="es-MX"/>
        </w:rPr>
        <w:t>, se integra de la siguiente manera:</w:t>
      </w: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5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54"/>
      </w:tblGrid>
      <w:tr w:rsidR="00400DEE" w:rsidRPr="00400DEE" w:rsidTr="00400DEE">
        <w:trPr>
          <w:trHeight w:val="25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801B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 20</w:t>
            </w:r>
            <w:r w:rsidR="00801BE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00DEE" w:rsidP="00216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2168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221,872.00</w:t>
            </w:r>
          </w:p>
        </w:tc>
      </w:tr>
      <w:tr w:rsidR="00400DEE" w:rsidRPr="00400DEE" w:rsidTr="00400DEE">
        <w:trPr>
          <w:trHeight w:val="132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C0C6A" w:rsidP="004C0C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 2020</w:t>
            </w:r>
            <w:r w:rsidR="00400DEE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216810" w:rsidP="00801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  <w:r w:rsidR="00400DEE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</w:tr>
      <w:tr w:rsidR="00400DEE" w:rsidRPr="00400DEE" w:rsidTr="00400DEE">
        <w:trPr>
          <w:trHeight w:val="52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 w:rsidR="004C0C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5F6932" w:rsidP="005F693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>$267,086</w:t>
            </w:r>
            <w:r w:rsidR="00916047">
              <w:rPr>
                <w:rFonts w:ascii="Calibri" w:hAnsi="Calibri"/>
                <w:color w:val="000000"/>
              </w:rPr>
              <w:t>.00</w:t>
            </w:r>
          </w:p>
        </w:tc>
      </w:tr>
      <w:tr w:rsidR="00400DEE" w:rsidRPr="00400DEE" w:rsidTr="00426D93">
        <w:trPr>
          <w:trHeight w:val="169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26D93" w:rsidP="0021681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26D9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2168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488,978.00</w:t>
            </w:r>
          </w:p>
        </w:tc>
      </w:tr>
    </w:tbl>
    <w:p w:rsidR="000E7712" w:rsidRDefault="000E7712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0E7712" w:rsidRDefault="000E7712" w:rsidP="000E7712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F630FF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5F6932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5F69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5F6932">
              <w:rPr>
                <w:szCs w:val="18"/>
                <w:lang w:val="es-MX"/>
              </w:rPr>
              <w:t>19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216810" w:rsidP="004C0C6A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221,892.00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5F6932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300,442.00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5F6932" w:rsidRDefault="005F6932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00DEE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lastRenderedPageBreak/>
        <w:t>El resultad</w:t>
      </w:r>
      <w:r w:rsidR="00216810">
        <w:rPr>
          <w:color w:val="000000" w:themeColor="text1"/>
          <w:szCs w:val="18"/>
          <w:lang w:val="es-MX"/>
        </w:rPr>
        <w:t xml:space="preserve">o del ejercicio fiscal al 30 de junio </w:t>
      </w:r>
      <w:r w:rsidR="005F6932">
        <w:rPr>
          <w:color w:val="000000" w:themeColor="text1"/>
          <w:szCs w:val="18"/>
          <w:lang w:val="es-MX"/>
        </w:rPr>
        <w:t>se</w:t>
      </w:r>
      <w:r>
        <w:rPr>
          <w:color w:val="000000" w:themeColor="text1"/>
          <w:szCs w:val="18"/>
          <w:lang w:val="es-MX"/>
        </w:rPr>
        <w:t xml:space="preserve"> integra </w:t>
      </w:r>
      <w:r w:rsidR="00426D93">
        <w:rPr>
          <w:color w:val="000000" w:themeColor="text1"/>
          <w:szCs w:val="18"/>
          <w:lang w:val="es-MX"/>
        </w:rPr>
        <w:t>de manera financiera, como a continuación se detalla:</w:t>
      </w:r>
    </w:p>
    <w:p w:rsidR="00426D93" w:rsidRDefault="00426D9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11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1410"/>
        <w:gridCol w:w="4709"/>
      </w:tblGrid>
      <w:tr w:rsidR="00F24F9A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Resultado financiero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246F85" w:rsidP="0068486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684861">
              <w:rPr>
                <w:szCs w:val="18"/>
                <w:lang w:val="es-MX"/>
              </w:rPr>
              <w:t>221,892.00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68486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684861">
              <w:rPr>
                <w:szCs w:val="18"/>
                <w:lang w:val="es-MX"/>
              </w:rPr>
              <w:t>221,872.00 más productos financieros $20</w:t>
            </w:r>
            <w:r w:rsidRPr="00F24F9A">
              <w:rPr>
                <w:szCs w:val="18"/>
                <w:lang w:val="es-MX"/>
              </w:rPr>
              <w:t>.00</w:t>
            </w:r>
            <w:r>
              <w:rPr>
                <w:szCs w:val="18"/>
                <w:lang w:val="es-MX"/>
              </w:rPr>
              <w:t>.</w:t>
            </w:r>
          </w:p>
        </w:tc>
      </w:tr>
      <w:tr w:rsidR="00F24F9A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F24F9A">
              <w:rPr>
                <w:b/>
                <w:szCs w:val="18"/>
                <w:lang w:val="es-MX"/>
              </w:rPr>
              <w:t>Res</w:t>
            </w:r>
            <w:r w:rsidR="005D6782">
              <w:rPr>
                <w:b/>
                <w:szCs w:val="18"/>
                <w:lang w:val="es-MX"/>
              </w:rPr>
              <w:t>ultado del ejercicio fiscal 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246F85" w:rsidP="00684861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 w:rsidRPr="00246F85">
              <w:rPr>
                <w:b/>
                <w:szCs w:val="18"/>
                <w:lang w:val="es-MX"/>
              </w:rPr>
              <w:t>$</w:t>
            </w:r>
            <w:r w:rsidR="00684861">
              <w:rPr>
                <w:b/>
                <w:szCs w:val="18"/>
                <w:lang w:val="es-MX"/>
              </w:rPr>
              <w:t>221,892.00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 </w:t>
            </w:r>
          </w:p>
        </w:tc>
      </w:tr>
    </w:tbl>
    <w:p w:rsidR="00F24F9A" w:rsidRDefault="00F24F9A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30706A" w:rsidRDefault="00147276" w:rsidP="003B2773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Pr="000F6B3C" w:rsidRDefault="00147276" w:rsidP="0030706A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 w:rsidR="0030706A"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:rsidR="00AC339A" w:rsidRDefault="00AC339A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083778" w:rsidRPr="00CE4951" w:rsidTr="005468B5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1B1163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684861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6C5145"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junio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 w:rsidR="005F693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083778" w:rsidRPr="00CE4951" w:rsidTr="00426D93">
        <w:trPr>
          <w:trHeight w:val="66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6753" w:rsidRPr="00CE4951" w:rsidRDefault="00083778" w:rsidP="00684861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2,845,821.00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6C51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6C5145"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6C5145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6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684861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2,845,821.00</w:t>
            </w:r>
          </w:p>
        </w:tc>
      </w:tr>
    </w:tbl>
    <w:p w:rsidR="00F24F9A" w:rsidRDefault="00F24F9A" w:rsidP="000E7712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684861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30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junio 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20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684861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2,623,929.00</w:t>
            </w:r>
          </w:p>
        </w:tc>
      </w:tr>
      <w:tr w:rsidR="001B1163" w:rsidRPr="001B1163" w:rsidTr="00F24F9A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5468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5468B5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 w:rsidR="005B136D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4861" w:rsidRPr="001B1163" w:rsidRDefault="001B1163" w:rsidP="00684861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2,623,929.00</w:t>
            </w:r>
          </w:p>
        </w:tc>
      </w:tr>
    </w:tbl>
    <w:p w:rsidR="000E7712" w:rsidRDefault="00147276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lastRenderedPageBreak/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</w:t>
      </w:r>
      <w:r w:rsidR="000E7712">
        <w:rPr>
          <w:b/>
          <w:szCs w:val="18"/>
          <w:lang w:val="es-MX"/>
        </w:rPr>
        <w:t xml:space="preserve"> </w:t>
      </w:r>
      <w:r w:rsidRPr="000F6B3C">
        <w:rPr>
          <w:b/>
          <w:szCs w:val="18"/>
          <w:lang w:val="es-MX"/>
        </w:rPr>
        <w:t>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:rsidR="009C5F09" w:rsidRPr="00856D32" w:rsidRDefault="009C5F09" w:rsidP="00856D32">
      <w:pPr>
        <w:pStyle w:val="Texto"/>
        <w:spacing w:after="0" w:line="240" w:lineRule="exact"/>
        <w:ind w:firstLine="0"/>
        <w:rPr>
          <w:i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</w:t>
      </w:r>
      <w:r w:rsidR="005468B5">
        <w:rPr>
          <w:szCs w:val="18"/>
        </w:rPr>
        <w:t>el ejercicio fiscal 2020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 w:rsidR="00D112CC"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 w:rsidR="00D112CC">
        <w:rPr>
          <w:szCs w:val="18"/>
        </w:rPr>
        <w:t xml:space="preserve"> de Contabilidad Gubernamental.</w:t>
      </w: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9477DA" w:rsidRPr="000F6B3C" w:rsidRDefault="009477DA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923942" w:rsidRPr="005468B5" w:rsidRDefault="000B062C" w:rsidP="005468B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</w:t>
      </w:r>
      <w:r w:rsidR="00B424A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tro del Estado de Tlaxcala cue</w:t>
      </w:r>
      <w:r w:rsidR="00F630FF" w:rsidRPr="005468B5">
        <w:rPr>
          <w:rFonts w:ascii="Arial" w:eastAsia="Times New Roman" w:hAnsi="Arial" w:cs="Arial"/>
          <w:sz w:val="18"/>
          <w:szCs w:val="18"/>
          <w:lang w:val="es-ES" w:eastAsia="es-ES"/>
        </w:rPr>
        <w:t>nta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con un presupuesto autorizado y publicado en el periódico oficial del Gobierno del Estado de Tlaxcala, de</w:t>
      </w:r>
      <w:r w:rsidR="00EA12F8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$</w:t>
      </w:r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6,194,012.00 </w:t>
      </w:r>
      <w:r w:rsidR="00BC7FE0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publicado e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>l 24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diciembre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de 2019 en el peri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>ódico oficial el Decreto No. 19</w:t>
      </w:r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>0.</w:t>
      </w:r>
    </w:p>
    <w:p w:rsidR="00D112CC" w:rsidRPr="00A3276E" w:rsidRDefault="00D112CC" w:rsidP="00C84D5F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B424AC" w:rsidRDefault="005468B5" w:rsidP="00147276">
      <w:pPr>
        <w:pStyle w:val="INCISO"/>
        <w:spacing w:after="0" w:line="240" w:lineRule="exact"/>
      </w:pPr>
      <w:r>
        <w:t>c)</w:t>
      </w:r>
      <w:r>
        <w:tab/>
        <w:t>Ejercicio fiscal: 2020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 w:rsidR="00D112CC">
        <w:t>entralizado</w:t>
      </w:r>
      <w:r w:rsidRPr="000F6B3C">
        <w:t>.</w:t>
      </w:r>
    </w:p>
    <w:p w:rsidR="00D112C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6A03B8">
        <w:t xml:space="preserve">tastro </w:t>
      </w:r>
      <w:r w:rsidR="00D112CC">
        <w:t xml:space="preserve">sólo está obligado a cumplir con el </w:t>
      </w:r>
      <w:r w:rsidR="00D45351">
        <w:t>impuesto sobre nómina</w:t>
      </w:r>
      <w:r w:rsidR="00D112CC">
        <w:t>, sin embargo el pago está a cargo de la Secretaría de Planeación y Finanzas.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  <w:r w:rsidR="005468B5">
        <w:t xml:space="preserve"> (3 vigentes y 1 vacante).  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C962F5" w:rsidRPr="000F6B3C" w:rsidRDefault="00C962F5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 w:rsidR="000E7712">
        <w:t>s</w:t>
      </w:r>
      <w:r w:rsidRPr="000F6B3C">
        <w:t xml:space="preserve">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47276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</w:r>
      <w:r w:rsidR="004526EF">
        <w:t>Se registra el valor de bienes en contabilidad en observancia a las R</w:t>
      </w:r>
      <w:r w:rsidR="00536D38">
        <w:t>eglas Específicas del Registro y Valoración del Patrimonio</w:t>
      </w:r>
      <w:r w:rsidR="004526EF">
        <w:t>,</w:t>
      </w:r>
      <w:r w:rsidR="00536D38">
        <w:t xml:space="preserve"> emitidas por la Secretaría de Hacienda y Crédito Público; </w:t>
      </w:r>
      <w:r w:rsidR="004526EF">
        <w:t xml:space="preserve">mismos con son considerados en los resguardos que emite el Sistema de Activos Gubernamentales (SAG) administrado por la Dirección </w:t>
      </w:r>
      <w:r w:rsidR="00536D38">
        <w:t xml:space="preserve">de Recursos Materiales, </w:t>
      </w:r>
      <w:r w:rsidR="004526EF">
        <w:t>Servicios y</w:t>
      </w:r>
      <w:r w:rsidR="004526EF" w:rsidRPr="004526EF">
        <w:t xml:space="preserve"> </w:t>
      </w:r>
      <w:r w:rsidR="004526EF">
        <w:t>Adquisiciones, de la Oficialía Mayor de Gobierno.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5468B5">
        <w:t>scal 2020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C80645" w:rsidRPr="000F6B3C" w:rsidRDefault="005468B5" w:rsidP="005468B5">
      <w:pPr>
        <w:pStyle w:val="INCISO"/>
        <w:spacing w:after="0" w:line="240" w:lineRule="exact"/>
      </w:pPr>
      <w:r>
        <w:t xml:space="preserve">k)    Derivado de que los ingresos que percibe el Instituto de Catastro por parte de la Secretaría de Planeación y Finanzas es vía transferencias, por tanto a partir de la cuenta pública del 01 de enero del presente ejercicio fiscal, los ingresos son registrados en la cuenta 4221 “Transferencias” y no en la 4211 como anteriormente se realizaba, todo esto en base a las indicaciones emitidas por la Dirección de Contabilidad Gubernamental. Generando de esta manera que los ingresos sean clasificados en el rubro: </w:t>
      </w:r>
      <w:r w:rsidRPr="005468B5">
        <w:rPr>
          <w:b/>
        </w:rPr>
        <w:t>Ingresos de los Entes Públicos de los Poderes Legislativo y Judicial, de los Órganos Autónomos</w:t>
      </w:r>
      <w:r w:rsidR="00217732">
        <w:rPr>
          <w:b/>
        </w:rPr>
        <w:t xml:space="preserve"> </w:t>
      </w:r>
      <w:r w:rsidRPr="005468B5">
        <w:rPr>
          <w:b/>
        </w:rPr>
        <w:t>y del Sector Paraestatal o Paramunicipal, así como de las Empresas Productivas del Estado</w:t>
      </w:r>
      <w:r>
        <w:rPr>
          <w:b/>
        </w:rPr>
        <w:t xml:space="preserve"> “</w:t>
      </w:r>
      <w:r w:rsidRPr="005468B5">
        <w:rPr>
          <w:b/>
        </w:rPr>
        <w:t>TRANSFERENCIAS, ASIGNACIONES, SUBSIDIOS Y SUBVENCIONES, Y PENSIONES Y JUBILACIONES</w:t>
      </w:r>
      <w:r>
        <w:rPr>
          <w:b/>
        </w:rPr>
        <w:t>”.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5468B5" w:rsidRDefault="00147276" w:rsidP="00147276">
      <w:pPr>
        <w:pStyle w:val="INCISO"/>
        <w:spacing w:after="0" w:line="240" w:lineRule="exact"/>
      </w:pPr>
      <w:r>
        <w:t>e)</w:t>
      </w:r>
      <w:r>
        <w:tab/>
      </w:r>
      <w:r w:rsidR="005468B5">
        <w:t>No se</w:t>
      </w:r>
      <w:r w:rsidR="007C49B7">
        <w:t xml:space="preserve"> adquirieron </w:t>
      </w:r>
      <w:r w:rsidR="00922615">
        <w:t>bienes muebles</w:t>
      </w:r>
      <w:r w:rsidR="005468B5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6F3103" w:rsidRDefault="00147276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0E7712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5468B5" w:rsidRDefault="005468B5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0E7712" w:rsidRPr="000F6B3C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147276" w:rsidRPr="000F6B3C" w:rsidRDefault="00147276" w:rsidP="006F2D02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6E5DB1" w:rsidRDefault="00147276" w:rsidP="00640FA3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 w:rsidR="00640FA3">
        <w:t>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246F85" w:rsidRPr="000F6B3C" w:rsidRDefault="00246F85" w:rsidP="00147276">
      <w:pPr>
        <w:pStyle w:val="INCISO"/>
        <w:spacing w:after="0" w:line="240" w:lineRule="exact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Default="0053035D" w:rsidP="002B7947">
      <w:pPr>
        <w:pStyle w:val="INCISO"/>
        <w:spacing w:after="0" w:line="240" w:lineRule="auto"/>
      </w:pPr>
      <w:r>
        <w:t xml:space="preserve">No se cuentan con Fideicomisos, Mandatos y Análogos. 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Default="0053035D" w:rsidP="002B7947">
      <w:pPr>
        <w:pStyle w:val="INCISO"/>
        <w:spacing w:after="0" w:line="240" w:lineRule="auto"/>
      </w:pPr>
      <w:r>
        <w:t>El Instituto de Catastro no registra recaudación.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2B7947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:rsidR="002B7947" w:rsidRDefault="002B7947" w:rsidP="002B7947">
      <w:pPr>
        <w:pStyle w:val="INCISO"/>
        <w:spacing w:after="0" w:line="240" w:lineRule="auto"/>
        <w:rPr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Default="0053035D" w:rsidP="002B7947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2B7947" w:rsidRPr="000F6B3C" w:rsidRDefault="002B7947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2B7947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Default="0053035D" w:rsidP="002B7947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Default="001941AF" w:rsidP="002B7947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="00147276" w:rsidRPr="000F6B3C">
        <w:rPr>
          <w:szCs w:val="18"/>
          <w:lang w:val="es-MX"/>
        </w:rPr>
        <w:t>es necesario revelar la información financiera de manera segmentada.</w:t>
      </w:r>
    </w:p>
    <w:p w:rsidR="002B7947" w:rsidRPr="000F6B3C" w:rsidRDefault="002B7947" w:rsidP="002B7947">
      <w:pPr>
        <w:pStyle w:val="Texto"/>
        <w:spacing w:after="0" w:line="240" w:lineRule="auto"/>
        <w:rPr>
          <w:szCs w:val="18"/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2B7947" w:rsidRPr="000F6B3C" w:rsidRDefault="002B7947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Default="0053035D" w:rsidP="002B7947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2B7947" w:rsidRPr="000F6B3C" w:rsidRDefault="002B7947" w:rsidP="002B7947">
      <w:pPr>
        <w:pStyle w:val="Texto"/>
        <w:spacing w:after="0" w:line="240" w:lineRule="auto"/>
        <w:ind w:firstLine="708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Default="00147276" w:rsidP="002B7947">
      <w:pPr>
        <w:pStyle w:val="Texto"/>
        <w:spacing w:line="240" w:lineRule="auto"/>
        <w:rPr>
          <w:szCs w:val="18"/>
        </w:rPr>
      </w:pPr>
      <w:r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:rsidR="00CC6753" w:rsidRDefault="00120AA1" w:rsidP="002B7947">
      <w:pPr>
        <w:pStyle w:val="Texto"/>
        <w:tabs>
          <w:tab w:val="left" w:pos="12474"/>
        </w:tabs>
        <w:spacing w:line="240" w:lineRule="auto"/>
        <w:rPr>
          <w:szCs w:val="18"/>
        </w:rPr>
      </w:pPr>
      <w:r>
        <w:rPr>
          <w:noProof/>
        </w:rPr>
        <w:object w:dxaOrig="22094" w:dyaOrig="15505">
          <v:shape id="_x0000_s1048" type="#_x0000_t75" style="position:absolute;left:0;text-align:left;margin-left:-5.6pt;margin-top:16.75pt;width:724.3pt;height:61.6pt;z-index:251666432">
            <v:imagedata r:id="rId22" o:title=""/>
            <w10:wrap type="topAndBottom"/>
          </v:shape>
          <o:OLEObject Type="Embed" ProgID="Excel.Sheet.12" ShapeID="_x0000_s1048" DrawAspect="Content" ObjectID="_1655724605" r:id="rId23"/>
        </w:object>
      </w:r>
    </w:p>
    <w:sectPr w:rsidR="00CC6753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77" w:rsidRDefault="00097E77" w:rsidP="00EA5418">
      <w:pPr>
        <w:spacing w:after="0" w:line="240" w:lineRule="auto"/>
      </w:pPr>
      <w:r>
        <w:separator/>
      </w:r>
    </w:p>
  </w:endnote>
  <w:endnote w:type="continuationSeparator" w:id="0">
    <w:p w:rsidR="00097E77" w:rsidRDefault="00097E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1" w:rsidRPr="0013011C" w:rsidRDefault="00120A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87D6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C53A7" w:rsidRPr="00BC53A7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20AA1" w:rsidRDefault="00120A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1" w:rsidRPr="008E3652" w:rsidRDefault="00120A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C826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C53A7" w:rsidRPr="00BC53A7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77" w:rsidRDefault="00097E77" w:rsidP="00EA5418">
      <w:pPr>
        <w:spacing w:after="0" w:line="240" w:lineRule="auto"/>
      </w:pPr>
      <w:r>
        <w:separator/>
      </w:r>
    </w:p>
  </w:footnote>
  <w:footnote w:type="continuationSeparator" w:id="0">
    <w:p w:rsidR="00097E77" w:rsidRDefault="00097E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1" w:rsidRDefault="00120A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AA1" w:rsidRDefault="00120AA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20AA1" w:rsidRDefault="00120AA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20AA1" w:rsidRPr="00275FC6" w:rsidRDefault="00120A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0AA1" w:rsidRDefault="00120A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20AA1" w:rsidRDefault="00120A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20AA1" w:rsidRPr="00275FC6" w:rsidRDefault="00120A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NjNkvwwQAADcPAAAOAAAAAAAAAAAA&#10;AAAAADwCAABkcnMvZTJvRG9jLnhtbFBLAQItABQABgAIAAAAIQBYYLMbugAAACIBAAAZAAAAAAAA&#10;AAAAAAAAACsHAABkcnMvX3JlbHMvZTJvRG9jLnhtbC5yZWxzUEsBAi0AFAAGAAgAAAAhAL4/ewPi&#10;AAAACgEAAA8AAAAAAAAAAAAAAAAAHA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E763C9" w:rsidRDefault="00E763C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763C9" w:rsidRDefault="00E763C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763C9" w:rsidRPr="00275FC6" w:rsidRDefault="00E763C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E763C9" w:rsidRDefault="00E763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763C9" w:rsidRDefault="00E763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763C9" w:rsidRPr="00275FC6" w:rsidRDefault="00E763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8A86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A1" w:rsidRPr="0013011C" w:rsidRDefault="00120AA1" w:rsidP="003C1E77">
    <w:pPr>
      <w:pStyle w:val="Encabezado"/>
      <w:tabs>
        <w:tab w:val="center" w:pos="6840"/>
        <w:tab w:val="left" w:pos="859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CEDB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4482"/>
    <w:rsid w:val="00006DBD"/>
    <w:rsid w:val="00016DF6"/>
    <w:rsid w:val="000227FF"/>
    <w:rsid w:val="0002384B"/>
    <w:rsid w:val="00023FB5"/>
    <w:rsid w:val="00040466"/>
    <w:rsid w:val="000416C6"/>
    <w:rsid w:val="00041BE6"/>
    <w:rsid w:val="00041E1C"/>
    <w:rsid w:val="00043356"/>
    <w:rsid w:val="00045A10"/>
    <w:rsid w:val="000460A4"/>
    <w:rsid w:val="0005535F"/>
    <w:rsid w:val="00056800"/>
    <w:rsid w:val="000623FB"/>
    <w:rsid w:val="00062D05"/>
    <w:rsid w:val="000649EF"/>
    <w:rsid w:val="00071922"/>
    <w:rsid w:val="00073ED9"/>
    <w:rsid w:val="000743AE"/>
    <w:rsid w:val="00080A8B"/>
    <w:rsid w:val="00083778"/>
    <w:rsid w:val="00090084"/>
    <w:rsid w:val="00091C89"/>
    <w:rsid w:val="0009208A"/>
    <w:rsid w:val="0009691F"/>
    <w:rsid w:val="00097E77"/>
    <w:rsid w:val="00097FBC"/>
    <w:rsid w:val="000A26F3"/>
    <w:rsid w:val="000B062C"/>
    <w:rsid w:val="000B360D"/>
    <w:rsid w:val="000C6D25"/>
    <w:rsid w:val="000E0311"/>
    <w:rsid w:val="000E162F"/>
    <w:rsid w:val="000E7712"/>
    <w:rsid w:val="000F34FD"/>
    <w:rsid w:val="00100085"/>
    <w:rsid w:val="00100260"/>
    <w:rsid w:val="001068C7"/>
    <w:rsid w:val="0010737A"/>
    <w:rsid w:val="00120AA1"/>
    <w:rsid w:val="00127913"/>
    <w:rsid w:val="0013011C"/>
    <w:rsid w:val="00131E6A"/>
    <w:rsid w:val="00147276"/>
    <w:rsid w:val="00152B27"/>
    <w:rsid w:val="00162ECB"/>
    <w:rsid w:val="0016354F"/>
    <w:rsid w:val="001645F7"/>
    <w:rsid w:val="001654F4"/>
    <w:rsid w:val="00165BB4"/>
    <w:rsid w:val="00165D15"/>
    <w:rsid w:val="00170378"/>
    <w:rsid w:val="001719ED"/>
    <w:rsid w:val="0018113B"/>
    <w:rsid w:val="0018300F"/>
    <w:rsid w:val="00183B43"/>
    <w:rsid w:val="00184B19"/>
    <w:rsid w:val="00185FFF"/>
    <w:rsid w:val="001863DF"/>
    <w:rsid w:val="001941AF"/>
    <w:rsid w:val="001B1163"/>
    <w:rsid w:val="001B1B72"/>
    <w:rsid w:val="001B668F"/>
    <w:rsid w:val="001C6FD8"/>
    <w:rsid w:val="001D08B9"/>
    <w:rsid w:val="001D65E9"/>
    <w:rsid w:val="001E0C33"/>
    <w:rsid w:val="001E336A"/>
    <w:rsid w:val="001E49B1"/>
    <w:rsid w:val="001E55A8"/>
    <w:rsid w:val="001E6B5F"/>
    <w:rsid w:val="001E7072"/>
    <w:rsid w:val="001E7AD4"/>
    <w:rsid w:val="001F2842"/>
    <w:rsid w:val="001F294F"/>
    <w:rsid w:val="001F53DA"/>
    <w:rsid w:val="0020337B"/>
    <w:rsid w:val="00204C86"/>
    <w:rsid w:val="00207C91"/>
    <w:rsid w:val="00216810"/>
    <w:rsid w:val="00217732"/>
    <w:rsid w:val="00232BF3"/>
    <w:rsid w:val="00235443"/>
    <w:rsid w:val="00235C01"/>
    <w:rsid w:val="0024344F"/>
    <w:rsid w:val="00246F85"/>
    <w:rsid w:val="00252B38"/>
    <w:rsid w:val="002564E7"/>
    <w:rsid w:val="00257C47"/>
    <w:rsid w:val="00264426"/>
    <w:rsid w:val="00264876"/>
    <w:rsid w:val="00264BD3"/>
    <w:rsid w:val="0028203C"/>
    <w:rsid w:val="00287CAC"/>
    <w:rsid w:val="00295745"/>
    <w:rsid w:val="002965E5"/>
    <w:rsid w:val="002A4338"/>
    <w:rsid w:val="002A627D"/>
    <w:rsid w:val="002A70B3"/>
    <w:rsid w:val="002B19C7"/>
    <w:rsid w:val="002B2843"/>
    <w:rsid w:val="002B47C2"/>
    <w:rsid w:val="002B704C"/>
    <w:rsid w:val="002B7271"/>
    <w:rsid w:val="002B7947"/>
    <w:rsid w:val="002C06BF"/>
    <w:rsid w:val="002C49B6"/>
    <w:rsid w:val="002D000E"/>
    <w:rsid w:val="002D7FBE"/>
    <w:rsid w:val="002E1A2A"/>
    <w:rsid w:val="002E68AB"/>
    <w:rsid w:val="002F0052"/>
    <w:rsid w:val="002F1C38"/>
    <w:rsid w:val="0030706A"/>
    <w:rsid w:val="00310F34"/>
    <w:rsid w:val="00313D7B"/>
    <w:rsid w:val="00320467"/>
    <w:rsid w:val="0032061F"/>
    <w:rsid w:val="00320E4B"/>
    <w:rsid w:val="00321A19"/>
    <w:rsid w:val="00331410"/>
    <w:rsid w:val="003353C0"/>
    <w:rsid w:val="00340CAF"/>
    <w:rsid w:val="00343ED1"/>
    <w:rsid w:val="003513BE"/>
    <w:rsid w:val="00361C18"/>
    <w:rsid w:val="00372E75"/>
    <w:rsid w:val="00372F40"/>
    <w:rsid w:val="003745BC"/>
    <w:rsid w:val="00376E3B"/>
    <w:rsid w:val="0038018C"/>
    <w:rsid w:val="00384036"/>
    <w:rsid w:val="00385231"/>
    <w:rsid w:val="0039043D"/>
    <w:rsid w:val="00396C2B"/>
    <w:rsid w:val="003973C4"/>
    <w:rsid w:val="003A0303"/>
    <w:rsid w:val="003A2603"/>
    <w:rsid w:val="003A2F8C"/>
    <w:rsid w:val="003A4D19"/>
    <w:rsid w:val="003B2773"/>
    <w:rsid w:val="003B738F"/>
    <w:rsid w:val="003C1E77"/>
    <w:rsid w:val="003C2047"/>
    <w:rsid w:val="003C47D7"/>
    <w:rsid w:val="003C55CF"/>
    <w:rsid w:val="003C715D"/>
    <w:rsid w:val="003D1BBD"/>
    <w:rsid w:val="003D21B9"/>
    <w:rsid w:val="003D50E0"/>
    <w:rsid w:val="003D5DBF"/>
    <w:rsid w:val="003E3426"/>
    <w:rsid w:val="003E7FD0"/>
    <w:rsid w:val="003F0EA4"/>
    <w:rsid w:val="003F4952"/>
    <w:rsid w:val="00400DEE"/>
    <w:rsid w:val="004210B9"/>
    <w:rsid w:val="004219A4"/>
    <w:rsid w:val="00426D93"/>
    <w:rsid w:val="004311BE"/>
    <w:rsid w:val="00433E07"/>
    <w:rsid w:val="00435851"/>
    <w:rsid w:val="00441451"/>
    <w:rsid w:val="0044253C"/>
    <w:rsid w:val="00447FFA"/>
    <w:rsid w:val="004526EF"/>
    <w:rsid w:val="004578C7"/>
    <w:rsid w:val="00457D9B"/>
    <w:rsid w:val="004714CF"/>
    <w:rsid w:val="00472566"/>
    <w:rsid w:val="00477B2B"/>
    <w:rsid w:val="00480C25"/>
    <w:rsid w:val="00484C0D"/>
    <w:rsid w:val="0049332A"/>
    <w:rsid w:val="00497D8B"/>
    <w:rsid w:val="004A05EF"/>
    <w:rsid w:val="004B1BCE"/>
    <w:rsid w:val="004B2B1A"/>
    <w:rsid w:val="004B4868"/>
    <w:rsid w:val="004C0C6A"/>
    <w:rsid w:val="004D41B8"/>
    <w:rsid w:val="004D61D0"/>
    <w:rsid w:val="004E2BA7"/>
    <w:rsid w:val="004E5A54"/>
    <w:rsid w:val="004E61D0"/>
    <w:rsid w:val="004F03ED"/>
    <w:rsid w:val="004F51C9"/>
    <w:rsid w:val="004F5641"/>
    <w:rsid w:val="005052BA"/>
    <w:rsid w:val="0051049E"/>
    <w:rsid w:val="00512FB4"/>
    <w:rsid w:val="00516432"/>
    <w:rsid w:val="005171E2"/>
    <w:rsid w:val="00520D68"/>
    <w:rsid w:val="00522632"/>
    <w:rsid w:val="00522EF3"/>
    <w:rsid w:val="0053035D"/>
    <w:rsid w:val="00530FCD"/>
    <w:rsid w:val="005368B2"/>
    <w:rsid w:val="00536D38"/>
    <w:rsid w:val="00540418"/>
    <w:rsid w:val="005423D8"/>
    <w:rsid w:val="00543A40"/>
    <w:rsid w:val="00545CFE"/>
    <w:rsid w:val="005468B5"/>
    <w:rsid w:val="0055694A"/>
    <w:rsid w:val="00561A2A"/>
    <w:rsid w:val="005675AB"/>
    <w:rsid w:val="00567C26"/>
    <w:rsid w:val="00573514"/>
    <w:rsid w:val="00574266"/>
    <w:rsid w:val="00574EBC"/>
    <w:rsid w:val="005860F2"/>
    <w:rsid w:val="00593DCB"/>
    <w:rsid w:val="0059467F"/>
    <w:rsid w:val="00596851"/>
    <w:rsid w:val="005979BF"/>
    <w:rsid w:val="005A5702"/>
    <w:rsid w:val="005B136D"/>
    <w:rsid w:val="005B1E02"/>
    <w:rsid w:val="005B479E"/>
    <w:rsid w:val="005C0FE5"/>
    <w:rsid w:val="005C2176"/>
    <w:rsid w:val="005C54ED"/>
    <w:rsid w:val="005D05C9"/>
    <w:rsid w:val="005D3D25"/>
    <w:rsid w:val="005D6782"/>
    <w:rsid w:val="005E7B8D"/>
    <w:rsid w:val="005F1232"/>
    <w:rsid w:val="005F2CB2"/>
    <w:rsid w:val="005F329E"/>
    <w:rsid w:val="005F49B8"/>
    <w:rsid w:val="005F6932"/>
    <w:rsid w:val="005F77E1"/>
    <w:rsid w:val="006017E6"/>
    <w:rsid w:val="006148DE"/>
    <w:rsid w:val="00614F85"/>
    <w:rsid w:val="00614F8B"/>
    <w:rsid w:val="00617DAA"/>
    <w:rsid w:val="00621476"/>
    <w:rsid w:val="00640C94"/>
    <w:rsid w:val="00640FA3"/>
    <w:rsid w:val="0064116C"/>
    <w:rsid w:val="006419CD"/>
    <w:rsid w:val="006511D3"/>
    <w:rsid w:val="006571BB"/>
    <w:rsid w:val="00662A7E"/>
    <w:rsid w:val="0066514F"/>
    <w:rsid w:val="00670998"/>
    <w:rsid w:val="00676DA5"/>
    <w:rsid w:val="0068210F"/>
    <w:rsid w:val="00682D98"/>
    <w:rsid w:val="00682E19"/>
    <w:rsid w:val="006832F7"/>
    <w:rsid w:val="00684861"/>
    <w:rsid w:val="00686A42"/>
    <w:rsid w:val="00692C68"/>
    <w:rsid w:val="0069595D"/>
    <w:rsid w:val="006A03B8"/>
    <w:rsid w:val="006A1EBD"/>
    <w:rsid w:val="006B1FE7"/>
    <w:rsid w:val="006B2FCB"/>
    <w:rsid w:val="006B31C0"/>
    <w:rsid w:val="006B5B5F"/>
    <w:rsid w:val="006B615E"/>
    <w:rsid w:val="006C1AA7"/>
    <w:rsid w:val="006C5145"/>
    <w:rsid w:val="006C7665"/>
    <w:rsid w:val="006D0393"/>
    <w:rsid w:val="006E0AB1"/>
    <w:rsid w:val="006E4018"/>
    <w:rsid w:val="006E5DB1"/>
    <w:rsid w:val="006E77DD"/>
    <w:rsid w:val="006E7FBC"/>
    <w:rsid w:val="006F1AA8"/>
    <w:rsid w:val="006F1E53"/>
    <w:rsid w:val="006F2D02"/>
    <w:rsid w:val="006F2FEA"/>
    <w:rsid w:val="006F3103"/>
    <w:rsid w:val="00700256"/>
    <w:rsid w:val="007057E1"/>
    <w:rsid w:val="00705F4B"/>
    <w:rsid w:val="007142C9"/>
    <w:rsid w:val="007257DA"/>
    <w:rsid w:val="00726C1A"/>
    <w:rsid w:val="007272A1"/>
    <w:rsid w:val="007321F9"/>
    <w:rsid w:val="00732B25"/>
    <w:rsid w:val="00735F20"/>
    <w:rsid w:val="00744C2A"/>
    <w:rsid w:val="00750724"/>
    <w:rsid w:val="00757E0D"/>
    <w:rsid w:val="00763057"/>
    <w:rsid w:val="00777F0F"/>
    <w:rsid w:val="007811D9"/>
    <w:rsid w:val="00787E89"/>
    <w:rsid w:val="0079582C"/>
    <w:rsid w:val="007A1C14"/>
    <w:rsid w:val="007A45D2"/>
    <w:rsid w:val="007A5654"/>
    <w:rsid w:val="007A5986"/>
    <w:rsid w:val="007B1102"/>
    <w:rsid w:val="007B6D81"/>
    <w:rsid w:val="007C49B7"/>
    <w:rsid w:val="007D6E9A"/>
    <w:rsid w:val="007E2D3D"/>
    <w:rsid w:val="007E46DD"/>
    <w:rsid w:val="007E4B22"/>
    <w:rsid w:val="007F7737"/>
    <w:rsid w:val="00801BEA"/>
    <w:rsid w:val="0080393B"/>
    <w:rsid w:val="00811DAC"/>
    <w:rsid w:val="008158F5"/>
    <w:rsid w:val="00817C34"/>
    <w:rsid w:val="00830FFE"/>
    <w:rsid w:val="008311AB"/>
    <w:rsid w:val="00840A6C"/>
    <w:rsid w:val="00844DD2"/>
    <w:rsid w:val="0085317F"/>
    <w:rsid w:val="00855D0C"/>
    <w:rsid w:val="00856D32"/>
    <w:rsid w:val="00865E43"/>
    <w:rsid w:val="00883B8D"/>
    <w:rsid w:val="00883E51"/>
    <w:rsid w:val="00887A46"/>
    <w:rsid w:val="0089054E"/>
    <w:rsid w:val="00890785"/>
    <w:rsid w:val="008954AD"/>
    <w:rsid w:val="0089590F"/>
    <w:rsid w:val="008A4EE3"/>
    <w:rsid w:val="008A5CED"/>
    <w:rsid w:val="008A6E4D"/>
    <w:rsid w:val="008A793D"/>
    <w:rsid w:val="008B0017"/>
    <w:rsid w:val="008B1044"/>
    <w:rsid w:val="008B238F"/>
    <w:rsid w:val="008D14E2"/>
    <w:rsid w:val="008D4DA0"/>
    <w:rsid w:val="008E129E"/>
    <w:rsid w:val="008E3652"/>
    <w:rsid w:val="008F5851"/>
    <w:rsid w:val="008F6D58"/>
    <w:rsid w:val="008F6EB5"/>
    <w:rsid w:val="00906C20"/>
    <w:rsid w:val="00907AB2"/>
    <w:rsid w:val="00913577"/>
    <w:rsid w:val="00916047"/>
    <w:rsid w:val="00922615"/>
    <w:rsid w:val="00923942"/>
    <w:rsid w:val="009260C8"/>
    <w:rsid w:val="0093222B"/>
    <w:rsid w:val="0093492C"/>
    <w:rsid w:val="00937B1E"/>
    <w:rsid w:val="009400BC"/>
    <w:rsid w:val="009458F4"/>
    <w:rsid w:val="00945B10"/>
    <w:rsid w:val="00946734"/>
    <w:rsid w:val="009477DA"/>
    <w:rsid w:val="00957043"/>
    <w:rsid w:val="00963C3C"/>
    <w:rsid w:val="00971577"/>
    <w:rsid w:val="009745C4"/>
    <w:rsid w:val="00976647"/>
    <w:rsid w:val="00981BF2"/>
    <w:rsid w:val="009A240C"/>
    <w:rsid w:val="009B150C"/>
    <w:rsid w:val="009C5F09"/>
    <w:rsid w:val="009D455B"/>
    <w:rsid w:val="009D5D4C"/>
    <w:rsid w:val="009D7639"/>
    <w:rsid w:val="009F0D30"/>
    <w:rsid w:val="009F166F"/>
    <w:rsid w:val="009F23C4"/>
    <w:rsid w:val="009F4700"/>
    <w:rsid w:val="00A011C4"/>
    <w:rsid w:val="00A016C8"/>
    <w:rsid w:val="00A13435"/>
    <w:rsid w:val="00A14109"/>
    <w:rsid w:val="00A14C8B"/>
    <w:rsid w:val="00A15F01"/>
    <w:rsid w:val="00A2347B"/>
    <w:rsid w:val="00A279AB"/>
    <w:rsid w:val="00A3276E"/>
    <w:rsid w:val="00A36182"/>
    <w:rsid w:val="00A363B6"/>
    <w:rsid w:val="00A36403"/>
    <w:rsid w:val="00A46BF5"/>
    <w:rsid w:val="00A51B25"/>
    <w:rsid w:val="00A54A6D"/>
    <w:rsid w:val="00A6226C"/>
    <w:rsid w:val="00A70CB9"/>
    <w:rsid w:val="00A72B79"/>
    <w:rsid w:val="00A76D25"/>
    <w:rsid w:val="00A810F0"/>
    <w:rsid w:val="00A817F4"/>
    <w:rsid w:val="00A82FDE"/>
    <w:rsid w:val="00A849F2"/>
    <w:rsid w:val="00A96112"/>
    <w:rsid w:val="00A97D79"/>
    <w:rsid w:val="00AA02C8"/>
    <w:rsid w:val="00AA0C3B"/>
    <w:rsid w:val="00AB11EA"/>
    <w:rsid w:val="00AC339A"/>
    <w:rsid w:val="00AE1B3E"/>
    <w:rsid w:val="00AE7DEF"/>
    <w:rsid w:val="00AF12C1"/>
    <w:rsid w:val="00AF3185"/>
    <w:rsid w:val="00B03176"/>
    <w:rsid w:val="00B054E9"/>
    <w:rsid w:val="00B10F55"/>
    <w:rsid w:val="00B146E2"/>
    <w:rsid w:val="00B22E2B"/>
    <w:rsid w:val="00B25AC3"/>
    <w:rsid w:val="00B31519"/>
    <w:rsid w:val="00B31F23"/>
    <w:rsid w:val="00B41592"/>
    <w:rsid w:val="00B424AC"/>
    <w:rsid w:val="00B42C38"/>
    <w:rsid w:val="00B54CCA"/>
    <w:rsid w:val="00B63D24"/>
    <w:rsid w:val="00B6648D"/>
    <w:rsid w:val="00B76009"/>
    <w:rsid w:val="00B849EE"/>
    <w:rsid w:val="00B84D02"/>
    <w:rsid w:val="00B86D1E"/>
    <w:rsid w:val="00B90138"/>
    <w:rsid w:val="00B952BF"/>
    <w:rsid w:val="00BA02D9"/>
    <w:rsid w:val="00BA2940"/>
    <w:rsid w:val="00BA7251"/>
    <w:rsid w:val="00BB0088"/>
    <w:rsid w:val="00BB3CAC"/>
    <w:rsid w:val="00BC53A7"/>
    <w:rsid w:val="00BC7FE0"/>
    <w:rsid w:val="00BD06DC"/>
    <w:rsid w:val="00BD1193"/>
    <w:rsid w:val="00BE10F1"/>
    <w:rsid w:val="00BE4B24"/>
    <w:rsid w:val="00BF12F0"/>
    <w:rsid w:val="00C15F98"/>
    <w:rsid w:val="00C16E53"/>
    <w:rsid w:val="00C17E04"/>
    <w:rsid w:val="00C261C8"/>
    <w:rsid w:val="00C306E4"/>
    <w:rsid w:val="00C33B82"/>
    <w:rsid w:val="00C35E58"/>
    <w:rsid w:val="00C431B4"/>
    <w:rsid w:val="00C438C7"/>
    <w:rsid w:val="00C57531"/>
    <w:rsid w:val="00C60564"/>
    <w:rsid w:val="00C62167"/>
    <w:rsid w:val="00C65551"/>
    <w:rsid w:val="00C65D50"/>
    <w:rsid w:val="00C80645"/>
    <w:rsid w:val="00C815E8"/>
    <w:rsid w:val="00C84D5F"/>
    <w:rsid w:val="00C86C59"/>
    <w:rsid w:val="00C878E1"/>
    <w:rsid w:val="00C91524"/>
    <w:rsid w:val="00C91C5A"/>
    <w:rsid w:val="00C962F5"/>
    <w:rsid w:val="00CA2AF6"/>
    <w:rsid w:val="00CA6478"/>
    <w:rsid w:val="00CB11C4"/>
    <w:rsid w:val="00CC3367"/>
    <w:rsid w:val="00CC4330"/>
    <w:rsid w:val="00CC6753"/>
    <w:rsid w:val="00CC7D09"/>
    <w:rsid w:val="00CD0F6E"/>
    <w:rsid w:val="00CD6D9A"/>
    <w:rsid w:val="00CE4951"/>
    <w:rsid w:val="00CE4A22"/>
    <w:rsid w:val="00CE506E"/>
    <w:rsid w:val="00CF1DBD"/>
    <w:rsid w:val="00CF46CD"/>
    <w:rsid w:val="00D00E92"/>
    <w:rsid w:val="00D0271F"/>
    <w:rsid w:val="00D055EC"/>
    <w:rsid w:val="00D065BD"/>
    <w:rsid w:val="00D112CC"/>
    <w:rsid w:val="00D26485"/>
    <w:rsid w:val="00D34F71"/>
    <w:rsid w:val="00D35FE3"/>
    <w:rsid w:val="00D44728"/>
    <w:rsid w:val="00D45351"/>
    <w:rsid w:val="00D5112E"/>
    <w:rsid w:val="00D562FF"/>
    <w:rsid w:val="00D603E1"/>
    <w:rsid w:val="00D62E4C"/>
    <w:rsid w:val="00D70D26"/>
    <w:rsid w:val="00D7394C"/>
    <w:rsid w:val="00D741F9"/>
    <w:rsid w:val="00D76CD4"/>
    <w:rsid w:val="00D775F5"/>
    <w:rsid w:val="00DA00C6"/>
    <w:rsid w:val="00DA02EA"/>
    <w:rsid w:val="00DA16FE"/>
    <w:rsid w:val="00DB05DB"/>
    <w:rsid w:val="00DC2B37"/>
    <w:rsid w:val="00DC57E2"/>
    <w:rsid w:val="00DD07E2"/>
    <w:rsid w:val="00DD3179"/>
    <w:rsid w:val="00DD4AD6"/>
    <w:rsid w:val="00DD4E42"/>
    <w:rsid w:val="00DF3429"/>
    <w:rsid w:val="00DF3E28"/>
    <w:rsid w:val="00DF56C9"/>
    <w:rsid w:val="00E01A9F"/>
    <w:rsid w:val="00E15CD4"/>
    <w:rsid w:val="00E232EF"/>
    <w:rsid w:val="00E30177"/>
    <w:rsid w:val="00E30318"/>
    <w:rsid w:val="00E30FD8"/>
    <w:rsid w:val="00E32708"/>
    <w:rsid w:val="00E3285D"/>
    <w:rsid w:val="00E37B0C"/>
    <w:rsid w:val="00E43900"/>
    <w:rsid w:val="00E4745C"/>
    <w:rsid w:val="00E6584A"/>
    <w:rsid w:val="00E763C9"/>
    <w:rsid w:val="00E8526F"/>
    <w:rsid w:val="00EA12F8"/>
    <w:rsid w:val="00EA5418"/>
    <w:rsid w:val="00EA6CC8"/>
    <w:rsid w:val="00EB2F80"/>
    <w:rsid w:val="00EB7152"/>
    <w:rsid w:val="00EC7775"/>
    <w:rsid w:val="00ED3CD9"/>
    <w:rsid w:val="00EE3696"/>
    <w:rsid w:val="00EE3CF4"/>
    <w:rsid w:val="00EE46FB"/>
    <w:rsid w:val="00EE4F90"/>
    <w:rsid w:val="00EE66C3"/>
    <w:rsid w:val="00EF29B0"/>
    <w:rsid w:val="00EF62DE"/>
    <w:rsid w:val="00EF6E42"/>
    <w:rsid w:val="00F031F7"/>
    <w:rsid w:val="00F03E9E"/>
    <w:rsid w:val="00F05AE3"/>
    <w:rsid w:val="00F139DD"/>
    <w:rsid w:val="00F1540E"/>
    <w:rsid w:val="00F17C0D"/>
    <w:rsid w:val="00F2048B"/>
    <w:rsid w:val="00F2117C"/>
    <w:rsid w:val="00F24F9A"/>
    <w:rsid w:val="00F27F57"/>
    <w:rsid w:val="00F36A57"/>
    <w:rsid w:val="00F3780C"/>
    <w:rsid w:val="00F42F50"/>
    <w:rsid w:val="00F43F8D"/>
    <w:rsid w:val="00F46300"/>
    <w:rsid w:val="00F630FF"/>
    <w:rsid w:val="00F705D7"/>
    <w:rsid w:val="00F7452E"/>
    <w:rsid w:val="00F755D0"/>
    <w:rsid w:val="00F86FE2"/>
    <w:rsid w:val="00F91D3F"/>
    <w:rsid w:val="00F953EE"/>
    <w:rsid w:val="00FA45D3"/>
    <w:rsid w:val="00FB1010"/>
    <w:rsid w:val="00FB31C7"/>
    <w:rsid w:val="00FB4353"/>
    <w:rsid w:val="00FC3175"/>
    <w:rsid w:val="00FC3594"/>
    <w:rsid w:val="00FC5A5D"/>
    <w:rsid w:val="00FD1649"/>
    <w:rsid w:val="00FD347D"/>
    <w:rsid w:val="00FD5A63"/>
    <w:rsid w:val="00FE1293"/>
    <w:rsid w:val="00FE4BF1"/>
    <w:rsid w:val="00FE784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C170A-345F-4E0B-B3D3-6BE757D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5B8D-B864-41FB-847C-41DC1F6A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3174</Words>
  <Characters>17458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8</cp:revision>
  <cp:lastPrinted>2020-07-08T17:31:00Z</cp:lastPrinted>
  <dcterms:created xsi:type="dcterms:W3CDTF">2020-04-06T03:09:00Z</dcterms:created>
  <dcterms:modified xsi:type="dcterms:W3CDTF">2020-07-08T19:43:00Z</dcterms:modified>
</cp:coreProperties>
</file>