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499251814"/>
    <w:bookmarkEnd w:id="0"/>
    <w:p w:rsidR="007D6E9A" w:rsidRDefault="00AD5E8D" w:rsidP="003D5DBF">
      <w:pPr>
        <w:jc w:val="center"/>
      </w:pPr>
      <w:r>
        <w:object w:dxaOrig="23113" w:dyaOrig="1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4.5pt;height:450.75pt" o:ole="">
            <v:imagedata r:id="rId8" o:title=""/>
          </v:shape>
          <o:OLEObject Type="Embed" ProgID="Excel.Sheet.12" ShapeID="_x0000_i1025" DrawAspect="Content" ObjectID="_1656837514" r:id="rId9"/>
        </w:object>
      </w:r>
    </w:p>
    <w:p w:rsidR="009B64AA" w:rsidRDefault="003C4DC7" w:rsidP="003D5DBF">
      <w:pPr>
        <w:jc w:val="center"/>
      </w:pPr>
      <w:r>
        <w:rPr>
          <w:noProof/>
        </w:rPr>
        <w:lastRenderedPageBreak/>
        <w:object w:dxaOrig="1440" w:dyaOrig="1440">
          <v:shape id="_x0000_s1056" type="#_x0000_t75" style="position:absolute;left:0;text-align:left;margin-left:10.05pt;margin-top:.95pt;width:673.95pt;height:426.55pt;z-index:251670528;mso-position-horizontal-relative:text;mso-position-vertical-relative:text">
            <v:imagedata r:id="rId10" o:title=""/>
            <w10:wrap type="square" side="right"/>
          </v:shape>
          <o:OLEObject Type="Embed" ProgID="Excel.Sheet.12" ShapeID="_x0000_s1056" DrawAspect="Content" ObjectID="_1656837519" r:id="rId11"/>
        </w:object>
      </w:r>
    </w:p>
    <w:p w:rsidR="00EA5418" w:rsidRDefault="00EA5418" w:rsidP="001F0C04">
      <w:pPr>
        <w:jc w:val="center"/>
      </w:pPr>
    </w:p>
    <w:bookmarkStart w:id="1" w:name="_MON_1470806992"/>
    <w:bookmarkEnd w:id="1"/>
    <w:p w:rsidR="00372F40" w:rsidRDefault="00957510" w:rsidP="003E7FD0">
      <w:pPr>
        <w:jc w:val="center"/>
      </w:pPr>
      <w:r>
        <w:object w:dxaOrig="21537" w:dyaOrig="15990">
          <v:shape id="_x0000_i1026" type="#_x0000_t75" style="width:684pt;height:468.75pt" o:ole="">
            <v:imagedata r:id="rId12" o:title=""/>
          </v:shape>
          <o:OLEObject Type="Embed" ProgID="Excel.Sheet.12" ShapeID="_x0000_i1026" DrawAspect="Content" ObjectID="_1656837515" r:id="rId13"/>
        </w:object>
      </w:r>
    </w:p>
    <w:p w:rsidR="00372F40" w:rsidRDefault="003C4DC7" w:rsidP="007769DF">
      <w:r>
        <w:rPr>
          <w:noProof/>
        </w:rPr>
        <w:lastRenderedPageBreak/>
        <w:object w:dxaOrig="1440" w:dyaOrig="1440">
          <v:shape id="_x0000_s1071" type="#_x0000_t75" style="position:absolute;margin-left:0;margin-top:0;width:707.35pt;height:481.35pt;z-index:251683840;mso-position-horizontal:absolute;mso-position-horizontal-relative:text;mso-position-vertical-relative:text">
            <v:imagedata r:id="rId14" o:title=""/>
            <w10:wrap type="square" side="right"/>
          </v:shape>
          <o:OLEObject Type="Embed" ProgID="Excel.Sheet.12" ShapeID="_x0000_s1071" DrawAspect="Content" ObjectID="_1656837520" r:id="rId15"/>
        </w:object>
      </w:r>
      <w:r w:rsidR="000B54AD">
        <w:br w:type="textWrapping" w:clear="all"/>
      </w:r>
      <w:bookmarkStart w:id="2" w:name="_MON_1470809138"/>
      <w:bookmarkEnd w:id="2"/>
      <w:r w:rsidR="00881BEF">
        <w:object w:dxaOrig="17470" w:dyaOrig="12829">
          <v:shape id="_x0000_i1027" type="#_x0000_t75" style="width:673.5pt;height:453pt" o:ole="">
            <v:imagedata r:id="rId16" o:title=""/>
          </v:shape>
          <o:OLEObject Type="Embed" ProgID="Excel.Sheet.12" ShapeID="_x0000_i1027" DrawAspect="Content" ObjectID="_1656837516" r:id="rId17"/>
        </w:object>
      </w:r>
    </w:p>
    <w:p w:rsidR="00E32708" w:rsidRDefault="003C4DC7" w:rsidP="00927BA4">
      <w:pPr>
        <w:tabs>
          <w:tab w:val="left" w:pos="2430"/>
        </w:tabs>
      </w:pPr>
      <w:r>
        <w:rPr>
          <w:noProof/>
        </w:rPr>
        <w:lastRenderedPageBreak/>
        <w:object w:dxaOrig="1440" w:dyaOrig="1440">
          <v:shape id="_x0000_s1064" type="#_x0000_t75" style="position:absolute;margin-left:.15pt;margin-top:.25pt;width:681.4pt;height:414.9pt;z-index:251679744;mso-position-horizontal:absolute;mso-position-horizontal-relative:text;mso-position-vertical-relative:text">
            <v:imagedata r:id="rId18" o:title=""/>
            <w10:wrap type="square" side="right"/>
          </v:shape>
          <o:OLEObject Type="Embed" ProgID="Excel.Sheet.12" ShapeID="_x0000_s1064" DrawAspect="Content" ObjectID="_1656837521" r:id="rId19"/>
        </w:object>
      </w:r>
      <w:r w:rsidR="00DE2F50">
        <w:br w:type="textWrapping" w:clear="all"/>
      </w:r>
      <w:bookmarkStart w:id="3" w:name="_MON_1470810366"/>
      <w:bookmarkEnd w:id="3"/>
      <w:r w:rsidR="00513054">
        <w:object w:dxaOrig="25362" w:dyaOrig="17222">
          <v:shape id="_x0000_i1028" type="#_x0000_t75" style="width:675pt;height:459pt" o:ole="">
            <v:imagedata r:id="rId20" o:title=""/>
          </v:shape>
          <o:OLEObject Type="Embed" ProgID="Excel.Sheet.12" ShapeID="_x0000_i1028" DrawAspect="Content" ObjectID="_1656837517" r:id="rId21"/>
        </w:object>
      </w:r>
      <w:bookmarkStart w:id="4" w:name="_GoBack"/>
      <w:bookmarkEnd w:id="4"/>
    </w:p>
    <w:p w:rsidR="00372F40" w:rsidRDefault="00372F40"/>
    <w:p w:rsidR="00332091" w:rsidRPr="00661A17" w:rsidRDefault="00332091" w:rsidP="00332091">
      <w:pPr>
        <w:spacing w:after="0"/>
        <w:jc w:val="center"/>
        <w:rPr>
          <w:rFonts w:ascii="Arial" w:hAnsi="Arial" w:cs="Arial"/>
          <w:sz w:val="18"/>
          <w:szCs w:val="18"/>
        </w:rPr>
      </w:pPr>
      <w:r w:rsidRPr="00661A17">
        <w:rPr>
          <w:rFonts w:ascii="Arial" w:hAnsi="Arial" w:cs="Arial"/>
          <w:sz w:val="18"/>
          <w:szCs w:val="18"/>
        </w:rPr>
        <w:t>Informe de Pasivos Contingentes</w:t>
      </w:r>
    </w:p>
    <w:p w:rsidR="00332091" w:rsidRPr="00661A17" w:rsidRDefault="00332091" w:rsidP="00332091">
      <w:pPr>
        <w:spacing w:after="0"/>
        <w:rPr>
          <w:rFonts w:ascii="Arial" w:hAnsi="Arial" w:cs="Arial"/>
          <w:sz w:val="18"/>
          <w:szCs w:val="18"/>
        </w:rPr>
      </w:pPr>
    </w:p>
    <w:p w:rsidR="00332091" w:rsidRPr="00661A17" w:rsidRDefault="00332091" w:rsidP="00332091">
      <w:pPr>
        <w:rPr>
          <w:rFonts w:ascii="Arial" w:hAnsi="Arial" w:cs="Arial"/>
          <w:sz w:val="18"/>
          <w:szCs w:val="18"/>
        </w:rPr>
      </w:pPr>
    </w:p>
    <w:p w:rsidR="00332091" w:rsidRPr="00AE47E9" w:rsidRDefault="004466A7" w:rsidP="00332091">
      <w:pPr>
        <w:ind w:left="360"/>
        <w:rPr>
          <w:rFonts w:ascii="Arial" w:hAnsi="Arial" w:cs="Arial"/>
          <w:sz w:val="18"/>
          <w:szCs w:val="18"/>
        </w:rPr>
      </w:pPr>
      <w:r>
        <w:rPr>
          <w:rFonts w:ascii="Arial" w:hAnsi="Arial" w:cs="Arial"/>
          <w:sz w:val="18"/>
          <w:szCs w:val="18"/>
        </w:rPr>
        <w:t xml:space="preserve">Al mes de </w:t>
      </w:r>
      <w:r w:rsidR="00771422">
        <w:rPr>
          <w:rFonts w:ascii="Arial" w:hAnsi="Arial" w:cs="Arial"/>
          <w:sz w:val="18"/>
          <w:szCs w:val="18"/>
        </w:rPr>
        <w:t>Junio</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496633">
        <w:rPr>
          <w:rFonts w:ascii="Arial" w:hAnsi="Arial" w:cs="Arial"/>
          <w:sz w:val="18"/>
          <w:szCs w:val="18"/>
        </w:rPr>
        <w:t>4</w:t>
      </w:r>
      <w:r>
        <w:rPr>
          <w:rFonts w:ascii="Arial" w:hAnsi="Arial" w:cs="Arial"/>
          <w:sz w:val="18"/>
          <w:szCs w:val="18"/>
        </w:rPr>
        <w:t>,</w:t>
      </w:r>
      <w:r w:rsidR="000060C0">
        <w:rPr>
          <w:rFonts w:ascii="Arial" w:hAnsi="Arial" w:cs="Arial"/>
          <w:sz w:val="18"/>
          <w:szCs w:val="18"/>
        </w:rPr>
        <w:t>689</w:t>
      </w:r>
      <w:r>
        <w:rPr>
          <w:rFonts w:ascii="Arial" w:hAnsi="Arial" w:cs="Arial"/>
          <w:sz w:val="18"/>
          <w:szCs w:val="18"/>
        </w:rPr>
        <w:t>,</w:t>
      </w:r>
      <w:r w:rsidR="000060C0">
        <w:rPr>
          <w:rFonts w:ascii="Arial" w:hAnsi="Arial" w:cs="Arial"/>
          <w:sz w:val="18"/>
          <w:szCs w:val="18"/>
        </w:rPr>
        <w:t>118</w:t>
      </w:r>
      <w:r>
        <w:rPr>
          <w:rFonts w:ascii="Arial" w:hAnsi="Arial" w:cs="Arial"/>
          <w:sz w:val="18"/>
          <w:szCs w:val="18"/>
        </w:rPr>
        <w:t>,</w:t>
      </w:r>
      <w:r w:rsidR="000060C0">
        <w:rPr>
          <w:rFonts w:ascii="Arial" w:hAnsi="Arial" w:cs="Arial"/>
          <w:sz w:val="18"/>
          <w:szCs w:val="18"/>
        </w:rPr>
        <w:t>023</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0060C0">
        <w:rPr>
          <w:rFonts w:ascii="Arial" w:hAnsi="Arial" w:cs="Arial"/>
          <w:sz w:val="18"/>
          <w:szCs w:val="18"/>
        </w:rPr>
        <w:t>Segundo</w:t>
      </w:r>
      <w:r>
        <w:rPr>
          <w:rFonts w:ascii="Arial" w:hAnsi="Arial" w:cs="Arial"/>
          <w:sz w:val="18"/>
          <w:szCs w:val="18"/>
        </w:rPr>
        <w:t xml:space="preserve"> Ajuste Trimestral 20</w:t>
      </w:r>
      <w:r w:rsidR="00496633">
        <w:rPr>
          <w:rFonts w:ascii="Arial" w:hAnsi="Arial" w:cs="Arial"/>
          <w:sz w:val="18"/>
          <w:szCs w:val="18"/>
        </w:rPr>
        <w:t>20</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0060C0">
        <w:rPr>
          <w:rFonts w:ascii="Arial" w:hAnsi="Arial" w:cs="Arial"/>
          <w:sz w:val="18"/>
          <w:szCs w:val="18"/>
        </w:rPr>
        <w:t>55</w:t>
      </w:r>
      <w:proofErr w:type="gramStart"/>
      <w:r>
        <w:rPr>
          <w:rFonts w:ascii="Arial" w:hAnsi="Arial" w:cs="Arial"/>
          <w:sz w:val="18"/>
          <w:szCs w:val="18"/>
        </w:rPr>
        <w:t>,</w:t>
      </w:r>
      <w:r w:rsidR="000060C0">
        <w:rPr>
          <w:rFonts w:ascii="Arial" w:hAnsi="Arial" w:cs="Arial"/>
          <w:sz w:val="18"/>
          <w:szCs w:val="18"/>
        </w:rPr>
        <w:t>625</w:t>
      </w:r>
      <w:r>
        <w:rPr>
          <w:rFonts w:ascii="Arial" w:hAnsi="Arial" w:cs="Arial"/>
          <w:sz w:val="18"/>
          <w:szCs w:val="18"/>
        </w:rPr>
        <w:t>,</w:t>
      </w:r>
      <w:r w:rsidR="000060C0">
        <w:rPr>
          <w:rFonts w:ascii="Arial" w:hAnsi="Arial" w:cs="Arial"/>
          <w:sz w:val="18"/>
          <w:szCs w:val="18"/>
        </w:rPr>
        <w:t>412</w:t>
      </w:r>
      <w:proofErr w:type="gramEnd"/>
      <w:r w:rsidRPr="0073056A">
        <w:rPr>
          <w:rFonts w:ascii="Arial" w:hAnsi="Arial" w:cs="Arial"/>
          <w:sz w:val="18"/>
          <w:szCs w:val="18"/>
        </w:rPr>
        <w:t xml:space="preserve"> que se tiene al cierre del </w:t>
      </w:r>
      <w:r w:rsidR="000060C0">
        <w:rPr>
          <w:rFonts w:ascii="Arial" w:hAnsi="Arial" w:cs="Arial"/>
          <w:sz w:val="18"/>
          <w:szCs w:val="18"/>
        </w:rPr>
        <w:t>segundo</w:t>
      </w:r>
      <w:r w:rsidR="008F4733">
        <w:rPr>
          <w:rFonts w:ascii="Arial" w:hAnsi="Arial" w:cs="Arial"/>
          <w:sz w:val="18"/>
          <w:szCs w:val="18"/>
        </w:rPr>
        <w:t xml:space="preserve"> trimestre del </w:t>
      </w:r>
      <w:r>
        <w:rPr>
          <w:rFonts w:ascii="Arial" w:hAnsi="Arial" w:cs="Arial"/>
          <w:sz w:val="18"/>
          <w:szCs w:val="18"/>
        </w:rPr>
        <w:t>ejercicio 20</w:t>
      </w:r>
      <w:r w:rsidR="008F4733">
        <w:rPr>
          <w:rFonts w:ascii="Arial" w:hAnsi="Arial" w:cs="Arial"/>
          <w:sz w:val="18"/>
          <w:szCs w:val="18"/>
        </w:rPr>
        <w:t>20</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C357D1">
        <w:rPr>
          <w:rFonts w:ascii="Arial" w:hAnsi="Arial" w:cs="Arial"/>
          <w:sz w:val="18"/>
          <w:szCs w:val="18"/>
        </w:rPr>
        <w:t>segundo</w:t>
      </w:r>
      <w:r w:rsidR="008F4733">
        <w:rPr>
          <w:rFonts w:ascii="Arial" w:hAnsi="Arial" w:cs="Arial"/>
          <w:sz w:val="18"/>
          <w:szCs w:val="18"/>
        </w:rPr>
        <w:t xml:space="preserve"> trimestre del </w:t>
      </w:r>
      <w:r>
        <w:rPr>
          <w:rFonts w:ascii="Arial" w:hAnsi="Arial" w:cs="Arial"/>
          <w:sz w:val="18"/>
          <w:szCs w:val="18"/>
        </w:rPr>
        <w:t>ejercicio 20</w:t>
      </w:r>
      <w:r w:rsidR="008F4733">
        <w:rPr>
          <w:rFonts w:ascii="Arial" w:hAnsi="Arial" w:cs="Arial"/>
          <w:sz w:val="18"/>
          <w:szCs w:val="18"/>
        </w:rPr>
        <w:t>20</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C357D1">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20</w:t>
      </w:r>
      <w:r>
        <w:rPr>
          <w:rFonts w:ascii="Arial" w:hAnsi="Arial" w:cs="Arial"/>
          <w:sz w:val="18"/>
          <w:szCs w:val="18"/>
        </w:rPr>
        <w:t xml:space="preserve"> el Poder Ejecutivo cuenta con Inversiones Financieras a Largo Plazo por un importe de $ </w:t>
      </w:r>
      <w:r w:rsidR="001769D8">
        <w:rPr>
          <w:rFonts w:ascii="Arial" w:hAnsi="Arial" w:cs="Arial"/>
          <w:sz w:val="18"/>
          <w:szCs w:val="18"/>
        </w:rPr>
        <w:t>355</w:t>
      </w:r>
      <w:proofErr w:type="gramStart"/>
      <w:r>
        <w:rPr>
          <w:rFonts w:ascii="Arial" w:hAnsi="Arial" w:cs="Arial"/>
          <w:sz w:val="18"/>
          <w:szCs w:val="18"/>
        </w:rPr>
        <w:t>,</w:t>
      </w:r>
      <w:r w:rsidR="001769D8">
        <w:rPr>
          <w:rFonts w:ascii="Arial" w:hAnsi="Arial" w:cs="Arial"/>
          <w:sz w:val="18"/>
          <w:szCs w:val="18"/>
        </w:rPr>
        <w:t>937</w:t>
      </w:r>
      <w:r>
        <w:rPr>
          <w:rFonts w:ascii="Arial" w:hAnsi="Arial" w:cs="Arial"/>
          <w:sz w:val="18"/>
          <w:szCs w:val="18"/>
        </w:rPr>
        <w:t>,</w:t>
      </w:r>
      <w:r w:rsidR="000E10A7">
        <w:rPr>
          <w:rFonts w:ascii="Arial" w:hAnsi="Arial" w:cs="Arial"/>
          <w:sz w:val="18"/>
          <w:szCs w:val="18"/>
        </w:rPr>
        <w:t>304</w:t>
      </w:r>
      <w:proofErr w:type="gramEnd"/>
      <w:r>
        <w:rPr>
          <w:rFonts w:ascii="Arial" w:hAnsi="Arial" w:cs="Arial"/>
          <w:sz w:val="18"/>
          <w:szCs w:val="18"/>
        </w:rPr>
        <w:t>, que respaldan los diversos fondos de contingencia del Ejecutivo del Estado.</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C357D1">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20</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proofErr w:type="gramStart"/>
      <w:r>
        <w:rPr>
          <w:rFonts w:ascii="Arial" w:hAnsi="Arial" w:cs="Arial"/>
          <w:sz w:val="18"/>
          <w:szCs w:val="18"/>
        </w:rPr>
        <w:t>,</w:t>
      </w:r>
      <w:r w:rsidR="001769D8">
        <w:rPr>
          <w:rFonts w:ascii="Arial" w:hAnsi="Arial" w:cs="Arial"/>
          <w:sz w:val="18"/>
          <w:szCs w:val="18"/>
        </w:rPr>
        <w:t>5</w:t>
      </w:r>
      <w:r w:rsidR="00C357D1">
        <w:rPr>
          <w:rFonts w:ascii="Arial" w:hAnsi="Arial" w:cs="Arial"/>
          <w:sz w:val="18"/>
          <w:szCs w:val="18"/>
        </w:rPr>
        <w:t>96</w:t>
      </w:r>
      <w:r>
        <w:rPr>
          <w:rFonts w:ascii="Arial" w:hAnsi="Arial" w:cs="Arial"/>
          <w:sz w:val="18"/>
          <w:szCs w:val="18"/>
        </w:rPr>
        <w:t>,</w:t>
      </w:r>
      <w:r w:rsidR="00C357D1">
        <w:rPr>
          <w:rFonts w:ascii="Arial" w:hAnsi="Arial" w:cs="Arial"/>
          <w:sz w:val="18"/>
          <w:szCs w:val="18"/>
        </w:rPr>
        <w:t>407</w:t>
      </w:r>
      <w:r>
        <w:rPr>
          <w:rFonts w:ascii="Arial" w:hAnsi="Arial" w:cs="Arial"/>
          <w:sz w:val="18"/>
          <w:szCs w:val="18"/>
        </w:rPr>
        <w:t>,</w:t>
      </w:r>
      <w:r w:rsidR="00C357D1">
        <w:rPr>
          <w:rFonts w:ascii="Arial" w:hAnsi="Arial" w:cs="Arial"/>
          <w:sz w:val="18"/>
          <w:szCs w:val="18"/>
        </w:rPr>
        <w:t>963</w:t>
      </w:r>
      <w:proofErr w:type="gramEnd"/>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1435CE">
        <w:rPr>
          <w:rFonts w:ascii="Arial" w:hAnsi="Arial" w:cs="Arial"/>
          <w:sz w:val="18"/>
          <w:szCs w:val="18"/>
        </w:rPr>
        <w:t>8</w:t>
      </w:r>
      <w:r w:rsidRPr="00F619D6">
        <w:rPr>
          <w:rFonts w:ascii="Arial" w:hAnsi="Arial" w:cs="Arial"/>
          <w:sz w:val="18"/>
          <w:szCs w:val="18"/>
        </w:rPr>
        <w:t>,</w:t>
      </w:r>
      <w:r w:rsidR="001435CE">
        <w:rPr>
          <w:rFonts w:ascii="Arial" w:hAnsi="Arial" w:cs="Arial"/>
          <w:sz w:val="18"/>
          <w:szCs w:val="18"/>
        </w:rPr>
        <w:t>6</w:t>
      </w:r>
      <w:r w:rsidR="0058542E">
        <w:rPr>
          <w:rFonts w:ascii="Arial" w:hAnsi="Arial" w:cs="Arial"/>
          <w:sz w:val="18"/>
          <w:szCs w:val="18"/>
        </w:rPr>
        <w:t>5</w:t>
      </w:r>
      <w:r w:rsidR="00C357D1">
        <w:rPr>
          <w:rFonts w:ascii="Arial" w:hAnsi="Arial" w:cs="Arial"/>
          <w:sz w:val="18"/>
          <w:szCs w:val="18"/>
        </w:rPr>
        <w:t>5</w:t>
      </w:r>
      <w:r w:rsidRPr="00F619D6">
        <w:rPr>
          <w:rFonts w:ascii="Arial" w:hAnsi="Arial" w:cs="Arial"/>
          <w:sz w:val="18"/>
          <w:szCs w:val="18"/>
        </w:rPr>
        <w:t>,</w:t>
      </w:r>
      <w:r w:rsidR="00C357D1">
        <w:rPr>
          <w:rFonts w:ascii="Arial" w:hAnsi="Arial" w:cs="Arial"/>
          <w:sz w:val="18"/>
          <w:szCs w:val="18"/>
        </w:rPr>
        <w:t>294</w:t>
      </w:r>
      <w:r w:rsidRPr="00F619D6">
        <w:rPr>
          <w:rFonts w:ascii="Arial" w:hAnsi="Arial" w:cs="Arial"/>
          <w:sz w:val="18"/>
          <w:szCs w:val="18"/>
        </w:rPr>
        <w:t>,</w:t>
      </w:r>
      <w:r w:rsidR="00C357D1">
        <w:rPr>
          <w:rFonts w:ascii="Arial" w:hAnsi="Arial" w:cs="Arial"/>
          <w:sz w:val="18"/>
          <w:szCs w:val="18"/>
        </w:rPr>
        <w:t>290</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w:t>
      </w:r>
    </w:p>
    <w:p w:rsidR="00332091" w:rsidRPr="0073056A" w:rsidRDefault="00B006FD" w:rsidP="00B006FD">
      <w:pPr>
        <w:tabs>
          <w:tab w:val="left" w:pos="284"/>
        </w:tabs>
        <w:ind w:left="284"/>
        <w:jc w:val="both"/>
        <w:rPr>
          <w:rFonts w:ascii="Arial" w:hAnsi="Arial" w:cs="Arial"/>
          <w:sz w:val="18"/>
          <w:szCs w:val="18"/>
        </w:rPr>
      </w:pPr>
      <w:r w:rsidRPr="0073056A">
        <w:rPr>
          <w:rFonts w:ascii="Arial" w:hAnsi="Arial" w:cs="Arial"/>
          <w:sz w:val="18"/>
          <w:szCs w:val="18"/>
        </w:rPr>
        <w:t>El saldo de $</w:t>
      </w:r>
      <w:r>
        <w:rPr>
          <w:rFonts w:ascii="Arial" w:hAnsi="Arial" w:cs="Arial"/>
          <w:sz w:val="18"/>
          <w:szCs w:val="18"/>
        </w:rPr>
        <w:t xml:space="preserve"> </w:t>
      </w:r>
      <w:r w:rsidR="001435CE">
        <w:rPr>
          <w:rFonts w:ascii="Arial" w:hAnsi="Arial" w:cs="Arial"/>
          <w:sz w:val="18"/>
          <w:szCs w:val="18"/>
        </w:rPr>
        <w:t>93</w:t>
      </w:r>
      <w:proofErr w:type="gramStart"/>
      <w:r>
        <w:rPr>
          <w:rFonts w:ascii="Arial" w:hAnsi="Arial" w:cs="Arial"/>
          <w:sz w:val="18"/>
          <w:szCs w:val="18"/>
        </w:rPr>
        <w:t>,</w:t>
      </w:r>
      <w:r w:rsidR="001435CE">
        <w:rPr>
          <w:rFonts w:ascii="Arial" w:hAnsi="Arial" w:cs="Arial"/>
          <w:sz w:val="18"/>
          <w:szCs w:val="18"/>
        </w:rPr>
        <w:t>978</w:t>
      </w:r>
      <w:r>
        <w:rPr>
          <w:rFonts w:ascii="Arial" w:hAnsi="Arial" w:cs="Arial"/>
          <w:sz w:val="18"/>
          <w:szCs w:val="18"/>
        </w:rPr>
        <w:t>,</w:t>
      </w:r>
      <w:r w:rsidR="001435CE">
        <w:rPr>
          <w:rFonts w:ascii="Arial" w:hAnsi="Arial" w:cs="Arial"/>
          <w:sz w:val="18"/>
          <w:szCs w:val="18"/>
        </w:rPr>
        <w:t>850</w:t>
      </w:r>
      <w:proofErr w:type="gramEnd"/>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w:t>
      </w:r>
      <w:proofErr w:type="gramStart"/>
      <w:r w:rsidRPr="00FB6E0E">
        <w:rPr>
          <w:rFonts w:ascii="Arial" w:hAnsi="Arial" w:cs="Arial"/>
          <w:sz w:val="18"/>
          <w:szCs w:val="18"/>
        </w:rPr>
        <w:t>,805,338</w:t>
      </w:r>
      <w:proofErr w:type="gramEnd"/>
      <w:r w:rsidRPr="00FB6E0E">
        <w:rPr>
          <w:rFonts w:ascii="Arial" w:hAnsi="Arial" w:cs="Arial"/>
          <w:sz w:val="18"/>
          <w:szCs w:val="18"/>
        </w:rPr>
        <w:t xml:space="preserve">.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2D7AEB">
        <w:rPr>
          <w:rFonts w:ascii="Arial" w:hAnsi="Arial" w:cs="Arial"/>
          <w:sz w:val="18"/>
          <w:szCs w:val="18"/>
        </w:rPr>
        <w:t>junio</w:t>
      </w:r>
      <w:r>
        <w:rPr>
          <w:rFonts w:ascii="Arial" w:hAnsi="Arial" w:cs="Arial"/>
          <w:sz w:val="18"/>
          <w:szCs w:val="18"/>
        </w:rPr>
        <w:t xml:space="preserve"> del ejercicio 20</w:t>
      </w:r>
      <w:r w:rsidR="00111884">
        <w:rPr>
          <w:rFonts w:ascii="Arial" w:hAnsi="Arial" w:cs="Arial"/>
          <w:sz w:val="18"/>
          <w:szCs w:val="18"/>
        </w:rPr>
        <w:t>20</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556DC7">
        <w:rPr>
          <w:rFonts w:ascii="Arial" w:hAnsi="Arial" w:cs="Arial"/>
          <w:sz w:val="18"/>
          <w:szCs w:val="18"/>
        </w:rPr>
        <w:t>3</w:t>
      </w:r>
      <w:proofErr w:type="gramStart"/>
      <w:r>
        <w:rPr>
          <w:rFonts w:ascii="Arial" w:hAnsi="Arial" w:cs="Arial"/>
          <w:sz w:val="18"/>
          <w:szCs w:val="18"/>
        </w:rPr>
        <w:t>,</w:t>
      </w:r>
      <w:r w:rsidR="002D7AEB">
        <w:rPr>
          <w:rFonts w:ascii="Arial" w:hAnsi="Arial" w:cs="Arial"/>
          <w:sz w:val="18"/>
          <w:szCs w:val="18"/>
        </w:rPr>
        <w:t>082</w:t>
      </w:r>
      <w:r>
        <w:rPr>
          <w:rFonts w:ascii="Arial" w:hAnsi="Arial" w:cs="Arial"/>
          <w:sz w:val="18"/>
          <w:szCs w:val="18"/>
        </w:rPr>
        <w:t>,</w:t>
      </w:r>
      <w:r w:rsidR="002D7AEB">
        <w:rPr>
          <w:rFonts w:ascii="Arial" w:hAnsi="Arial" w:cs="Arial"/>
          <w:sz w:val="18"/>
          <w:szCs w:val="18"/>
        </w:rPr>
        <w:t>678</w:t>
      </w:r>
      <w:r>
        <w:rPr>
          <w:rFonts w:ascii="Arial" w:hAnsi="Arial" w:cs="Arial"/>
          <w:sz w:val="18"/>
          <w:szCs w:val="18"/>
        </w:rPr>
        <w:t>,</w:t>
      </w:r>
      <w:r w:rsidR="002D7AEB">
        <w:rPr>
          <w:rFonts w:ascii="Arial" w:hAnsi="Arial" w:cs="Arial"/>
          <w:sz w:val="18"/>
          <w:szCs w:val="18"/>
        </w:rPr>
        <w:t>652</w:t>
      </w:r>
      <w:proofErr w:type="gramEnd"/>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lastRenderedPageBreak/>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2D7AEB">
        <w:rPr>
          <w:rFonts w:ascii="Arial" w:hAnsi="Arial" w:cs="Arial"/>
          <w:sz w:val="18"/>
          <w:szCs w:val="18"/>
          <w:lang w:val="es-ES"/>
        </w:rPr>
        <w:t>segundo</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20</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Pr>
          <w:rFonts w:ascii="Arial" w:hAnsi="Arial" w:cs="Arial"/>
          <w:sz w:val="18"/>
          <w:szCs w:val="18"/>
        </w:rPr>
        <w:t xml:space="preserve"> </w:t>
      </w:r>
      <w:r w:rsidR="002D7AEB">
        <w:rPr>
          <w:rFonts w:ascii="Arial" w:hAnsi="Arial" w:cs="Arial"/>
          <w:sz w:val="18"/>
          <w:szCs w:val="18"/>
        </w:rPr>
        <w:t>11</w:t>
      </w:r>
      <w:r>
        <w:rPr>
          <w:rFonts w:ascii="Arial" w:hAnsi="Arial" w:cs="Arial"/>
          <w:sz w:val="18"/>
          <w:szCs w:val="18"/>
        </w:rPr>
        <w:t>,</w:t>
      </w:r>
      <w:r w:rsidR="002D7AEB">
        <w:rPr>
          <w:rFonts w:ascii="Arial" w:hAnsi="Arial" w:cs="Arial"/>
          <w:sz w:val="18"/>
          <w:szCs w:val="18"/>
        </w:rPr>
        <w:t>192</w:t>
      </w:r>
      <w:r>
        <w:rPr>
          <w:rFonts w:ascii="Arial" w:hAnsi="Arial" w:cs="Arial"/>
          <w:sz w:val="18"/>
          <w:szCs w:val="18"/>
        </w:rPr>
        <w:t>,</w:t>
      </w:r>
      <w:r w:rsidR="002D7AEB">
        <w:rPr>
          <w:rFonts w:ascii="Arial" w:hAnsi="Arial" w:cs="Arial"/>
          <w:sz w:val="18"/>
          <w:szCs w:val="18"/>
        </w:rPr>
        <w:t>073</w:t>
      </w:r>
      <w:r>
        <w:rPr>
          <w:rFonts w:ascii="Arial" w:hAnsi="Arial" w:cs="Arial"/>
          <w:sz w:val="18"/>
          <w:szCs w:val="18"/>
        </w:rPr>
        <w:t>,</w:t>
      </w:r>
      <w:r w:rsidR="002D7AEB">
        <w:rPr>
          <w:rFonts w:ascii="Arial" w:hAnsi="Arial" w:cs="Arial"/>
          <w:sz w:val="18"/>
          <w:szCs w:val="18"/>
        </w:rPr>
        <w:t>617</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3021C2">
        <w:rPr>
          <w:rFonts w:ascii="Arial" w:hAnsi="Arial" w:cs="Arial"/>
          <w:sz w:val="18"/>
          <w:szCs w:val="18"/>
        </w:rPr>
        <w:t>9</w:t>
      </w:r>
      <w:r>
        <w:rPr>
          <w:rFonts w:ascii="Arial" w:hAnsi="Arial" w:cs="Arial"/>
          <w:sz w:val="18"/>
          <w:szCs w:val="18"/>
        </w:rPr>
        <w:t>,</w:t>
      </w:r>
      <w:r w:rsidR="00C735F9">
        <w:rPr>
          <w:rFonts w:ascii="Arial" w:hAnsi="Arial" w:cs="Arial"/>
          <w:sz w:val="18"/>
          <w:szCs w:val="18"/>
        </w:rPr>
        <w:t>6</w:t>
      </w:r>
      <w:r w:rsidR="003021C2">
        <w:rPr>
          <w:rFonts w:ascii="Arial" w:hAnsi="Arial" w:cs="Arial"/>
          <w:sz w:val="18"/>
          <w:szCs w:val="18"/>
        </w:rPr>
        <w:t>35</w:t>
      </w:r>
      <w:r>
        <w:rPr>
          <w:rFonts w:ascii="Arial" w:hAnsi="Arial" w:cs="Arial"/>
          <w:sz w:val="18"/>
          <w:szCs w:val="18"/>
        </w:rPr>
        <w:t>,</w:t>
      </w:r>
      <w:r w:rsidR="0039454B">
        <w:rPr>
          <w:rFonts w:ascii="Arial" w:hAnsi="Arial" w:cs="Arial"/>
          <w:sz w:val="18"/>
          <w:szCs w:val="18"/>
        </w:rPr>
        <w:t>087</w:t>
      </w:r>
      <w:r>
        <w:rPr>
          <w:rFonts w:ascii="Arial" w:hAnsi="Arial" w:cs="Arial"/>
          <w:sz w:val="18"/>
          <w:szCs w:val="18"/>
        </w:rPr>
        <w:t>,</w:t>
      </w:r>
      <w:r w:rsidR="0039454B">
        <w:rPr>
          <w:rFonts w:ascii="Arial" w:hAnsi="Arial" w:cs="Arial"/>
          <w:sz w:val="18"/>
          <w:szCs w:val="18"/>
        </w:rPr>
        <w:t>203</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 xml:space="preserve"> </w:t>
      </w:r>
      <w:r w:rsidR="00556DC7">
        <w:rPr>
          <w:rFonts w:ascii="Arial" w:hAnsi="Arial" w:cs="Arial"/>
          <w:sz w:val="18"/>
          <w:szCs w:val="18"/>
        </w:rPr>
        <w:t>1</w:t>
      </w:r>
      <w:r>
        <w:rPr>
          <w:rFonts w:ascii="Arial" w:hAnsi="Arial" w:cs="Arial"/>
          <w:sz w:val="18"/>
          <w:szCs w:val="18"/>
        </w:rPr>
        <w:t>,</w:t>
      </w:r>
      <w:r w:rsidR="0039454B">
        <w:rPr>
          <w:rFonts w:ascii="Arial" w:hAnsi="Arial" w:cs="Arial"/>
          <w:sz w:val="18"/>
          <w:szCs w:val="18"/>
        </w:rPr>
        <w:t>556</w:t>
      </w:r>
      <w:r>
        <w:rPr>
          <w:rFonts w:ascii="Arial" w:hAnsi="Arial" w:cs="Arial"/>
          <w:sz w:val="18"/>
          <w:szCs w:val="18"/>
        </w:rPr>
        <w:t>,</w:t>
      </w:r>
      <w:r w:rsidR="0039454B">
        <w:rPr>
          <w:rFonts w:ascii="Arial" w:hAnsi="Arial" w:cs="Arial"/>
          <w:sz w:val="18"/>
          <w:szCs w:val="18"/>
        </w:rPr>
        <w:t>986</w:t>
      </w:r>
      <w:r>
        <w:rPr>
          <w:rFonts w:ascii="Arial" w:hAnsi="Arial" w:cs="Arial"/>
          <w:sz w:val="18"/>
          <w:szCs w:val="18"/>
        </w:rPr>
        <w:t>,</w:t>
      </w:r>
      <w:r w:rsidR="0039454B">
        <w:rPr>
          <w:rFonts w:ascii="Arial" w:hAnsi="Arial" w:cs="Arial"/>
          <w:sz w:val="18"/>
          <w:szCs w:val="18"/>
        </w:rPr>
        <w:t>414</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39454B">
        <w:rPr>
          <w:rFonts w:ascii="Arial" w:hAnsi="Arial" w:cs="Arial"/>
          <w:sz w:val="18"/>
          <w:szCs w:val="18"/>
        </w:rPr>
        <w:t>junio</w:t>
      </w:r>
      <w:r>
        <w:rPr>
          <w:rFonts w:ascii="Arial" w:hAnsi="Arial" w:cs="Arial"/>
          <w:sz w:val="18"/>
          <w:szCs w:val="18"/>
        </w:rPr>
        <w:t xml:space="preserve"> de 20</w:t>
      </w:r>
      <w:r w:rsidR="00C735F9">
        <w:rPr>
          <w:rFonts w:ascii="Arial" w:hAnsi="Arial" w:cs="Arial"/>
          <w:sz w:val="18"/>
          <w:szCs w:val="18"/>
        </w:rPr>
        <w:t>20</w:t>
      </w:r>
      <w:r w:rsidRPr="0073056A">
        <w:rPr>
          <w:rFonts w:ascii="Arial" w:hAnsi="Arial" w:cs="Arial"/>
          <w:sz w:val="18"/>
          <w:szCs w:val="18"/>
        </w:rPr>
        <w:t xml:space="preserve"> se recaudó la cantidad de $</w:t>
      </w:r>
      <w:r>
        <w:rPr>
          <w:rFonts w:ascii="Arial" w:hAnsi="Arial" w:cs="Arial"/>
          <w:sz w:val="18"/>
          <w:szCs w:val="18"/>
        </w:rPr>
        <w:t xml:space="preserve"> </w:t>
      </w:r>
      <w:r w:rsidR="0039454B">
        <w:rPr>
          <w:rFonts w:ascii="Arial" w:hAnsi="Arial" w:cs="Arial"/>
          <w:sz w:val="18"/>
          <w:szCs w:val="18"/>
        </w:rPr>
        <w:t>295</w:t>
      </w:r>
      <w:r>
        <w:rPr>
          <w:rFonts w:ascii="Arial" w:hAnsi="Arial" w:cs="Arial"/>
          <w:sz w:val="18"/>
          <w:szCs w:val="18"/>
        </w:rPr>
        <w:t>,</w:t>
      </w:r>
      <w:r w:rsidR="0039454B">
        <w:rPr>
          <w:rFonts w:ascii="Arial" w:hAnsi="Arial" w:cs="Arial"/>
          <w:sz w:val="18"/>
          <w:szCs w:val="18"/>
        </w:rPr>
        <w:t>801</w:t>
      </w:r>
      <w:r>
        <w:rPr>
          <w:rFonts w:ascii="Arial" w:hAnsi="Arial" w:cs="Arial"/>
          <w:sz w:val="18"/>
          <w:szCs w:val="18"/>
        </w:rPr>
        <w:t>,</w:t>
      </w:r>
      <w:r w:rsidR="0039454B">
        <w:rPr>
          <w:rFonts w:ascii="Arial" w:hAnsi="Arial" w:cs="Arial"/>
          <w:sz w:val="18"/>
          <w:szCs w:val="18"/>
        </w:rPr>
        <w:t>385</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39454B">
        <w:rPr>
          <w:rFonts w:ascii="Arial" w:hAnsi="Arial" w:cs="Arial"/>
          <w:sz w:val="18"/>
          <w:szCs w:val="18"/>
        </w:rPr>
        <w:t>278</w:t>
      </w:r>
      <w:r w:rsidR="00E004F0">
        <w:rPr>
          <w:rFonts w:ascii="Arial" w:hAnsi="Arial" w:cs="Arial"/>
          <w:sz w:val="18"/>
          <w:szCs w:val="18"/>
        </w:rPr>
        <w:t>,</w:t>
      </w:r>
      <w:r w:rsidR="0039454B">
        <w:rPr>
          <w:rFonts w:ascii="Arial" w:hAnsi="Arial" w:cs="Arial"/>
          <w:sz w:val="18"/>
          <w:szCs w:val="18"/>
        </w:rPr>
        <w:t>796</w:t>
      </w:r>
      <w:r>
        <w:rPr>
          <w:rFonts w:ascii="Arial" w:hAnsi="Arial" w:cs="Arial"/>
          <w:sz w:val="18"/>
          <w:szCs w:val="18"/>
        </w:rPr>
        <w:t>,</w:t>
      </w:r>
      <w:r w:rsidR="00374856">
        <w:rPr>
          <w:rFonts w:ascii="Arial" w:hAnsi="Arial" w:cs="Arial"/>
          <w:sz w:val="18"/>
          <w:szCs w:val="18"/>
        </w:rPr>
        <w:t>661</w:t>
      </w:r>
      <w:r>
        <w:rPr>
          <w:rFonts w:ascii="Arial" w:hAnsi="Arial" w:cs="Arial"/>
          <w:sz w:val="18"/>
          <w:szCs w:val="18"/>
        </w:rPr>
        <w:t>; sobre la Producción, el Consumo y las transacciones por un importe de $</w:t>
      </w:r>
      <w:r w:rsidR="00192770">
        <w:rPr>
          <w:rFonts w:ascii="Arial" w:hAnsi="Arial" w:cs="Arial"/>
          <w:sz w:val="18"/>
          <w:szCs w:val="18"/>
        </w:rPr>
        <w:t xml:space="preserve"> </w:t>
      </w:r>
      <w:r w:rsidR="00374856">
        <w:rPr>
          <w:rFonts w:ascii="Arial" w:hAnsi="Arial" w:cs="Arial"/>
          <w:sz w:val="18"/>
          <w:szCs w:val="18"/>
        </w:rPr>
        <w:t>13</w:t>
      </w:r>
      <w:r>
        <w:rPr>
          <w:rFonts w:ascii="Arial" w:hAnsi="Arial" w:cs="Arial"/>
          <w:sz w:val="18"/>
          <w:szCs w:val="18"/>
        </w:rPr>
        <w:t>,</w:t>
      </w:r>
      <w:r w:rsidR="00374856">
        <w:rPr>
          <w:rFonts w:ascii="Arial" w:hAnsi="Arial" w:cs="Arial"/>
          <w:sz w:val="18"/>
          <w:szCs w:val="18"/>
        </w:rPr>
        <w:t>439</w:t>
      </w:r>
      <w:r>
        <w:rPr>
          <w:rFonts w:ascii="Arial" w:hAnsi="Arial" w:cs="Arial"/>
          <w:sz w:val="18"/>
          <w:szCs w:val="18"/>
        </w:rPr>
        <w:t>,</w:t>
      </w:r>
      <w:r w:rsidR="00374856">
        <w:rPr>
          <w:rFonts w:ascii="Arial" w:hAnsi="Arial" w:cs="Arial"/>
          <w:sz w:val="18"/>
          <w:szCs w:val="18"/>
        </w:rPr>
        <w:t>491</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C735F9">
        <w:rPr>
          <w:rFonts w:ascii="Arial" w:hAnsi="Arial" w:cs="Arial"/>
          <w:sz w:val="18"/>
          <w:szCs w:val="18"/>
        </w:rPr>
        <w:t>1</w:t>
      </w:r>
      <w:r>
        <w:rPr>
          <w:rFonts w:ascii="Arial" w:hAnsi="Arial" w:cs="Arial"/>
          <w:sz w:val="18"/>
          <w:szCs w:val="18"/>
        </w:rPr>
        <w:t>,</w:t>
      </w:r>
      <w:r w:rsidR="00C735F9">
        <w:rPr>
          <w:rFonts w:ascii="Arial" w:hAnsi="Arial" w:cs="Arial"/>
          <w:sz w:val="18"/>
          <w:szCs w:val="18"/>
        </w:rPr>
        <w:t>506</w:t>
      </w:r>
      <w:r>
        <w:rPr>
          <w:rFonts w:ascii="Arial" w:hAnsi="Arial" w:cs="Arial"/>
          <w:sz w:val="18"/>
          <w:szCs w:val="18"/>
        </w:rPr>
        <w:t>,</w:t>
      </w:r>
      <w:r w:rsidR="00374856">
        <w:rPr>
          <w:rFonts w:ascii="Arial" w:hAnsi="Arial" w:cs="Arial"/>
          <w:sz w:val="18"/>
          <w:szCs w:val="18"/>
        </w:rPr>
        <w:t>213</w:t>
      </w:r>
      <w:r w:rsidR="00E004F0">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374856">
        <w:rPr>
          <w:rFonts w:ascii="Arial" w:hAnsi="Arial" w:cs="Arial"/>
          <w:sz w:val="18"/>
          <w:szCs w:val="18"/>
        </w:rPr>
        <w:t>juni</w:t>
      </w:r>
      <w:r w:rsidR="00991656">
        <w:rPr>
          <w:rFonts w:ascii="Arial" w:hAnsi="Arial" w:cs="Arial"/>
          <w:sz w:val="18"/>
          <w:szCs w:val="18"/>
        </w:rPr>
        <w:t>o</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043D1E">
        <w:rPr>
          <w:rFonts w:ascii="Arial" w:hAnsi="Arial" w:cs="Arial"/>
          <w:sz w:val="18"/>
          <w:szCs w:val="18"/>
        </w:rPr>
        <w:t>1</w:t>
      </w:r>
      <w:r w:rsidR="00374856">
        <w:rPr>
          <w:rFonts w:ascii="Arial" w:hAnsi="Arial" w:cs="Arial"/>
          <w:sz w:val="18"/>
          <w:szCs w:val="18"/>
        </w:rPr>
        <w:t>99</w:t>
      </w:r>
      <w:proofErr w:type="gramStart"/>
      <w:r>
        <w:rPr>
          <w:rFonts w:ascii="Arial" w:hAnsi="Arial" w:cs="Arial"/>
          <w:sz w:val="18"/>
          <w:szCs w:val="18"/>
        </w:rPr>
        <w:t>,</w:t>
      </w:r>
      <w:r w:rsidR="00374856">
        <w:rPr>
          <w:rFonts w:ascii="Arial" w:hAnsi="Arial" w:cs="Arial"/>
          <w:sz w:val="18"/>
          <w:szCs w:val="18"/>
        </w:rPr>
        <w:t>529</w:t>
      </w:r>
      <w:r>
        <w:rPr>
          <w:rFonts w:ascii="Arial" w:hAnsi="Arial" w:cs="Arial"/>
          <w:sz w:val="18"/>
          <w:szCs w:val="18"/>
        </w:rPr>
        <w:t>,</w:t>
      </w:r>
      <w:r w:rsidR="00374856">
        <w:rPr>
          <w:rFonts w:ascii="Arial" w:hAnsi="Arial" w:cs="Arial"/>
          <w:sz w:val="18"/>
          <w:szCs w:val="18"/>
        </w:rPr>
        <w:t>521</w:t>
      </w:r>
      <w:proofErr w:type="gramEnd"/>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374856">
        <w:rPr>
          <w:rFonts w:ascii="Arial" w:hAnsi="Arial" w:cs="Arial"/>
          <w:sz w:val="18"/>
          <w:szCs w:val="18"/>
        </w:rPr>
        <w:t>juni</w:t>
      </w:r>
      <w:r w:rsidR="00043D1E">
        <w:rPr>
          <w:rFonts w:ascii="Arial" w:hAnsi="Arial" w:cs="Arial"/>
          <w:sz w:val="18"/>
          <w:szCs w:val="18"/>
        </w:rPr>
        <w:t>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374856">
        <w:rPr>
          <w:rFonts w:ascii="Arial" w:hAnsi="Arial" w:cs="Arial"/>
          <w:sz w:val="18"/>
          <w:szCs w:val="18"/>
        </w:rPr>
        <w:t>110</w:t>
      </w:r>
      <w:r w:rsidRPr="00502DDD">
        <w:rPr>
          <w:rFonts w:ascii="Arial" w:hAnsi="Arial" w:cs="Arial"/>
          <w:sz w:val="18"/>
          <w:szCs w:val="18"/>
        </w:rPr>
        <w:t>,</w:t>
      </w:r>
      <w:r w:rsidR="00374856">
        <w:rPr>
          <w:rFonts w:ascii="Arial" w:hAnsi="Arial" w:cs="Arial"/>
          <w:sz w:val="18"/>
          <w:szCs w:val="18"/>
        </w:rPr>
        <w:t>460</w:t>
      </w:r>
      <w:r w:rsidRPr="00502DDD">
        <w:rPr>
          <w:rFonts w:ascii="Arial" w:hAnsi="Arial" w:cs="Arial"/>
          <w:sz w:val="18"/>
          <w:szCs w:val="18"/>
        </w:rPr>
        <w:t>,</w:t>
      </w:r>
      <w:r w:rsidR="00374856">
        <w:rPr>
          <w:rFonts w:ascii="Arial" w:hAnsi="Arial" w:cs="Arial"/>
          <w:sz w:val="18"/>
          <w:szCs w:val="18"/>
        </w:rPr>
        <w:t>338</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374856">
        <w:rPr>
          <w:rFonts w:ascii="Arial" w:hAnsi="Arial" w:cs="Arial"/>
          <w:sz w:val="18"/>
          <w:szCs w:val="18"/>
        </w:rPr>
        <w:t>juni</w:t>
      </w:r>
      <w:r w:rsidR="00043D1E">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20</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043D1E">
        <w:rPr>
          <w:rFonts w:ascii="Arial" w:hAnsi="Arial" w:cs="Arial"/>
          <w:sz w:val="18"/>
          <w:szCs w:val="18"/>
        </w:rPr>
        <w:t>399</w:t>
      </w:r>
      <w:r>
        <w:rPr>
          <w:rFonts w:ascii="Arial" w:hAnsi="Arial" w:cs="Arial"/>
          <w:sz w:val="18"/>
          <w:szCs w:val="18"/>
        </w:rPr>
        <w:t>,</w:t>
      </w:r>
      <w:r w:rsidR="00043D1E">
        <w:rPr>
          <w:rFonts w:ascii="Arial" w:hAnsi="Arial" w:cs="Arial"/>
          <w:sz w:val="18"/>
          <w:szCs w:val="18"/>
        </w:rPr>
        <w:t>727</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AF08C7">
        <w:rPr>
          <w:rFonts w:ascii="Arial" w:hAnsi="Arial" w:cs="Arial"/>
          <w:sz w:val="18"/>
          <w:szCs w:val="18"/>
        </w:rPr>
        <w:t>58</w:t>
      </w:r>
      <w:proofErr w:type="gramStart"/>
      <w:r>
        <w:rPr>
          <w:rFonts w:ascii="Arial" w:hAnsi="Arial" w:cs="Arial"/>
          <w:sz w:val="18"/>
          <w:szCs w:val="18"/>
        </w:rPr>
        <w:t>,</w:t>
      </w:r>
      <w:r w:rsidR="00AF08C7">
        <w:rPr>
          <w:rFonts w:ascii="Arial" w:hAnsi="Arial" w:cs="Arial"/>
          <w:sz w:val="18"/>
          <w:szCs w:val="18"/>
        </w:rPr>
        <w:t>724</w:t>
      </w:r>
      <w:r>
        <w:rPr>
          <w:rFonts w:ascii="Arial" w:hAnsi="Arial" w:cs="Arial"/>
          <w:sz w:val="18"/>
          <w:szCs w:val="18"/>
        </w:rPr>
        <w:t>,</w:t>
      </w:r>
      <w:r w:rsidR="00AF08C7">
        <w:rPr>
          <w:rFonts w:ascii="Arial" w:hAnsi="Arial" w:cs="Arial"/>
          <w:sz w:val="18"/>
          <w:szCs w:val="18"/>
        </w:rPr>
        <w:t>058</w:t>
      </w:r>
      <w:proofErr w:type="gramEnd"/>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AF08C7">
        <w:rPr>
          <w:rFonts w:ascii="Arial" w:hAnsi="Arial" w:cs="Arial"/>
          <w:sz w:val="18"/>
          <w:szCs w:val="18"/>
        </w:rPr>
        <w:t>10</w:t>
      </w:r>
      <w:r>
        <w:rPr>
          <w:rFonts w:ascii="Arial" w:hAnsi="Arial" w:cs="Arial"/>
          <w:sz w:val="18"/>
          <w:szCs w:val="18"/>
        </w:rPr>
        <w:t>,</w:t>
      </w:r>
      <w:r w:rsidR="00AF08C7">
        <w:rPr>
          <w:rFonts w:ascii="Arial" w:hAnsi="Arial" w:cs="Arial"/>
          <w:sz w:val="18"/>
          <w:szCs w:val="18"/>
        </w:rPr>
        <w:t>527</w:t>
      </w:r>
      <w:r>
        <w:rPr>
          <w:rFonts w:ascii="Arial" w:hAnsi="Arial" w:cs="Arial"/>
          <w:sz w:val="18"/>
          <w:szCs w:val="18"/>
        </w:rPr>
        <w:t>,</w:t>
      </w:r>
      <w:r w:rsidR="00AF08C7">
        <w:rPr>
          <w:rFonts w:ascii="Arial" w:hAnsi="Arial" w:cs="Arial"/>
          <w:sz w:val="18"/>
          <w:szCs w:val="18"/>
        </w:rPr>
        <w:t>158</w:t>
      </w:r>
      <w:r>
        <w:rPr>
          <w:rFonts w:ascii="Arial" w:hAnsi="Arial" w:cs="Arial"/>
          <w:sz w:val="18"/>
          <w:szCs w:val="18"/>
        </w:rPr>
        <w:t>,</w:t>
      </w:r>
      <w:r w:rsidR="00AF08C7">
        <w:rPr>
          <w:rFonts w:ascii="Arial" w:hAnsi="Arial" w:cs="Arial"/>
          <w:sz w:val="18"/>
          <w:szCs w:val="18"/>
        </w:rPr>
        <w:t>588</w:t>
      </w:r>
      <w:r>
        <w:rPr>
          <w:rFonts w:ascii="Arial" w:hAnsi="Arial" w:cs="Arial"/>
          <w:sz w:val="18"/>
          <w:szCs w:val="18"/>
        </w:rPr>
        <w:t xml:space="preserve"> al mes de </w:t>
      </w:r>
      <w:r w:rsidR="00AF08C7">
        <w:rPr>
          <w:rFonts w:ascii="Arial" w:hAnsi="Arial" w:cs="Arial"/>
          <w:sz w:val="18"/>
          <w:szCs w:val="18"/>
        </w:rPr>
        <w:t>junio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20</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AF08C7">
        <w:rPr>
          <w:rFonts w:ascii="Arial" w:hAnsi="Arial" w:cs="Arial"/>
          <w:sz w:val="18"/>
          <w:szCs w:val="18"/>
        </w:rPr>
        <w:t>4</w:t>
      </w:r>
      <w:proofErr w:type="gramStart"/>
      <w:r>
        <w:rPr>
          <w:rFonts w:ascii="Arial" w:hAnsi="Arial" w:cs="Arial"/>
          <w:sz w:val="18"/>
          <w:szCs w:val="18"/>
        </w:rPr>
        <w:t>,</w:t>
      </w:r>
      <w:r w:rsidR="00AF08C7">
        <w:rPr>
          <w:rFonts w:ascii="Arial" w:hAnsi="Arial" w:cs="Arial"/>
          <w:sz w:val="18"/>
          <w:szCs w:val="18"/>
        </w:rPr>
        <w:t>739</w:t>
      </w:r>
      <w:r>
        <w:rPr>
          <w:rFonts w:ascii="Arial" w:hAnsi="Arial" w:cs="Arial"/>
          <w:sz w:val="18"/>
          <w:szCs w:val="18"/>
        </w:rPr>
        <w:t>,</w:t>
      </w:r>
      <w:r w:rsidR="00AF08C7">
        <w:rPr>
          <w:rFonts w:ascii="Arial" w:hAnsi="Arial" w:cs="Arial"/>
          <w:sz w:val="18"/>
          <w:szCs w:val="18"/>
        </w:rPr>
        <w:t>817</w:t>
      </w:r>
      <w:r>
        <w:rPr>
          <w:rFonts w:ascii="Arial" w:hAnsi="Arial" w:cs="Arial"/>
          <w:sz w:val="18"/>
          <w:szCs w:val="18"/>
        </w:rPr>
        <w:t>,</w:t>
      </w:r>
      <w:r w:rsidR="00AF08C7">
        <w:rPr>
          <w:rFonts w:ascii="Arial" w:hAnsi="Arial" w:cs="Arial"/>
          <w:sz w:val="18"/>
          <w:szCs w:val="18"/>
        </w:rPr>
        <w:t>221</w:t>
      </w:r>
      <w:proofErr w:type="gramEnd"/>
      <w:r>
        <w:rPr>
          <w:rFonts w:ascii="Arial" w:hAnsi="Arial" w:cs="Arial"/>
          <w:sz w:val="18"/>
          <w:szCs w:val="18"/>
        </w:rPr>
        <w:t xml:space="preserve">, siendo el rubro más importante el Fondo General de Participaciones ya que representa el </w:t>
      </w:r>
      <w:r w:rsidR="001C37DA">
        <w:rPr>
          <w:rFonts w:ascii="Arial" w:hAnsi="Arial" w:cs="Arial"/>
          <w:sz w:val="18"/>
          <w:szCs w:val="18"/>
        </w:rPr>
        <w:t>7</w:t>
      </w:r>
      <w:r w:rsidR="00AF08C7">
        <w:rPr>
          <w:rFonts w:ascii="Arial" w:hAnsi="Arial" w:cs="Arial"/>
          <w:sz w:val="18"/>
          <w:szCs w:val="18"/>
        </w:rPr>
        <w:t>4</w:t>
      </w:r>
      <w:r>
        <w:rPr>
          <w:rFonts w:ascii="Arial" w:hAnsi="Arial" w:cs="Arial"/>
          <w:sz w:val="18"/>
          <w:szCs w:val="18"/>
        </w:rPr>
        <w:t xml:space="preserve"> %</w:t>
      </w:r>
      <w:r w:rsidR="001F4B7F">
        <w:rPr>
          <w:rFonts w:ascii="Arial" w:hAnsi="Arial" w:cs="Arial"/>
          <w:sz w:val="18"/>
          <w:szCs w:val="18"/>
        </w:rPr>
        <w:t xml:space="preserve">, del total de ingresos </w:t>
      </w:r>
      <w:r w:rsidR="003D56C9">
        <w:rPr>
          <w:rFonts w:ascii="Arial" w:hAnsi="Arial" w:cs="Arial"/>
          <w:sz w:val="18"/>
          <w:szCs w:val="18"/>
        </w:rPr>
        <w:t>totales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mes de </w:t>
      </w:r>
      <w:r w:rsidR="005F17A8">
        <w:rPr>
          <w:rFonts w:ascii="Arial" w:hAnsi="Arial" w:cs="Arial"/>
          <w:sz w:val="18"/>
          <w:szCs w:val="18"/>
        </w:rPr>
        <w:t>junio</w:t>
      </w:r>
      <w:r>
        <w:rPr>
          <w:rFonts w:ascii="Arial" w:hAnsi="Arial" w:cs="Arial"/>
          <w:sz w:val="18"/>
          <w:szCs w:val="18"/>
        </w:rPr>
        <w:t xml:space="preserve"> de 20</w:t>
      </w:r>
      <w:r w:rsidR="00B27A40">
        <w:rPr>
          <w:rFonts w:ascii="Arial" w:hAnsi="Arial" w:cs="Arial"/>
          <w:sz w:val="18"/>
          <w:szCs w:val="18"/>
        </w:rPr>
        <w:t>20</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11719" w:type="dxa"/>
        <w:jc w:val="center"/>
        <w:tblCellMar>
          <w:left w:w="70" w:type="dxa"/>
          <w:right w:w="70" w:type="dxa"/>
        </w:tblCellMar>
        <w:tblLook w:val="04A0" w:firstRow="1" w:lastRow="0" w:firstColumn="1" w:lastColumn="0" w:noHBand="0" w:noVBand="1"/>
      </w:tblPr>
      <w:tblGrid>
        <w:gridCol w:w="8222"/>
        <w:gridCol w:w="2126"/>
        <w:gridCol w:w="1371"/>
      </w:tblGrid>
      <w:tr w:rsidR="00AE0E84" w:rsidRPr="00AE0E84" w:rsidTr="00AE0E84">
        <w:trPr>
          <w:trHeight w:val="315"/>
          <w:jc w:val="center"/>
        </w:trPr>
        <w:tc>
          <w:tcPr>
            <w:tcW w:w="8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CONCEPTO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PORCENTAJE</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DE APORTACIONES PARA LA NOMINA EDUCATIVA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B27A40">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5F17A8" w:rsidRPr="005F17A8">
              <w:rPr>
                <w:rFonts w:ascii="Arial" w:eastAsia="Times New Roman" w:hAnsi="Arial" w:cs="Arial"/>
                <w:color w:val="000000"/>
                <w:sz w:val="18"/>
                <w:szCs w:val="18"/>
                <w:lang w:eastAsia="es-MX"/>
              </w:rPr>
              <w:t>1</w:t>
            </w:r>
            <w:r w:rsidR="005F17A8">
              <w:rPr>
                <w:rFonts w:ascii="Arial" w:eastAsia="Times New Roman" w:hAnsi="Arial" w:cs="Arial"/>
                <w:color w:val="000000"/>
                <w:sz w:val="18"/>
                <w:szCs w:val="18"/>
                <w:lang w:eastAsia="es-MX"/>
              </w:rPr>
              <w:t>,</w:t>
            </w:r>
            <w:r w:rsidR="005F17A8" w:rsidRPr="005F17A8">
              <w:rPr>
                <w:rFonts w:ascii="Arial" w:eastAsia="Times New Roman" w:hAnsi="Arial" w:cs="Arial"/>
                <w:color w:val="000000"/>
                <w:sz w:val="18"/>
                <w:szCs w:val="18"/>
                <w:lang w:eastAsia="es-MX"/>
              </w:rPr>
              <w:t>841</w:t>
            </w:r>
            <w:r w:rsidR="005F17A8">
              <w:rPr>
                <w:rFonts w:ascii="Arial" w:eastAsia="Times New Roman" w:hAnsi="Arial" w:cs="Arial"/>
                <w:color w:val="000000"/>
                <w:sz w:val="18"/>
                <w:szCs w:val="18"/>
                <w:lang w:eastAsia="es-MX"/>
              </w:rPr>
              <w:t>,</w:t>
            </w:r>
            <w:r w:rsidR="005F17A8" w:rsidRPr="005F17A8">
              <w:rPr>
                <w:rFonts w:ascii="Arial" w:eastAsia="Times New Roman" w:hAnsi="Arial" w:cs="Arial"/>
                <w:color w:val="000000"/>
                <w:sz w:val="18"/>
                <w:szCs w:val="18"/>
                <w:lang w:eastAsia="es-MX"/>
              </w:rPr>
              <w:t>456</w:t>
            </w:r>
            <w:r w:rsidR="005F17A8">
              <w:rPr>
                <w:rFonts w:ascii="Arial" w:eastAsia="Times New Roman" w:hAnsi="Arial" w:cs="Arial"/>
                <w:color w:val="000000"/>
                <w:sz w:val="18"/>
                <w:szCs w:val="18"/>
                <w:lang w:eastAsia="es-MX"/>
              </w:rPr>
              <w:t>,</w:t>
            </w:r>
            <w:r w:rsidR="005F17A8" w:rsidRPr="005F17A8">
              <w:rPr>
                <w:rFonts w:ascii="Arial" w:eastAsia="Times New Roman" w:hAnsi="Arial" w:cs="Arial"/>
                <w:color w:val="000000"/>
                <w:sz w:val="18"/>
                <w:szCs w:val="18"/>
                <w:lang w:eastAsia="es-MX"/>
              </w:rPr>
              <w:t>301</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D779E" w:rsidP="009D779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41.6</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LOS SERVICIOS DE SALUD</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A6727">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A6727">
              <w:rPr>
                <w:rFonts w:ascii="Arial" w:eastAsia="Times New Roman" w:hAnsi="Arial" w:cs="Arial"/>
                <w:color w:val="000000"/>
                <w:sz w:val="18"/>
                <w:szCs w:val="18"/>
                <w:lang w:eastAsia="es-MX"/>
              </w:rPr>
              <w:t>929</w:t>
            </w:r>
            <w:r w:rsidRPr="00AE0E84">
              <w:rPr>
                <w:rFonts w:ascii="Arial" w:eastAsia="Times New Roman" w:hAnsi="Arial" w:cs="Arial"/>
                <w:color w:val="000000"/>
                <w:sz w:val="18"/>
                <w:szCs w:val="18"/>
                <w:lang w:eastAsia="es-MX"/>
              </w:rPr>
              <w:t>,</w:t>
            </w:r>
            <w:r w:rsidR="00EA6727">
              <w:rPr>
                <w:rFonts w:ascii="Arial" w:eastAsia="Times New Roman" w:hAnsi="Arial" w:cs="Arial"/>
                <w:color w:val="000000"/>
                <w:sz w:val="18"/>
                <w:szCs w:val="18"/>
                <w:lang w:eastAsia="es-MX"/>
              </w:rPr>
              <w:t>059</w:t>
            </w:r>
            <w:r w:rsidRPr="00AE0E84">
              <w:rPr>
                <w:rFonts w:ascii="Arial" w:eastAsia="Times New Roman" w:hAnsi="Arial" w:cs="Arial"/>
                <w:color w:val="000000"/>
                <w:sz w:val="18"/>
                <w:szCs w:val="18"/>
                <w:lang w:eastAsia="es-MX"/>
              </w:rPr>
              <w:t>,</w:t>
            </w:r>
            <w:r w:rsidR="00EA6727">
              <w:rPr>
                <w:rFonts w:ascii="Arial" w:eastAsia="Times New Roman" w:hAnsi="Arial" w:cs="Arial"/>
                <w:color w:val="000000"/>
                <w:sz w:val="18"/>
                <w:szCs w:val="18"/>
                <w:lang w:eastAsia="es-MX"/>
              </w:rPr>
              <w:t>318</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9D779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9D779E">
              <w:rPr>
                <w:rFonts w:ascii="Arial" w:eastAsia="Times New Roman" w:hAnsi="Arial" w:cs="Arial"/>
                <w:color w:val="000000"/>
                <w:sz w:val="18"/>
                <w:szCs w:val="18"/>
                <w:lang w:eastAsia="es-MX"/>
              </w:rPr>
              <w:t>1</w:t>
            </w:r>
            <w:r>
              <w:rPr>
                <w:rFonts w:ascii="Arial" w:eastAsia="Times New Roman" w:hAnsi="Arial" w:cs="Arial"/>
                <w:color w:val="000000"/>
                <w:sz w:val="18"/>
                <w:szCs w:val="18"/>
                <w:lang w:eastAsia="es-MX"/>
              </w:rPr>
              <w:t>.</w:t>
            </w:r>
            <w:r w:rsidR="009D779E">
              <w:rPr>
                <w:rFonts w:ascii="Arial" w:eastAsia="Times New Roman" w:hAnsi="Arial" w:cs="Arial"/>
                <w:color w:val="000000"/>
                <w:sz w:val="18"/>
                <w:szCs w:val="18"/>
                <w:lang w:eastAsia="es-MX"/>
              </w:rPr>
              <w:t>0</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ESTATAL)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A6727">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A6727">
              <w:rPr>
                <w:rFonts w:ascii="Arial" w:eastAsia="Times New Roman" w:hAnsi="Arial" w:cs="Arial"/>
                <w:color w:val="000000"/>
                <w:sz w:val="18"/>
                <w:szCs w:val="18"/>
                <w:lang w:eastAsia="es-MX"/>
              </w:rPr>
              <w:t>66</w:t>
            </w:r>
            <w:r w:rsidRPr="00AE0E84">
              <w:rPr>
                <w:rFonts w:ascii="Arial" w:eastAsia="Times New Roman" w:hAnsi="Arial" w:cs="Arial"/>
                <w:color w:val="000000"/>
                <w:sz w:val="18"/>
                <w:szCs w:val="18"/>
                <w:lang w:eastAsia="es-MX"/>
              </w:rPr>
              <w:t>,</w:t>
            </w:r>
            <w:r w:rsidR="00EA6727">
              <w:rPr>
                <w:rFonts w:ascii="Arial" w:eastAsia="Times New Roman" w:hAnsi="Arial" w:cs="Arial"/>
                <w:color w:val="000000"/>
                <w:sz w:val="18"/>
                <w:szCs w:val="18"/>
                <w:lang w:eastAsia="es-MX"/>
              </w:rPr>
              <w:t>204</w:t>
            </w:r>
            <w:r w:rsidRPr="00AE0E84">
              <w:rPr>
                <w:rFonts w:ascii="Arial" w:eastAsia="Times New Roman" w:hAnsi="Arial" w:cs="Arial"/>
                <w:color w:val="000000"/>
                <w:sz w:val="18"/>
                <w:szCs w:val="18"/>
                <w:lang w:eastAsia="es-MX"/>
              </w:rPr>
              <w:t>,</w:t>
            </w:r>
            <w:r w:rsidR="00EA6727">
              <w:rPr>
                <w:rFonts w:ascii="Arial" w:eastAsia="Times New Roman" w:hAnsi="Arial" w:cs="Arial"/>
                <w:color w:val="000000"/>
                <w:sz w:val="18"/>
                <w:szCs w:val="18"/>
                <w:lang w:eastAsia="es-MX"/>
              </w:rPr>
              <w:t>186</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9D779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9D779E">
              <w:rPr>
                <w:rFonts w:ascii="Arial" w:eastAsia="Times New Roman" w:hAnsi="Arial" w:cs="Arial"/>
                <w:color w:val="000000"/>
                <w:sz w:val="18"/>
                <w:szCs w:val="18"/>
                <w:lang w:eastAsia="es-MX"/>
              </w:rPr>
              <w:t>5</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MUNICIPAL)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A6727">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A6727">
              <w:rPr>
                <w:rFonts w:ascii="Arial" w:eastAsia="Times New Roman" w:hAnsi="Arial" w:cs="Arial"/>
                <w:color w:val="000000"/>
                <w:sz w:val="18"/>
                <w:szCs w:val="18"/>
                <w:lang w:eastAsia="es-MX"/>
              </w:rPr>
              <w:t>479</w:t>
            </w:r>
            <w:r w:rsidRPr="00AE0E84">
              <w:rPr>
                <w:rFonts w:ascii="Arial" w:eastAsia="Times New Roman" w:hAnsi="Arial" w:cs="Arial"/>
                <w:color w:val="000000"/>
                <w:sz w:val="18"/>
                <w:szCs w:val="18"/>
                <w:lang w:eastAsia="es-MX"/>
              </w:rPr>
              <w:t>,</w:t>
            </w:r>
            <w:r w:rsidR="00EA6727">
              <w:rPr>
                <w:rFonts w:ascii="Arial" w:eastAsia="Times New Roman" w:hAnsi="Arial" w:cs="Arial"/>
                <w:color w:val="000000"/>
                <w:sz w:val="18"/>
                <w:szCs w:val="18"/>
                <w:lang w:eastAsia="es-MX"/>
              </w:rPr>
              <w:t>951</w:t>
            </w:r>
            <w:r w:rsidRPr="00AE0E84">
              <w:rPr>
                <w:rFonts w:ascii="Arial" w:eastAsia="Times New Roman" w:hAnsi="Arial" w:cs="Arial"/>
                <w:color w:val="000000"/>
                <w:sz w:val="18"/>
                <w:szCs w:val="18"/>
                <w:lang w:eastAsia="es-MX"/>
              </w:rPr>
              <w:t>,</w:t>
            </w:r>
            <w:r w:rsidR="00EA6727">
              <w:rPr>
                <w:rFonts w:ascii="Arial" w:eastAsia="Times New Roman" w:hAnsi="Arial" w:cs="Arial"/>
                <w:color w:val="000000"/>
                <w:sz w:val="18"/>
                <w:szCs w:val="18"/>
                <w:lang w:eastAsia="es-MX"/>
              </w:rPr>
              <w:t>544</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9D779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9D779E">
              <w:rPr>
                <w:rFonts w:ascii="Arial" w:eastAsia="Times New Roman" w:hAnsi="Arial" w:cs="Arial"/>
                <w:color w:val="000000"/>
                <w:sz w:val="18"/>
                <w:szCs w:val="18"/>
                <w:lang w:eastAsia="es-MX"/>
              </w:rPr>
              <w:t>0</w:t>
            </w:r>
            <w:r>
              <w:rPr>
                <w:rFonts w:ascii="Arial" w:eastAsia="Times New Roman" w:hAnsi="Arial" w:cs="Arial"/>
                <w:color w:val="000000"/>
                <w:sz w:val="18"/>
                <w:szCs w:val="18"/>
                <w:lang w:eastAsia="es-MX"/>
              </w:rPr>
              <w:t>.</w:t>
            </w:r>
            <w:r w:rsidR="009D779E">
              <w:rPr>
                <w:rFonts w:ascii="Arial" w:eastAsia="Times New Roman" w:hAnsi="Arial" w:cs="Arial"/>
                <w:color w:val="000000"/>
                <w:sz w:val="18"/>
                <w:szCs w:val="18"/>
                <w:lang w:eastAsia="es-MX"/>
              </w:rPr>
              <w:t>8</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FORTAMUN</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3638C1">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3638C1">
              <w:rPr>
                <w:rFonts w:ascii="Arial" w:eastAsia="Times New Roman" w:hAnsi="Arial" w:cs="Arial"/>
                <w:color w:val="000000"/>
                <w:sz w:val="18"/>
                <w:szCs w:val="18"/>
                <w:lang w:eastAsia="es-MX"/>
              </w:rPr>
              <w:t>458</w:t>
            </w:r>
            <w:r w:rsidRPr="00AE0E84">
              <w:rPr>
                <w:rFonts w:ascii="Arial" w:eastAsia="Times New Roman" w:hAnsi="Arial" w:cs="Arial"/>
                <w:color w:val="000000"/>
                <w:sz w:val="18"/>
                <w:szCs w:val="18"/>
                <w:lang w:eastAsia="es-MX"/>
              </w:rPr>
              <w:t>,</w:t>
            </w:r>
            <w:r w:rsidR="003638C1">
              <w:rPr>
                <w:rFonts w:ascii="Arial" w:eastAsia="Times New Roman" w:hAnsi="Arial" w:cs="Arial"/>
                <w:color w:val="000000"/>
                <w:sz w:val="18"/>
                <w:szCs w:val="18"/>
                <w:lang w:eastAsia="es-MX"/>
              </w:rPr>
              <w:t>170</w:t>
            </w:r>
            <w:r w:rsidRPr="00AE0E84">
              <w:rPr>
                <w:rFonts w:ascii="Arial" w:eastAsia="Times New Roman" w:hAnsi="Arial" w:cs="Arial"/>
                <w:color w:val="000000"/>
                <w:sz w:val="18"/>
                <w:szCs w:val="18"/>
                <w:lang w:eastAsia="es-MX"/>
              </w:rPr>
              <w:t>,</w:t>
            </w:r>
            <w:r w:rsidR="003638C1">
              <w:rPr>
                <w:rFonts w:ascii="Arial" w:eastAsia="Times New Roman" w:hAnsi="Arial" w:cs="Arial"/>
                <w:color w:val="000000"/>
                <w:sz w:val="18"/>
                <w:szCs w:val="18"/>
                <w:lang w:eastAsia="es-MX"/>
              </w:rPr>
              <w:t>884</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0B552D" w:rsidRPr="00AE0E84" w:rsidRDefault="0091566D" w:rsidP="009D779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9D779E">
              <w:rPr>
                <w:rFonts w:ascii="Arial" w:eastAsia="Times New Roman" w:hAnsi="Arial" w:cs="Arial"/>
                <w:color w:val="000000"/>
                <w:sz w:val="18"/>
                <w:szCs w:val="18"/>
                <w:lang w:eastAsia="es-MX"/>
              </w:rPr>
              <w:t>0</w:t>
            </w:r>
            <w:r>
              <w:rPr>
                <w:rFonts w:ascii="Arial" w:eastAsia="Times New Roman" w:hAnsi="Arial" w:cs="Arial"/>
                <w:color w:val="000000"/>
                <w:sz w:val="18"/>
                <w:szCs w:val="18"/>
                <w:lang w:eastAsia="es-MX"/>
              </w:rPr>
              <w:t>.</w:t>
            </w:r>
            <w:r w:rsidR="009D779E">
              <w:rPr>
                <w:rFonts w:ascii="Arial" w:eastAsia="Times New Roman" w:hAnsi="Arial" w:cs="Arial"/>
                <w:color w:val="000000"/>
                <w:sz w:val="18"/>
                <w:szCs w:val="18"/>
                <w:lang w:eastAsia="es-MX"/>
              </w:rPr>
              <w:t>3</w:t>
            </w:r>
          </w:p>
        </w:tc>
      </w:tr>
      <w:tr w:rsidR="00E828CB"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E828CB" w:rsidRPr="00AE0E84" w:rsidRDefault="00E828CB" w:rsidP="00E828CB">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FAM</w:t>
            </w:r>
          </w:p>
        </w:tc>
        <w:tc>
          <w:tcPr>
            <w:tcW w:w="2126" w:type="dxa"/>
            <w:tcBorders>
              <w:top w:val="nil"/>
              <w:left w:val="nil"/>
              <w:bottom w:val="single" w:sz="8" w:space="0" w:color="auto"/>
              <w:right w:val="single" w:sz="8" w:space="0" w:color="auto"/>
            </w:tcBorders>
            <w:shd w:val="clear" w:color="auto" w:fill="auto"/>
            <w:noWrap/>
            <w:vAlign w:val="center"/>
            <w:hideMark/>
          </w:tcPr>
          <w:p w:rsidR="00E828CB" w:rsidRPr="00AE0E84" w:rsidRDefault="00E828CB" w:rsidP="003638C1">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3638C1">
              <w:rPr>
                <w:rFonts w:ascii="Arial" w:eastAsia="Times New Roman" w:hAnsi="Arial" w:cs="Arial"/>
                <w:color w:val="000000"/>
                <w:sz w:val="18"/>
                <w:szCs w:val="18"/>
                <w:lang w:eastAsia="es-MX"/>
              </w:rPr>
              <w:t>197</w:t>
            </w:r>
            <w:r w:rsidRPr="00AE0E84">
              <w:rPr>
                <w:rFonts w:ascii="Arial" w:eastAsia="Times New Roman" w:hAnsi="Arial" w:cs="Arial"/>
                <w:color w:val="000000"/>
                <w:sz w:val="18"/>
                <w:szCs w:val="18"/>
                <w:lang w:eastAsia="es-MX"/>
              </w:rPr>
              <w:t>,</w:t>
            </w:r>
            <w:r w:rsidR="003638C1">
              <w:rPr>
                <w:rFonts w:ascii="Arial" w:eastAsia="Times New Roman" w:hAnsi="Arial" w:cs="Arial"/>
                <w:color w:val="000000"/>
                <w:sz w:val="18"/>
                <w:szCs w:val="18"/>
                <w:lang w:eastAsia="es-MX"/>
              </w:rPr>
              <w:t>278</w:t>
            </w:r>
            <w:r w:rsidRPr="00AE0E84">
              <w:rPr>
                <w:rFonts w:ascii="Arial" w:eastAsia="Times New Roman" w:hAnsi="Arial" w:cs="Arial"/>
                <w:color w:val="000000"/>
                <w:sz w:val="18"/>
                <w:szCs w:val="18"/>
                <w:lang w:eastAsia="es-MX"/>
              </w:rPr>
              <w:t>,</w:t>
            </w:r>
            <w:r w:rsidR="003638C1">
              <w:rPr>
                <w:rFonts w:ascii="Arial" w:eastAsia="Times New Roman" w:hAnsi="Arial" w:cs="Arial"/>
                <w:color w:val="000000"/>
                <w:sz w:val="18"/>
                <w:szCs w:val="18"/>
                <w:lang w:eastAsia="es-MX"/>
              </w:rPr>
              <w:t>080</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E828CB" w:rsidRPr="00AE0E84" w:rsidRDefault="009D779E" w:rsidP="009D779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w:t>
            </w:r>
            <w:r w:rsidR="0091566D">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TECNOLOGICA)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3638C1">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3638C1">
              <w:rPr>
                <w:rFonts w:ascii="Arial" w:eastAsia="Times New Roman" w:hAnsi="Arial" w:cs="Arial"/>
                <w:color w:val="000000"/>
                <w:sz w:val="18"/>
                <w:szCs w:val="18"/>
                <w:lang w:eastAsia="es-MX"/>
              </w:rPr>
              <w:t>21</w:t>
            </w:r>
            <w:r w:rsidRPr="00AE0E84">
              <w:rPr>
                <w:rFonts w:ascii="Arial" w:eastAsia="Times New Roman" w:hAnsi="Arial" w:cs="Arial"/>
                <w:color w:val="000000"/>
                <w:sz w:val="18"/>
                <w:szCs w:val="18"/>
                <w:lang w:eastAsia="es-MX"/>
              </w:rPr>
              <w:t>,</w:t>
            </w:r>
            <w:r w:rsidR="003638C1">
              <w:rPr>
                <w:rFonts w:ascii="Arial" w:eastAsia="Times New Roman" w:hAnsi="Arial" w:cs="Arial"/>
                <w:color w:val="000000"/>
                <w:sz w:val="18"/>
                <w:szCs w:val="18"/>
                <w:lang w:eastAsia="es-MX"/>
              </w:rPr>
              <w:t>569</w:t>
            </w:r>
            <w:r w:rsidRPr="00AE0E84">
              <w:rPr>
                <w:rFonts w:ascii="Arial" w:eastAsia="Times New Roman" w:hAnsi="Arial" w:cs="Arial"/>
                <w:color w:val="000000"/>
                <w:sz w:val="18"/>
                <w:szCs w:val="18"/>
                <w:lang w:eastAsia="es-MX"/>
              </w:rPr>
              <w:t>,</w:t>
            </w:r>
            <w:r w:rsidR="003638C1">
              <w:rPr>
                <w:rFonts w:ascii="Arial" w:eastAsia="Times New Roman" w:hAnsi="Arial" w:cs="Arial"/>
                <w:color w:val="000000"/>
                <w:sz w:val="18"/>
                <w:szCs w:val="18"/>
                <w:lang w:eastAsia="es-MX"/>
              </w:rPr>
              <w:t>570</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9D779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9D779E">
              <w:rPr>
                <w:rFonts w:ascii="Arial" w:eastAsia="Times New Roman" w:hAnsi="Arial" w:cs="Arial"/>
                <w:color w:val="000000"/>
                <w:sz w:val="18"/>
                <w:szCs w:val="18"/>
                <w:lang w:eastAsia="es-MX"/>
              </w:rPr>
              <w:t>5</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DE ADULTOS ITEA)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A6727">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A6727">
              <w:rPr>
                <w:rFonts w:ascii="Arial" w:eastAsia="Times New Roman" w:hAnsi="Arial" w:cs="Arial"/>
                <w:color w:val="000000"/>
                <w:sz w:val="18"/>
                <w:szCs w:val="18"/>
                <w:lang w:eastAsia="es-MX"/>
              </w:rPr>
              <w:t>2</w:t>
            </w:r>
            <w:r w:rsidR="00E828CB">
              <w:rPr>
                <w:rFonts w:ascii="Arial" w:eastAsia="Times New Roman" w:hAnsi="Arial" w:cs="Arial"/>
                <w:color w:val="000000"/>
                <w:sz w:val="18"/>
                <w:szCs w:val="18"/>
                <w:lang w:eastAsia="es-MX"/>
              </w:rPr>
              <w:t>2</w:t>
            </w:r>
            <w:r w:rsidRPr="00AE0E84">
              <w:rPr>
                <w:rFonts w:ascii="Arial" w:eastAsia="Times New Roman" w:hAnsi="Arial" w:cs="Arial"/>
                <w:color w:val="000000"/>
                <w:sz w:val="18"/>
                <w:szCs w:val="18"/>
                <w:lang w:eastAsia="es-MX"/>
              </w:rPr>
              <w:t>,</w:t>
            </w:r>
            <w:r w:rsidR="00EA6727">
              <w:rPr>
                <w:rFonts w:ascii="Arial" w:eastAsia="Times New Roman" w:hAnsi="Arial" w:cs="Arial"/>
                <w:color w:val="000000"/>
                <w:sz w:val="18"/>
                <w:szCs w:val="18"/>
                <w:lang w:eastAsia="es-MX"/>
              </w:rPr>
              <w:t>681</w:t>
            </w:r>
            <w:r w:rsidRPr="00AE0E84">
              <w:rPr>
                <w:rFonts w:ascii="Arial" w:eastAsia="Times New Roman" w:hAnsi="Arial" w:cs="Arial"/>
                <w:color w:val="000000"/>
                <w:sz w:val="18"/>
                <w:szCs w:val="18"/>
                <w:lang w:eastAsia="es-MX"/>
              </w:rPr>
              <w:t>,</w:t>
            </w:r>
            <w:r w:rsidR="00EA6727">
              <w:rPr>
                <w:rFonts w:ascii="Arial" w:eastAsia="Times New Roman" w:hAnsi="Arial" w:cs="Arial"/>
                <w:color w:val="000000"/>
                <w:sz w:val="18"/>
                <w:szCs w:val="18"/>
                <w:lang w:eastAsia="es-MX"/>
              </w:rPr>
              <w:t>177</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0B552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9D779E">
              <w:rPr>
                <w:rFonts w:ascii="Arial" w:eastAsia="Times New Roman" w:hAnsi="Arial" w:cs="Arial"/>
                <w:color w:val="000000"/>
                <w:sz w:val="18"/>
                <w:szCs w:val="18"/>
                <w:lang w:eastAsia="es-MX"/>
              </w:rPr>
              <w:t>.5</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LA SEGURIDAD PUBLICA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A6727">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A6727">
              <w:rPr>
                <w:rFonts w:ascii="Arial" w:eastAsia="Times New Roman" w:hAnsi="Arial" w:cs="Arial"/>
                <w:color w:val="000000"/>
                <w:sz w:val="18"/>
                <w:szCs w:val="18"/>
                <w:lang w:eastAsia="es-MX"/>
              </w:rPr>
              <w:t>94</w:t>
            </w:r>
            <w:r w:rsidRPr="00AE0E84">
              <w:rPr>
                <w:rFonts w:ascii="Arial" w:eastAsia="Times New Roman" w:hAnsi="Arial" w:cs="Arial"/>
                <w:color w:val="000000"/>
                <w:sz w:val="18"/>
                <w:szCs w:val="18"/>
                <w:lang w:eastAsia="es-MX"/>
              </w:rPr>
              <w:t>,</w:t>
            </w:r>
            <w:r w:rsidR="00EA6727">
              <w:rPr>
                <w:rFonts w:ascii="Arial" w:eastAsia="Times New Roman" w:hAnsi="Arial" w:cs="Arial"/>
                <w:color w:val="000000"/>
                <w:sz w:val="18"/>
                <w:szCs w:val="18"/>
                <w:lang w:eastAsia="es-MX"/>
              </w:rPr>
              <w:t>550</w:t>
            </w:r>
            <w:r w:rsidRPr="00AE0E84">
              <w:rPr>
                <w:rFonts w:ascii="Arial" w:eastAsia="Times New Roman" w:hAnsi="Arial" w:cs="Arial"/>
                <w:color w:val="000000"/>
                <w:sz w:val="18"/>
                <w:szCs w:val="18"/>
                <w:lang w:eastAsia="es-MX"/>
              </w:rPr>
              <w:t>,</w:t>
            </w:r>
            <w:r w:rsidR="00EA6727">
              <w:rPr>
                <w:rFonts w:ascii="Arial" w:eastAsia="Times New Roman" w:hAnsi="Arial" w:cs="Arial"/>
                <w:color w:val="000000"/>
                <w:sz w:val="18"/>
                <w:szCs w:val="18"/>
                <w:lang w:eastAsia="es-MX"/>
              </w:rPr>
              <w:t>370</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1566D" w:rsidP="009D779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9D779E">
              <w:rPr>
                <w:rFonts w:ascii="Arial" w:eastAsia="Times New Roman" w:hAnsi="Arial" w:cs="Arial"/>
                <w:color w:val="000000"/>
                <w:sz w:val="18"/>
                <w:szCs w:val="18"/>
                <w:lang w:eastAsia="es-MX"/>
              </w:rPr>
              <w:t>1</w:t>
            </w:r>
          </w:p>
        </w:tc>
      </w:tr>
      <w:tr w:rsidR="00AE0E84" w:rsidRPr="00AE0E84" w:rsidTr="00E828CB">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EL FORTALECIMIENTO DE ENTIDADES FEDERATIVAS</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EA6727">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w:t>
            </w:r>
            <w:r w:rsidR="00EA6727">
              <w:rPr>
                <w:rFonts w:ascii="Arial" w:eastAsia="Times New Roman" w:hAnsi="Arial" w:cs="Arial"/>
                <w:color w:val="000000"/>
                <w:sz w:val="18"/>
                <w:szCs w:val="18"/>
                <w:lang w:eastAsia="es-MX"/>
              </w:rPr>
              <w:t>320</w:t>
            </w:r>
            <w:r w:rsidRPr="00AE0E84">
              <w:rPr>
                <w:rFonts w:ascii="Arial" w:eastAsia="Times New Roman" w:hAnsi="Arial" w:cs="Arial"/>
                <w:color w:val="000000"/>
                <w:sz w:val="18"/>
                <w:szCs w:val="18"/>
                <w:lang w:eastAsia="es-MX"/>
              </w:rPr>
              <w:t>,</w:t>
            </w:r>
            <w:r w:rsidR="00EA6727">
              <w:rPr>
                <w:rFonts w:ascii="Arial" w:eastAsia="Times New Roman" w:hAnsi="Arial" w:cs="Arial"/>
                <w:color w:val="000000"/>
                <w:sz w:val="18"/>
                <w:szCs w:val="18"/>
                <w:lang w:eastAsia="es-MX"/>
              </w:rPr>
              <w:t>404</w:t>
            </w:r>
            <w:r w:rsidRPr="00AE0E84">
              <w:rPr>
                <w:rFonts w:ascii="Arial" w:eastAsia="Times New Roman" w:hAnsi="Arial" w:cs="Arial"/>
                <w:color w:val="000000"/>
                <w:sz w:val="18"/>
                <w:szCs w:val="18"/>
                <w:lang w:eastAsia="es-MX"/>
              </w:rPr>
              <w:t>,</w:t>
            </w:r>
            <w:r w:rsidR="00EA6727">
              <w:rPr>
                <w:rFonts w:ascii="Arial" w:eastAsia="Times New Roman" w:hAnsi="Arial" w:cs="Arial"/>
                <w:color w:val="000000"/>
                <w:sz w:val="18"/>
                <w:szCs w:val="18"/>
                <w:lang w:eastAsia="es-MX"/>
              </w:rPr>
              <w:t>938</w:t>
            </w:r>
            <w:r w:rsidRPr="00AE0E84">
              <w:rPr>
                <w:rFonts w:ascii="Arial" w:eastAsia="Times New Roman" w:hAnsi="Arial" w:cs="Arial"/>
                <w:color w:val="000000"/>
                <w:sz w:val="18"/>
                <w:szCs w:val="18"/>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tcPr>
          <w:p w:rsidR="00AE0E84" w:rsidRPr="00AE0E84" w:rsidRDefault="009D779E" w:rsidP="009D779E">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0091566D">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2</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TOTAL</w:t>
            </w:r>
          </w:p>
        </w:tc>
        <w:tc>
          <w:tcPr>
            <w:tcW w:w="2126" w:type="dxa"/>
            <w:tcBorders>
              <w:top w:val="nil"/>
              <w:left w:val="nil"/>
              <w:bottom w:val="single" w:sz="8" w:space="0" w:color="auto"/>
              <w:right w:val="single" w:sz="8" w:space="0" w:color="auto"/>
            </w:tcBorders>
            <w:shd w:val="clear" w:color="auto" w:fill="auto"/>
            <w:noWrap/>
            <w:vAlign w:val="bottom"/>
            <w:hideMark/>
          </w:tcPr>
          <w:p w:rsidR="00AE0E84" w:rsidRPr="00AE0E84" w:rsidRDefault="00AE0E84" w:rsidP="009D779E">
            <w:pPr>
              <w:spacing w:after="0" w:line="240" w:lineRule="auto"/>
              <w:jc w:val="right"/>
              <w:rPr>
                <w:rFonts w:ascii="Calibri" w:eastAsia="Times New Roman" w:hAnsi="Calibri" w:cs="Calibri"/>
                <w:color w:val="000000"/>
                <w:lang w:eastAsia="es-MX"/>
              </w:rPr>
            </w:pPr>
            <w:r w:rsidRPr="00AE0E84">
              <w:rPr>
                <w:rFonts w:ascii="Calibri" w:eastAsia="Times New Roman" w:hAnsi="Calibri" w:cs="Calibri"/>
                <w:color w:val="000000"/>
                <w:lang w:eastAsia="es-MX"/>
              </w:rPr>
              <w:t xml:space="preserve">   </w:t>
            </w:r>
            <w:r w:rsidR="009D779E">
              <w:rPr>
                <w:rFonts w:ascii="Calibri" w:eastAsia="Times New Roman" w:hAnsi="Calibri" w:cs="Calibri"/>
                <w:color w:val="000000"/>
                <w:lang w:eastAsia="es-MX"/>
              </w:rPr>
              <w:t>4</w:t>
            </w:r>
            <w:r w:rsidRPr="00AE0E84">
              <w:rPr>
                <w:rFonts w:ascii="Calibri" w:eastAsia="Times New Roman" w:hAnsi="Calibri" w:cs="Calibri"/>
                <w:color w:val="000000"/>
                <w:lang w:eastAsia="es-MX"/>
              </w:rPr>
              <w:t>,</w:t>
            </w:r>
            <w:r w:rsidR="009D779E">
              <w:rPr>
                <w:rFonts w:ascii="Calibri" w:eastAsia="Times New Roman" w:hAnsi="Calibri" w:cs="Calibri"/>
                <w:color w:val="000000"/>
                <w:lang w:eastAsia="es-MX"/>
              </w:rPr>
              <w:t>431</w:t>
            </w:r>
            <w:r w:rsidRPr="00AE0E84">
              <w:rPr>
                <w:rFonts w:ascii="Calibri" w:eastAsia="Times New Roman" w:hAnsi="Calibri" w:cs="Calibri"/>
                <w:color w:val="000000"/>
                <w:lang w:eastAsia="es-MX"/>
              </w:rPr>
              <w:t>,</w:t>
            </w:r>
            <w:r w:rsidR="009D779E">
              <w:rPr>
                <w:rFonts w:ascii="Calibri" w:eastAsia="Times New Roman" w:hAnsi="Calibri" w:cs="Calibri"/>
                <w:color w:val="000000"/>
                <w:lang w:eastAsia="es-MX"/>
              </w:rPr>
              <w:t>326</w:t>
            </w:r>
            <w:r w:rsidRPr="00AE0E84">
              <w:rPr>
                <w:rFonts w:ascii="Calibri" w:eastAsia="Times New Roman" w:hAnsi="Calibri" w:cs="Calibri"/>
                <w:color w:val="000000"/>
                <w:lang w:eastAsia="es-MX"/>
              </w:rPr>
              <w:t>,</w:t>
            </w:r>
            <w:r w:rsidR="009D779E">
              <w:rPr>
                <w:rFonts w:ascii="Calibri" w:eastAsia="Times New Roman" w:hAnsi="Calibri" w:cs="Calibri"/>
                <w:color w:val="000000"/>
                <w:lang w:eastAsia="es-MX"/>
              </w:rPr>
              <w:t>368</w:t>
            </w:r>
            <w:r w:rsidRPr="00AE0E84">
              <w:rPr>
                <w:rFonts w:ascii="Calibri" w:eastAsia="Times New Roman" w:hAnsi="Calibri" w:cs="Calibri"/>
                <w:color w:val="000000"/>
                <w:lang w:eastAsia="es-MX"/>
              </w:rPr>
              <w:t xml:space="preserve">.00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AE0E84" w:rsidRDefault="00AE0E84" w:rsidP="00134F21">
      <w:pPr>
        <w:tabs>
          <w:tab w:val="left" w:pos="284"/>
        </w:tabs>
        <w:spacing w:after="0"/>
        <w:ind w:left="284"/>
        <w:jc w:val="both"/>
        <w:rPr>
          <w:rFonts w:ascii="Arial" w:hAnsi="Arial" w:cs="Arial"/>
          <w:sz w:val="18"/>
          <w:szCs w:val="18"/>
        </w:rPr>
      </w:pPr>
    </w:p>
    <w:p w:rsidR="00134F21" w:rsidRDefault="00134F21" w:rsidP="00134F2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A51521">
        <w:rPr>
          <w:rFonts w:ascii="Arial" w:hAnsi="Arial" w:cs="Arial"/>
          <w:sz w:val="18"/>
          <w:szCs w:val="18"/>
        </w:rPr>
        <w:t>juni</w:t>
      </w:r>
      <w:r w:rsidR="0091566D">
        <w:rPr>
          <w:rFonts w:ascii="Arial" w:hAnsi="Arial" w:cs="Arial"/>
          <w:sz w:val="18"/>
          <w:szCs w:val="18"/>
        </w:rPr>
        <w:t>o</w:t>
      </w:r>
      <w:r>
        <w:rPr>
          <w:rFonts w:ascii="Arial" w:hAnsi="Arial" w:cs="Arial"/>
          <w:sz w:val="18"/>
          <w:szCs w:val="18"/>
        </w:rPr>
        <w:t xml:space="preserve"> del ejercicio 20</w:t>
      </w:r>
      <w:r w:rsidR="0091566D">
        <w:rPr>
          <w:rFonts w:ascii="Arial" w:hAnsi="Arial" w:cs="Arial"/>
          <w:sz w:val="18"/>
          <w:szCs w:val="18"/>
        </w:rPr>
        <w:t>20</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A51521">
        <w:rPr>
          <w:rFonts w:ascii="Arial" w:hAnsi="Arial" w:cs="Arial"/>
          <w:sz w:val="18"/>
          <w:szCs w:val="18"/>
        </w:rPr>
        <w:t>1,348</w:t>
      </w:r>
      <w:r>
        <w:rPr>
          <w:rFonts w:ascii="Arial" w:hAnsi="Arial" w:cs="Arial"/>
          <w:sz w:val="18"/>
          <w:szCs w:val="18"/>
        </w:rPr>
        <w:t>,</w:t>
      </w:r>
      <w:r w:rsidR="00A51521">
        <w:rPr>
          <w:rFonts w:ascii="Arial" w:hAnsi="Arial" w:cs="Arial"/>
          <w:sz w:val="18"/>
          <w:szCs w:val="18"/>
        </w:rPr>
        <w:t>947</w:t>
      </w:r>
      <w:r>
        <w:rPr>
          <w:rFonts w:ascii="Arial" w:hAnsi="Arial" w:cs="Arial"/>
          <w:sz w:val="18"/>
          <w:szCs w:val="18"/>
        </w:rPr>
        <w:t>,</w:t>
      </w:r>
      <w:r w:rsidR="00A51521">
        <w:rPr>
          <w:rFonts w:ascii="Arial" w:hAnsi="Arial" w:cs="Arial"/>
          <w:sz w:val="18"/>
          <w:szCs w:val="18"/>
        </w:rPr>
        <w:t>017</w:t>
      </w:r>
      <w:r w:rsidR="009F5E29">
        <w:rPr>
          <w:rFonts w:ascii="Arial" w:hAnsi="Arial" w:cs="Arial"/>
          <w:sz w:val="18"/>
          <w:szCs w:val="18"/>
        </w:rPr>
        <w:t>,</w:t>
      </w:r>
      <w:r w:rsidR="009F5E29" w:rsidRPr="009F5E29">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032921" w:rsidRDefault="00032921"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A51521">
        <w:rPr>
          <w:rFonts w:ascii="Arial" w:hAnsi="Arial" w:cs="Arial"/>
          <w:sz w:val="18"/>
          <w:szCs w:val="18"/>
        </w:rPr>
        <w:t>segundo</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20</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w:t>
      </w:r>
      <w:r w:rsidR="00A51521">
        <w:rPr>
          <w:rFonts w:ascii="Arial" w:hAnsi="Arial" w:cs="Arial"/>
          <w:sz w:val="18"/>
          <w:szCs w:val="18"/>
        </w:rPr>
        <w:t>mes</w:t>
      </w:r>
      <w:r w:rsidR="00134F21">
        <w:rPr>
          <w:rFonts w:ascii="Arial" w:hAnsi="Arial" w:cs="Arial"/>
          <w:sz w:val="18"/>
          <w:szCs w:val="18"/>
        </w:rPr>
        <w:t xml:space="preserve"> de </w:t>
      </w:r>
      <w:r w:rsidR="00A51521">
        <w:rPr>
          <w:rFonts w:ascii="Arial" w:hAnsi="Arial" w:cs="Arial"/>
          <w:sz w:val="18"/>
          <w:szCs w:val="18"/>
        </w:rPr>
        <w:t>juni</w:t>
      </w:r>
      <w:r w:rsidR="0091566D">
        <w:rPr>
          <w:rFonts w:ascii="Arial" w:hAnsi="Arial" w:cs="Arial"/>
          <w:sz w:val="18"/>
          <w:szCs w:val="18"/>
        </w:rPr>
        <w:t>o</w:t>
      </w:r>
      <w:r w:rsidR="00134F21">
        <w:rPr>
          <w:rFonts w:ascii="Arial" w:hAnsi="Arial" w:cs="Arial"/>
          <w:sz w:val="18"/>
          <w:szCs w:val="18"/>
        </w:rPr>
        <w:t xml:space="preserve"> por este concepto un monto de $ </w:t>
      </w:r>
      <w:r w:rsidR="00A51521">
        <w:rPr>
          <w:rFonts w:ascii="Arial" w:hAnsi="Arial" w:cs="Arial"/>
          <w:sz w:val="18"/>
          <w:szCs w:val="18"/>
        </w:rPr>
        <w:t>1</w:t>
      </w:r>
      <w:proofErr w:type="gramStart"/>
      <w:r w:rsidR="00A51521">
        <w:rPr>
          <w:rFonts w:ascii="Arial" w:hAnsi="Arial" w:cs="Arial"/>
          <w:sz w:val="18"/>
          <w:szCs w:val="18"/>
        </w:rPr>
        <w:t>,081</w:t>
      </w:r>
      <w:r w:rsidR="00134F21">
        <w:rPr>
          <w:rFonts w:ascii="Arial" w:hAnsi="Arial" w:cs="Arial"/>
          <w:sz w:val="18"/>
          <w:szCs w:val="18"/>
        </w:rPr>
        <w:t>,</w:t>
      </w:r>
      <w:r w:rsidR="00A51521">
        <w:rPr>
          <w:rFonts w:ascii="Arial" w:hAnsi="Arial" w:cs="Arial"/>
          <w:sz w:val="18"/>
          <w:szCs w:val="18"/>
        </w:rPr>
        <w:t>657</w:t>
      </w:r>
      <w:r w:rsidR="00134F21">
        <w:rPr>
          <w:rFonts w:ascii="Arial" w:hAnsi="Arial" w:cs="Arial"/>
          <w:sz w:val="18"/>
          <w:szCs w:val="18"/>
        </w:rPr>
        <w:t>,</w:t>
      </w:r>
      <w:r w:rsidR="00A51521">
        <w:rPr>
          <w:rFonts w:ascii="Arial" w:hAnsi="Arial" w:cs="Arial"/>
          <w:sz w:val="18"/>
          <w:szCs w:val="18"/>
        </w:rPr>
        <w:t>713</w:t>
      </w:r>
      <w:proofErr w:type="gramEnd"/>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A51521">
        <w:rPr>
          <w:rFonts w:ascii="Arial" w:hAnsi="Arial" w:cs="Arial"/>
          <w:sz w:val="18"/>
          <w:szCs w:val="18"/>
        </w:rPr>
        <w:t>62</w:t>
      </w:r>
      <w:proofErr w:type="gramStart"/>
      <w:r>
        <w:rPr>
          <w:rFonts w:ascii="Arial" w:hAnsi="Arial" w:cs="Arial"/>
          <w:sz w:val="18"/>
          <w:szCs w:val="18"/>
        </w:rPr>
        <w:t>,</w:t>
      </w:r>
      <w:r w:rsidR="00A51521">
        <w:rPr>
          <w:rFonts w:ascii="Arial" w:hAnsi="Arial" w:cs="Arial"/>
          <w:sz w:val="18"/>
          <w:szCs w:val="18"/>
        </w:rPr>
        <w:t>950</w:t>
      </w:r>
      <w:r>
        <w:rPr>
          <w:rFonts w:ascii="Arial" w:hAnsi="Arial" w:cs="Arial"/>
          <w:sz w:val="18"/>
          <w:szCs w:val="18"/>
        </w:rPr>
        <w:t>,</w:t>
      </w:r>
      <w:r w:rsidR="00A51521">
        <w:rPr>
          <w:rFonts w:ascii="Arial" w:hAnsi="Arial" w:cs="Arial"/>
          <w:sz w:val="18"/>
          <w:szCs w:val="18"/>
        </w:rPr>
        <w:t>827</w:t>
      </w:r>
      <w:proofErr w:type="gramEnd"/>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AA16F7">
        <w:rPr>
          <w:rFonts w:ascii="Arial" w:hAnsi="Arial" w:cs="Arial"/>
          <w:sz w:val="18"/>
          <w:szCs w:val="18"/>
        </w:rPr>
        <w:t>marzo</w:t>
      </w:r>
      <w:r>
        <w:rPr>
          <w:rFonts w:ascii="Arial" w:hAnsi="Arial" w:cs="Arial"/>
          <w:sz w:val="18"/>
          <w:szCs w:val="18"/>
        </w:rPr>
        <w:t xml:space="preserve"> de 20</w:t>
      </w:r>
      <w:r w:rsidR="00AA16F7">
        <w:rPr>
          <w:rFonts w:ascii="Arial" w:hAnsi="Arial" w:cs="Arial"/>
          <w:sz w:val="18"/>
          <w:szCs w:val="18"/>
        </w:rPr>
        <w:t>20</w:t>
      </w:r>
      <w:r>
        <w:rPr>
          <w:rFonts w:ascii="Arial" w:hAnsi="Arial" w:cs="Arial"/>
          <w:sz w:val="18"/>
          <w:szCs w:val="18"/>
        </w:rPr>
        <w:t xml:space="preserve"> es de $ </w:t>
      </w:r>
      <w:r w:rsidR="00A51521">
        <w:rPr>
          <w:rFonts w:ascii="Arial" w:hAnsi="Arial" w:cs="Arial"/>
          <w:sz w:val="18"/>
          <w:szCs w:val="18"/>
        </w:rPr>
        <w:t>61</w:t>
      </w:r>
      <w:proofErr w:type="gramStart"/>
      <w:r w:rsidR="00BA3B1D">
        <w:rPr>
          <w:rFonts w:ascii="Arial" w:hAnsi="Arial" w:cs="Arial"/>
          <w:sz w:val="18"/>
          <w:szCs w:val="18"/>
        </w:rPr>
        <w:t>,</w:t>
      </w:r>
      <w:r w:rsidR="00A51521">
        <w:rPr>
          <w:rFonts w:ascii="Arial" w:hAnsi="Arial" w:cs="Arial"/>
          <w:sz w:val="18"/>
          <w:szCs w:val="18"/>
        </w:rPr>
        <w:t>959</w:t>
      </w:r>
      <w:r w:rsidR="00BA3B1D">
        <w:rPr>
          <w:rFonts w:ascii="Arial" w:hAnsi="Arial" w:cs="Arial"/>
          <w:sz w:val="18"/>
          <w:szCs w:val="18"/>
        </w:rPr>
        <w:t>,</w:t>
      </w:r>
      <w:r w:rsidR="00A51521">
        <w:rPr>
          <w:rFonts w:ascii="Arial" w:hAnsi="Arial" w:cs="Arial"/>
          <w:sz w:val="18"/>
          <w:szCs w:val="18"/>
        </w:rPr>
        <w:t>856</w:t>
      </w:r>
      <w:proofErr w:type="gramEnd"/>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5678D9">
        <w:rPr>
          <w:rFonts w:ascii="Arial" w:hAnsi="Arial" w:cs="Arial"/>
          <w:sz w:val="18"/>
          <w:szCs w:val="18"/>
        </w:rPr>
        <w:t>junio</w:t>
      </w:r>
      <w:r>
        <w:rPr>
          <w:rFonts w:ascii="Arial" w:hAnsi="Arial" w:cs="Arial"/>
          <w:sz w:val="18"/>
          <w:szCs w:val="18"/>
        </w:rPr>
        <w:t xml:space="preserve"> de 20</w:t>
      </w:r>
      <w:r w:rsidR="00AA16F7">
        <w:rPr>
          <w:rFonts w:ascii="Arial" w:hAnsi="Arial" w:cs="Arial"/>
          <w:sz w:val="18"/>
          <w:szCs w:val="18"/>
        </w:rPr>
        <w:t>20</w:t>
      </w:r>
      <w:r>
        <w:rPr>
          <w:rFonts w:ascii="Arial" w:hAnsi="Arial" w:cs="Arial"/>
          <w:sz w:val="18"/>
          <w:szCs w:val="18"/>
        </w:rPr>
        <w:t xml:space="preserve">, observan un monto de $ </w:t>
      </w:r>
      <w:r w:rsidR="005678D9">
        <w:rPr>
          <w:rFonts w:ascii="Arial" w:hAnsi="Arial" w:cs="Arial"/>
          <w:sz w:val="18"/>
          <w:szCs w:val="18"/>
        </w:rPr>
        <w:t>5</w:t>
      </w:r>
      <w:proofErr w:type="gramStart"/>
      <w:r>
        <w:rPr>
          <w:rFonts w:ascii="Arial" w:hAnsi="Arial" w:cs="Arial"/>
          <w:sz w:val="18"/>
          <w:szCs w:val="18"/>
        </w:rPr>
        <w:t>,</w:t>
      </w:r>
      <w:r w:rsidR="005678D9">
        <w:rPr>
          <w:rFonts w:ascii="Arial" w:hAnsi="Arial" w:cs="Arial"/>
          <w:sz w:val="18"/>
          <w:szCs w:val="18"/>
        </w:rPr>
        <w:t>952</w:t>
      </w:r>
      <w:r>
        <w:rPr>
          <w:rFonts w:ascii="Arial" w:hAnsi="Arial" w:cs="Arial"/>
          <w:sz w:val="18"/>
          <w:szCs w:val="18"/>
        </w:rPr>
        <w:t>,</w:t>
      </w:r>
      <w:r w:rsidR="005678D9">
        <w:rPr>
          <w:rFonts w:ascii="Arial" w:hAnsi="Arial" w:cs="Arial"/>
          <w:sz w:val="18"/>
          <w:szCs w:val="18"/>
        </w:rPr>
        <w:t>406</w:t>
      </w:r>
      <w:r>
        <w:rPr>
          <w:rFonts w:ascii="Arial" w:hAnsi="Arial" w:cs="Arial"/>
          <w:sz w:val="18"/>
          <w:szCs w:val="18"/>
        </w:rPr>
        <w:t>,</w:t>
      </w:r>
      <w:r w:rsidR="005678D9">
        <w:rPr>
          <w:rFonts w:ascii="Arial" w:hAnsi="Arial" w:cs="Arial"/>
          <w:sz w:val="18"/>
          <w:szCs w:val="18"/>
        </w:rPr>
        <w:t>628</w:t>
      </w:r>
      <w:proofErr w:type="gramEnd"/>
      <w:r>
        <w:rPr>
          <w:rFonts w:ascii="Arial" w:hAnsi="Arial" w:cs="Arial"/>
          <w:sz w:val="18"/>
          <w:szCs w:val="18"/>
        </w:rPr>
        <w:t xml:space="preserve"> de los cuales los principales sectores que reciben estas asignaciones son el sector educativo al cual le corresponde el </w:t>
      </w:r>
      <w:r w:rsidR="005678D9">
        <w:rPr>
          <w:rFonts w:ascii="Arial" w:hAnsi="Arial" w:cs="Arial"/>
          <w:sz w:val="18"/>
          <w:szCs w:val="18"/>
        </w:rPr>
        <w:t>56</w:t>
      </w:r>
      <w:r>
        <w:rPr>
          <w:rFonts w:ascii="Arial" w:hAnsi="Arial" w:cs="Arial"/>
          <w:sz w:val="18"/>
          <w:szCs w:val="18"/>
        </w:rPr>
        <w:t xml:space="preserve">% y el sector salud con un </w:t>
      </w:r>
      <w:r w:rsidR="005678D9">
        <w:rPr>
          <w:rFonts w:ascii="Arial" w:hAnsi="Arial" w:cs="Arial"/>
          <w:sz w:val="18"/>
          <w:szCs w:val="18"/>
        </w:rPr>
        <w:t>3</w:t>
      </w:r>
      <w:r w:rsidR="005F4F77">
        <w:rPr>
          <w:rFonts w:ascii="Arial" w:hAnsi="Arial" w:cs="Arial"/>
          <w:sz w:val="18"/>
          <w:szCs w:val="18"/>
        </w:rPr>
        <w:t>7</w:t>
      </w:r>
      <w:r>
        <w:rPr>
          <w:rFonts w:ascii="Arial" w:hAnsi="Arial" w:cs="Arial"/>
          <w:sz w:val="18"/>
          <w:szCs w:val="18"/>
        </w:rPr>
        <w:t xml:space="preserve">% y el restante </w:t>
      </w:r>
      <w:r w:rsidR="005678D9">
        <w:rPr>
          <w:rFonts w:ascii="Arial" w:hAnsi="Arial" w:cs="Arial"/>
          <w:sz w:val="18"/>
          <w:szCs w:val="18"/>
        </w:rPr>
        <w:t>7</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5678D9">
        <w:rPr>
          <w:rFonts w:ascii="Arial" w:hAnsi="Arial" w:cs="Arial"/>
          <w:sz w:val="18"/>
          <w:szCs w:val="18"/>
        </w:rPr>
        <w:t>junio</w:t>
      </w:r>
      <w:r>
        <w:rPr>
          <w:rFonts w:ascii="Arial" w:hAnsi="Arial" w:cs="Arial"/>
          <w:sz w:val="18"/>
          <w:szCs w:val="18"/>
        </w:rPr>
        <w:t xml:space="preserve"> de 20</w:t>
      </w:r>
      <w:r w:rsidR="005F4F77">
        <w:rPr>
          <w:rFonts w:ascii="Arial" w:hAnsi="Arial" w:cs="Arial"/>
          <w:sz w:val="18"/>
          <w:szCs w:val="18"/>
        </w:rPr>
        <w:t>20</w:t>
      </w:r>
      <w:r>
        <w:rPr>
          <w:rFonts w:ascii="Arial" w:hAnsi="Arial" w:cs="Arial"/>
          <w:sz w:val="18"/>
          <w:szCs w:val="18"/>
        </w:rPr>
        <w:t xml:space="preserve"> es de $ </w:t>
      </w:r>
      <w:r w:rsidR="00612216">
        <w:rPr>
          <w:rFonts w:ascii="Arial" w:hAnsi="Arial" w:cs="Arial"/>
          <w:sz w:val="18"/>
          <w:szCs w:val="18"/>
        </w:rPr>
        <w:t>1</w:t>
      </w:r>
      <w:r>
        <w:rPr>
          <w:rFonts w:ascii="Arial" w:hAnsi="Arial" w:cs="Arial"/>
          <w:sz w:val="18"/>
          <w:szCs w:val="18"/>
        </w:rPr>
        <w:t>,</w:t>
      </w:r>
      <w:r w:rsidR="005678D9">
        <w:rPr>
          <w:rFonts w:ascii="Arial" w:hAnsi="Arial" w:cs="Arial"/>
          <w:sz w:val="18"/>
          <w:szCs w:val="18"/>
        </w:rPr>
        <w:t>556</w:t>
      </w:r>
      <w:r>
        <w:rPr>
          <w:rFonts w:ascii="Arial" w:hAnsi="Arial" w:cs="Arial"/>
          <w:sz w:val="18"/>
          <w:szCs w:val="18"/>
        </w:rPr>
        <w:t>,</w:t>
      </w:r>
      <w:r w:rsidR="005678D9">
        <w:rPr>
          <w:rFonts w:ascii="Arial" w:hAnsi="Arial" w:cs="Arial"/>
          <w:sz w:val="18"/>
          <w:szCs w:val="18"/>
        </w:rPr>
        <w:t>986</w:t>
      </w:r>
      <w:r>
        <w:rPr>
          <w:rFonts w:ascii="Arial" w:hAnsi="Arial" w:cs="Arial"/>
          <w:sz w:val="18"/>
          <w:szCs w:val="18"/>
        </w:rPr>
        <w:t>,</w:t>
      </w:r>
      <w:r w:rsidR="005678D9">
        <w:rPr>
          <w:rFonts w:ascii="Arial" w:hAnsi="Arial" w:cs="Arial"/>
          <w:sz w:val="18"/>
          <w:szCs w:val="18"/>
        </w:rPr>
        <w:t>414</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5F4F77">
        <w:rPr>
          <w:rFonts w:ascii="Arial" w:hAnsi="Arial" w:cs="Arial"/>
          <w:sz w:val="18"/>
          <w:szCs w:val="18"/>
        </w:rPr>
        <w:t>primer</w:t>
      </w:r>
      <w:r>
        <w:rPr>
          <w:rFonts w:ascii="Arial" w:hAnsi="Arial" w:cs="Arial"/>
          <w:sz w:val="18"/>
          <w:szCs w:val="18"/>
        </w:rPr>
        <w:t xml:space="preserve"> ajuste trimestral. Los cuales al </w:t>
      </w:r>
      <w:r w:rsidRPr="00DE62C8">
        <w:rPr>
          <w:rFonts w:ascii="Arial" w:hAnsi="Arial" w:cs="Arial"/>
          <w:sz w:val="18"/>
          <w:szCs w:val="18"/>
        </w:rPr>
        <w:t>3</w:t>
      </w:r>
      <w:r w:rsidR="005678D9">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5678D9">
        <w:rPr>
          <w:rFonts w:ascii="Arial" w:hAnsi="Arial" w:cs="Arial"/>
          <w:sz w:val="18"/>
          <w:szCs w:val="18"/>
        </w:rPr>
        <w:t>junio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FE3A70">
        <w:rPr>
          <w:rFonts w:ascii="Arial" w:hAnsi="Arial" w:cs="Arial"/>
          <w:sz w:val="18"/>
          <w:szCs w:val="18"/>
        </w:rPr>
        <w:t>junio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20</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D11F33">
        <w:rPr>
          <w:rFonts w:ascii="Arial" w:hAnsi="Arial" w:cs="Arial"/>
          <w:sz w:val="18"/>
          <w:szCs w:val="18"/>
        </w:rPr>
        <w:t>1</w:t>
      </w:r>
      <w:proofErr w:type="gramStart"/>
      <w:r>
        <w:rPr>
          <w:rFonts w:ascii="Arial" w:eastAsia="Times New Roman" w:hAnsi="Arial" w:cs="Arial"/>
          <w:bCs/>
          <w:sz w:val="18"/>
          <w:szCs w:val="18"/>
          <w:lang w:eastAsia="es-MX"/>
        </w:rPr>
        <w:t>,</w:t>
      </w:r>
      <w:r w:rsidR="00FE3A70">
        <w:rPr>
          <w:rFonts w:ascii="Arial" w:eastAsia="Times New Roman" w:hAnsi="Arial" w:cs="Arial"/>
          <w:bCs/>
          <w:sz w:val="18"/>
          <w:szCs w:val="18"/>
          <w:lang w:eastAsia="es-MX"/>
        </w:rPr>
        <w:t>55</w:t>
      </w:r>
      <w:r w:rsidR="005B5639">
        <w:rPr>
          <w:rFonts w:ascii="Arial" w:eastAsia="Times New Roman" w:hAnsi="Arial" w:cs="Arial"/>
          <w:bCs/>
          <w:sz w:val="18"/>
          <w:szCs w:val="18"/>
          <w:lang w:eastAsia="es-MX"/>
        </w:rPr>
        <w:t>6</w:t>
      </w:r>
      <w:r>
        <w:rPr>
          <w:rFonts w:ascii="Arial" w:eastAsia="Times New Roman" w:hAnsi="Arial" w:cs="Arial"/>
          <w:bCs/>
          <w:sz w:val="18"/>
          <w:szCs w:val="18"/>
          <w:lang w:eastAsia="es-MX"/>
        </w:rPr>
        <w:t>,</w:t>
      </w:r>
      <w:r w:rsidR="005B5639">
        <w:rPr>
          <w:rFonts w:ascii="Arial" w:eastAsia="Times New Roman" w:hAnsi="Arial" w:cs="Arial"/>
          <w:bCs/>
          <w:sz w:val="18"/>
          <w:szCs w:val="18"/>
          <w:lang w:eastAsia="es-MX"/>
        </w:rPr>
        <w:t>986</w:t>
      </w:r>
      <w:r>
        <w:rPr>
          <w:rFonts w:ascii="Arial" w:eastAsia="Times New Roman" w:hAnsi="Arial" w:cs="Arial"/>
          <w:bCs/>
          <w:sz w:val="18"/>
          <w:szCs w:val="18"/>
          <w:lang w:eastAsia="es-MX"/>
        </w:rPr>
        <w:t>,</w:t>
      </w:r>
      <w:r w:rsidR="005B5639">
        <w:rPr>
          <w:rFonts w:ascii="Arial" w:eastAsia="Times New Roman" w:hAnsi="Arial" w:cs="Arial"/>
          <w:bCs/>
          <w:sz w:val="18"/>
          <w:szCs w:val="18"/>
          <w:lang w:eastAsia="es-MX"/>
        </w:rPr>
        <w:t>414</w:t>
      </w:r>
      <w:proofErr w:type="gramEnd"/>
      <w:r w:rsidR="007156AF">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206E09">
        <w:rPr>
          <w:lang w:val="es-MX"/>
        </w:rPr>
        <w:t>incremento</w:t>
      </w:r>
      <w:r w:rsidR="004B263B">
        <w:rPr>
          <w:lang w:val="es-MX"/>
        </w:rPr>
        <w:t xml:space="preserve"> </w:t>
      </w:r>
      <w:r w:rsidR="00817DFF">
        <w:rPr>
          <w:lang w:val="es-MX"/>
        </w:rPr>
        <w:t>de</w:t>
      </w:r>
      <w:r w:rsidR="00EC56A4">
        <w:rPr>
          <w:lang w:val="es-MX"/>
        </w:rPr>
        <w:t xml:space="preserve"> </w:t>
      </w:r>
      <w:r w:rsidR="00817DFF">
        <w:rPr>
          <w:lang w:val="es-MX"/>
        </w:rPr>
        <w:t>$</w:t>
      </w:r>
      <w:r w:rsidR="00FE3A70">
        <w:rPr>
          <w:lang w:val="es-MX"/>
        </w:rPr>
        <w:t>745</w:t>
      </w:r>
      <w:r w:rsidR="00AC2CB6">
        <w:rPr>
          <w:lang w:val="es-MX"/>
        </w:rPr>
        <w:t>,</w:t>
      </w:r>
      <w:r w:rsidR="00FE3A70">
        <w:rPr>
          <w:lang w:val="es-MX"/>
        </w:rPr>
        <w:t>891</w:t>
      </w:r>
      <w:r w:rsidR="00AC2CB6">
        <w:rPr>
          <w:lang w:val="es-MX"/>
        </w:rPr>
        <w:t>,</w:t>
      </w:r>
      <w:r w:rsidR="00FE3A70">
        <w:rPr>
          <w:lang w:val="es-MX"/>
        </w:rPr>
        <w:t>881</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5E68A5">
        <w:rPr>
          <w:lang w:val="es-MX"/>
        </w:rPr>
        <w:t>1</w:t>
      </w:r>
      <w:proofErr w:type="gramStart"/>
      <w:r>
        <w:rPr>
          <w:lang w:val="es-MX"/>
        </w:rPr>
        <w:t>,</w:t>
      </w:r>
      <w:r w:rsidR="00FE3A70">
        <w:rPr>
          <w:lang w:val="es-MX"/>
        </w:rPr>
        <w:t>556</w:t>
      </w:r>
      <w:r>
        <w:rPr>
          <w:lang w:val="es-MX"/>
        </w:rPr>
        <w:t>,</w:t>
      </w:r>
      <w:r w:rsidR="00FE3A70">
        <w:rPr>
          <w:lang w:val="es-MX"/>
        </w:rPr>
        <w:t>986</w:t>
      </w:r>
      <w:r>
        <w:rPr>
          <w:lang w:val="es-MX"/>
        </w:rPr>
        <w:t>,</w:t>
      </w:r>
      <w:r w:rsidR="00FE3A70">
        <w:rPr>
          <w:lang w:val="es-MX"/>
        </w:rPr>
        <w:t>414</w:t>
      </w:r>
      <w:proofErr w:type="gramEnd"/>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A4545A">
        <w:rPr>
          <w:lang w:val="es-MX"/>
        </w:rPr>
        <w:t>junio</w:t>
      </w:r>
      <w:r>
        <w:rPr>
          <w:lang w:val="es-MX"/>
        </w:rPr>
        <w:t xml:space="preserve"> un importe de </w:t>
      </w:r>
      <w:r w:rsidRPr="004466A7">
        <w:rPr>
          <w:lang w:val="es-MX"/>
        </w:rPr>
        <w:t>$</w:t>
      </w:r>
      <w:r>
        <w:rPr>
          <w:lang w:val="es-MX"/>
        </w:rPr>
        <w:t xml:space="preserve"> </w:t>
      </w:r>
      <w:r w:rsidR="00A4545A">
        <w:rPr>
          <w:lang w:val="es-MX"/>
        </w:rPr>
        <w:t>494</w:t>
      </w:r>
      <w:r>
        <w:rPr>
          <w:lang w:val="es-MX"/>
        </w:rPr>
        <w:t>,</w:t>
      </w:r>
      <w:r w:rsidR="00A4545A">
        <w:rPr>
          <w:lang w:val="es-MX"/>
        </w:rPr>
        <w:t>811</w:t>
      </w:r>
      <w:r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FE3A70">
        <w:rPr>
          <w:lang w:val="es-MX"/>
        </w:rPr>
        <w:t>0</w:t>
      </w:r>
      <w:r w:rsidRPr="00DA18AC">
        <w:rPr>
          <w:lang w:val="es-MX"/>
        </w:rPr>
        <w:t xml:space="preserve"> de </w:t>
      </w:r>
      <w:r w:rsidR="00FE3A70">
        <w:rPr>
          <w:lang w:val="es-MX"/>
        </w:rPr>
        <w:t>juni</w:t>
      </w:r>
      <w:r w:rsidR="00466C1E">
        <w:rPr>
          <w:lang w:val="es-MX"/>
        </w:rPr>
        <w:t>o</w:t>
      </w:r>
      <w:r w:rsidRPr="00DA18AC">
        <w:rPr>
          <w:lang w:val="es-MX"/>
        </w:rPr>
        <w:t xml:space="preserve"> de 20</w:t>
      </w:r>
      <w:r w:rsidR="00466C1E">
        <w:rPr>
          <w:lang w:val="es-MX"/>
        </w:rPr>
        <w:t>20</w:t>
      </w:r>
      <w:r w:rsidRPr="00DA18AC">
        <w:rPr>
          <w:lang w:val="es-MX"/>
        </w:rPr>
        <w:t xml:space="preserve"> de $ </w:t>
      </w:r>
      <w:r w:rsidR="00A4545A">
        <w:rPr>
          <w:lang w:val="es-MX"/>
        </w:rPr>
        <w:t>-811,589</w:t>
      </w:r>
      <w:r w:rsidRPr="00DA18AC">
        <w:rPr>
          <w:lang w:val="es-MX"/>
        </w:rPr>
        <w:t>,</w:t>
      </w:r>
      <w:r w:rsidR="00A4545A">
        <w:rPr>
          <w:lang w:val="es-MX"/>
        </w:rPr>
        <w:t>344</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5" w:name="_MON_1499681935"/>
    <w:bookmarkEnd w:id="5"/>
    <w:p w:rsidR="009C4575" w:rsidRDefault="0087478F" w:rsidP="00A54D75">
      <w:pPr>
        <w:tabs>
          <w:tab w:val="left" w:pos="284"/>
        </w:tabs>
        <w:spacing w:after="0"/>
        <w:ind w:left="284"/>
        <w:jc w:val="both"/>
        <w:rPr>
          <w:rFonts w:ascii="Arial" w:hAnsi="Arial" w:cs="Arial"/>
          <w:sz w:val="18"/>
          <w:szCs w:val="18"/>
        </w:rPr>
      </w:pPr>
      <w:r>
        <w:object w:dxaOrig="25362" w:dyaOrig="13520">
          <v:shape id="_x0000_i1029" type="#_x0000_t75" style="width:675pt;height:465pt" o:ole="">
            <v:imagedata r:id="rId22" o:title=""/>
          </v:shape>
          <o:OLEObject Type="Embed" ProgID="Excel.Sheet.12" ShapeID="_x0000_i1029" DrawAspect="Content" ObjectID="_1656837518" r:id="rId23"/>
        </w:object>
      </w: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3C4DC7" w:rsidP="006942ED">
      <w:pPr>
        <w:rPr>
          <w:lang w:eastAsia="es-ES"/>
        </w:rPr>
      </w:pPr>
      <w:r>
        <w:rPr>
          <w:noProof/>
          <w:szCs w:val="18"/>
          <w:lang w:eastAsia="es-MX"/>
        </w:rPr>
        <w:object w:dxaOrig="1440" w:dyaOrig="1440">
          <v:shape id="_x0000_s1046" type="#_x0000_t75" style="position:absolute;margin-left:34.5pt;margin-top:22.45pt;width:632.9pt;height:293.75pt;z-index:251663360">
            <v:imagedata r:id="rId24" o:title=""/>
            <w10:wrap type="topAndBottom"/>
          </v:shape>
          <o:OLEObject Type="Embed" ProgID="Excel.Sheet.12" ShapeID="_x0000_s1046" DrawAspect="Content" ObjectID="_1656837522" r:id="rId25"/>
        </w:object>
      </w: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3C4DC7"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44.25pt;margin-top:12pt;width:596.8pt;height:419.05pt;z-index:251664384">
            <v:imagedata r:id="rId26" o:title=""/>
            <w10:wrap type="topAndBottom"/>
          </v:shape>
          <o:OLEObject Type="Embed" ProgID="Excel.Sheet.12" ShapeID="_x0000_s1047" DrawAspect="Content" ObjectID="_1656837523" r:id="rId27"/>
        </w:object>
      </w: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5B5639">
        <w:rPr>
          <w:rFonts w:ascii="Arial" w:hAnsi="Arial" w:cs="Arial"/>
          <w:sz w:val="18"/>
          <w:szCs w:val="18"/>
        </w:rPr>
        <w:t>junio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20</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lastRenderedPageBreak/>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1872A3" w:rsidRPr="0073056A" w:rsidRDefault="001872A3" w:rsidP="0032384C">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 xml:space="preserve">La política de ingresos del Gobierno del Estado se </w:t>
      </w:r>
      <w:r w:rsidR="0030292A">
        <w:rPr>
          <w:rFonts w:ascii="Arial" w:hAnsi="Arial" w:cs="Arial"/>
          <w:sz w:val="18"/>
          <w:szCs w:val="18"/>
        </w:rPr>
        <w:t xml:space="preserve">ha </w:t>
      </w:r>
      <w:r w:rsidRPr="0063488B">
        <w:rPr>
          <w:rFonts w:ascii="Arial" w:hAnsi="Arial" w:cs="Arial"/>
          <w:sz w:val="18"/>
          <w:szCs w:val="18"/>
        </w:rPr>
        <w:t>concentr</w:t>
      </w:r>
      <w:r w:rsidR="0030292A">
        <w:rPr>
          <w:rFonts w:ascii="Arial" w:hAnsi="Arial" w:cs="Arial"/>
          <w:sz w:val="18"/>
          <w:szCs w:val="18"/>
        </w:rPr>
        <w:t>ado</w:t>
      </w:r>
      <w:r w:rsidRPr="0063488B">
        <w:rPr>
          <w:rFonts w:ascii="Arial" w:hAnsi="Arial" w:cs="Arial"/>
          <w:sz w:val="18"/>
          <w:szCs w:val="18"/>
        </w:rPr>
        <w:t xml:space="preserve"> en fortalecer el sistema tributario estatal, </w:t>
      </w:r>
      <w:proofErr w:type="spellStart"/>
      <w:r w:rsidRPr="0063488B">
        <w:rPr>
          <w:rFonts w:ascii="Arial" w:hAnsi="Arial" w:cs="Arial"/>
          <w:sz w:val="18"/>
          <w:szCs w:val="18"/>
        </w:rPr>
        <w:t>eficientando</w:t>
      </w:r>
      <w:proofErr w:type="spellEnd"/>
      <w:r w:rsidRPr="0063488B">
        <w:rPr>
          <w:rFonts w:ascii="Arial" w:hAnsi="Arial" w:cs="Arial"/>
          <w:sz w:val="18"/>
          <w:szCs w:val="18"/>
        </w:rPr>
        <w:t xml:space="preserve"> los procesos recaudatorios, transparentando el ejercicio del gasto, distribuyendo los recursos públicos al financiamiento de la inversión y en la mejora y dotación de servicios públicos en beneficio de la ciudadanía.</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 xml:space="preserve">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w:t>
      </w:r>
      <w:proofErr w:type="spellStart"/>
      <w:r w:rsidRPr="00037045">
        <w:rPr>
          <w:rFonts w:ascii="Arial" w:hAnsi="Arial" w:cs="Arial"/>
          <w:sz w:val="18"/>
          <w:szCs w:val="18"/>
        </w:rPr>
        <w:t>eficienten</w:t>
      </w:r>
      <w:proofErr w:type="spellEnd"/>
      <w:r w:rsidRPr="00037045">
        <w:rPr>
          <w:rFonts w:ascii="Arial" w:hAnsi="Arial" w:cs="Arial"/>
          <w:sz w:val="18"/>
          <w:szCs w:val="18"/>
        </w:rPr>
        <w:t xml:space="preserve">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lastRenderedPageBreak/>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El desarrollo económico y el mejoramiento de la calidad de vida de los habitantes del estado requieren tomar acciones estratégicas en diversos frentes, tomando en cuenta la visión de largo plazo, las ventajas competitivas de la entidad, las políticas que han funcionado bien, las deficiencias y limitantes en el patrón de desarrollo actual, así como las oportunidades y amenazas que generan los cambios en el entorno económico regional, nacional e internacional.</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 meta del desarrollo económico de este gobierno, es lograr mejores condiciones de vida para la población del Estado. Para ello, se busca propiciar condiciones que permitan crear más y mejores empleos en el Estado de Tlaxcala y con ello mejorar las condiciones económicas de las familias tlaxcaltecas. Por ello, las acciones de gobierno en este ámbito, forman parte de una estrategia integral que considera como punto de partida, la realidad económica del estado, sus fortalezas y los retos a enfrentar en los próximos años para garantizar un mejoramiento en la vida de todos los tlaxcaltecas.</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 xml:space="preserve">En la actualización del informe de las Perspectivas de la Economía Mundial (informe WEO), presentado por el Fondo Monetario Internacional en el mes de junio, el crecimiento mundial está proyectado en -4.9% en 2020; o sea, 1.9 puntos porcentuales menos que el pronóstico de la edición de abril de 2020. La pandemia de COVID-19 ha tenido un impacto más negativo que lo previsto en la actividad en el primer semestre de 2020 y la recuperación será, según las proyecciones, más gradual de lo que se había pronosticado.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En 2021, el crecimiento mundial está proyectado en 5.4%. Globalmente, eso significa que el PIB de 2021 sería alrededor de 6.5 puntos porcentuales más bajo que en las proyecciones publicadas en enero de 2020, antes de la pandemia de COVID-19. El impacto adverso en los hogares de bajo ingreso es particularmente agudo, y pondría en peligro el avance significativo de la lucha contra de la pobreza extrema logrado a nivel mundial desde la década de 1990.</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 xml:space="preserve">Como fue el caso de las proyecciones del informe WEO de abril de 2020, existe un grado de incertidumbre inusitadamente elevado en torno a estas proyecciones. Las proyecciones de base se fundamentan en presunciones críticas sobre las secuelas de la pandemia. En las economías con tasas de infección decrecientes, la ralentización de la trayectoria de recuperación contemplada en los pronósticos actualizados refleja un distanciamiento social persistente a medida que nos adentremos en el segundo semestre de 2020; mayores cicatrices (daño al potencial de oferta) debido al hecho de que la actividad sufriría más de lo previsto durante el confinamiento instituido en el primer y segundo semestres de 2020, y un golpe a la productividad a medida que las empresas que sobrevivan incrementen las necesarias prácticas de seguridad e higiene en los lugares de trabajo.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En las economías con dificultades para controlar las tasas de infección, un confinamiento más prolongado infligiría más daños a la actividad. Además, el pronóstico presume que las condiciones financieras —que se han distendido desde la publicación del informe WEO de abril de 2020— se mantendrán generalmente a los niveles actuales. Claramente, es posible que el desenlace sea diferente del contemplado en la proyección de base, y no solo debido a la manera en que está evolucionando la pandemia. La magnitud del reciente repunte del optimismo de los mercados financieros parece estar desconectada de la evolución de las perspectivas económicas fundamentales —como lo señala la Actualización de junio de 2020 del Informe sobre la estabilidad financiera mundial (informe GFSR</w:t>
      </w:r>
      <w:proofErr w:type="gramStart"/>
      <w:r w:rsidRPr="002F346F">
        <w:rPr>
          <w:rFonts w:ascii="Arial" w:hAnsi="Arial" w:cs="Arial"/>
          <w:sz w:val="18"/>
          <w:szCs w:val="18"/>
        </w:rPr>
        <w:t>)—</w:t>
      </w:r>
      <w:proofErr w:type="gramEnd"/>
      <w:r w:rsidRPr="002F346F">
        <w:rPr>
          <w:rFonts w:ascii="Arial" w:hAnsi="Arial" w:cs="Arial"/>
          <w:sz w:val="18"/>
          <w:szCs w:val="18"/>
        </w:rPr>
        <w:t xml:space="preserve">, y eso plantea la posibilidad de que las condiciones financieras se endurezcan más de lo que supone la proyección de base.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 xml:space="preserve">Todos los países, incluidos los que parecen haber dejado atrás los picos de infección, deberían asegurarse de que los sistemas sanitarios cuenten con recursos adecuados. La comunidad internacional debe brindar a las iniciativas nacionales un respaldo muchísimo mayor, entre otras formas ofreciendo asistencia financiera a países con una capacidad sanitaria limitada y canalizando financiamiento hacia la producción de una vacuna a medida que avancen los ensayos clínicos, de modo que todos los países tengan sin demora acceso a dosis adecuadas y a costo asequible.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lastRenderedPageBreak/>
        <w:t xml:space="preserve">En los casos que requieren confinamientos, la política económica debería continuar amortiguando las pérdidas de ingreso de los hogares a través de medidas sustanciales y bien focalizadas, además de brindar apoyo a las empresas que sufren las consecuencias de restricciones obligatorias a la actividad. En los casos en que las economías están reabriendo, el respaldo focalizado debería desmontarse paulatinamente a medida que la recuperación se ponga en marcha, y las políticas deberían infundir estímulo para promover la demanda y facilitar e incentivar la reasignación de recursos, alejándolos de los sectores que probablemente terminen siendo persistentemente más pequeños después de la pandemia.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Sigue siendo esencial una cooperación multilateral sólida en múltiples ámbitos. Se necesita con urgencia liquidez de respaldo para los países que enfrentan crisis sanitarias y déficits de financiamiento externo; por ejemplo, mediante alivio de la deuda y financiamiento a través de la red mundial de seguridad financiera. Una vez superada la pandemia, las autoridades deberán cooperar para resolver las tensiones comerciales y tecnológicas que hacen peligrar la recuperación final de la crisis de COVID-19. Además, aprovechando la disminución sin precedentes de las emisiones de gases de efecto invernadero durante la pandemia, las autoridades deberían poner en práctica sus compromisos de mitigación del cambio climático y, a la vez, colaborar para ampliar la aplicación de impuestos diseñados según criterios de equidad que graven las emisiones de carbono o sistemas equivalentes. La comunidad internacional debe actuar sin demora para evitar una repetición de esta catástrofe, organizando reservas internacionales de suministros y equipos de protección esenciales, financiando la investigación y apuntalando los sistemas sanitarios públicos, y estableciendo modalidades eficaces para llevar alivio a los más necesitados.</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 xml:space="preserve">Entre las economías de mercados emergentes y en desarrollo, el impacto que los trastornos internos asestarán a la actividad sería más parecido al escenario a la baja contemplado en abril, contrarrestando holgadamente la mejora del ánimo de los mercados financieros. La revisión a la baja refleja también la agudización de los efectos de derrame producidos por el debilitamiento de la demanda externa. La revisión a la baja de las perspectivas de crecimiento de las economías de mercados emergentes y en desarrollo en 2020-21 (2.8 puntos porcentuales) supera la revisión de las economías avanzadas (1.8 puntos porcentuales). Con la exclusión de China, la revisión a la baja del grupo en 2020-21 es de 3.6 puntos porcentuales.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 xml:space="preserve">A nivel general, el crecimiento del grupo de economías de mercados emergentes y en desarrollo está proyectado en -3.0% in 2020; es decir, 2 puntos porcentuales por debajo de la proyección presentada en el informe WEO de abril de 2020. Entre las economías en desarrollo de bajo ingreso, el crecimiento está proyectado en -1.0% en 2020, alrededor de 1.4 puntos porcentuales por debajo del pronóstico presentado en el informe WEO de abril de 2020, aunque con diferencias entre un país y otro. Con exclusión de algunas economías </w:t>
      </w:r>
      <w:proofErr w:type="spellStart"/>
      <w:r w:rsidRPr="002F346F">
        <w:rPr>
          <w:rFonts w:ascii="Arial" w:hAnsi="Arial" w:cs="Arial"/>
          <w:sz w:val="18"/>
          <w:szCs w:val="18"/>
        </w:rPr>
        <w:t>preemergentes</w:t>
      </w:r>
      <w:proofErr w:type="spellEnd"/>
      <w:r w:rsidRPr="002F346F">
        <w:rPr>
          <w:rFonts w:ascii="Arial" w:hAnsi="Arial" w:cs="Arial"/>
          <w:sz w:val="18"/>
          <w:szCs w:val="18"/>
        </w:rPr>
        <w:t xml:space="preserve"> grandes, se prevé que el grupo restante de países en desarrollo de bajo ingreso sufrirá una contracción de -2.2% en 2020.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 xml:space="preserve">Por vez primera, se proyecta un crecimiento negativo para todas las regiones en 2020. Pero aun así se observan importantes diferencias entre las economías a escala individual, en función de la evolución de la pandemia y la eficacia de las estrategias de contención; las diversas estructuras económicas (por ejemplo, dependencia de los sectores gravemente afectados, como turismo y petróleo); el uso de flujos financieros externos, incluidas las remesas; y las tendencias del crecimiento previas a la crisis. In China, donde está en marcha la recuperación tras la fuerte contracción registrada en el primer trimestre, se proyecta un crecimiento de 1.0% en 2020, apoyado en parte por políticas de estímulo. Se proyecta que la economía de India se contraiga 4.5% tras un período de confinamiento más largo y una recuperación más lenta de lo previsto en abril.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En América Latina, donde la mayoría de los países aún están luchando para contener las infecciones, se proyecta que las dos economías más grandes, Brasil y México, sufran contracciones de 9.1% y 10.5%, respectivamente, en 2020. Las perturbaciones provocadas por la pandemia, así como la considerable merma del ingreso disponible de los países exportadores de petróleo tras el drástico descenso de los precios de los combustibles, implican fuertes recesiones en Rusia (-6.6%), Arabia Saudita (-6.8%) y Nigeria (-5.4%), mientras que el desempeño de Sudáfrica (-8.0%) se verá gravemente afectado por la crisis sanitaria.</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lastRenderedPageBreak/>
        <w:t>En el ámbito nacional, el crecimiento de la actividad económica registró una ligera caída en el cuarto trimestre de 2019 y una importante contracción en el primer trimestre de 2020. Por el lado de la demanda agregada, en el cuarto trimestre de 2019 el nivel del consumo privado fue similar al del trimestre previo, mientras que las exportaciones netas y la formación bruta de capital fijo se contrajeron. Con respecto a 2020, el consumo privado y la inversión fija bruta mantuvieron una trayectoria decreciente en marzo, mientras que las exportaciones netas cayeron significativamente en abril.</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En cuanto a la brecha del producto, esta fue más negativa en el cuarto trimestre de 2019 que en el trimestre anterior. En el primer trimestre de 2020, esta fue más negativa que la de finales de 2019. Con relación a la variación de los precios, la inflación general anual promedio del cuarto trimestre de 2019 fue de 2.94%, continuando con su tendencia a la baja respecto a los niveles de 2017. No obstante, en el primer trimestre de 2020 este indicador se ubicó en 3.39% revirtiéndose su anterior tendencia. Este repunte se asoció principalmente a un incremento en la inflación no subyacente a principios del año y al efecto del aumento del IEPS a cigarrillos y bebidas azucaradas en la subyacente. Si bien en abril, la inflación general descendió a 2.15%, en la primera quincena de mayo tuvo un repunte ubicándose en 2.83%.</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Así, las proyecciones del Banco de México para la inflación general al cierre de 2020, publicadas en el Informe Trimestral enero-marzo 2020, se ubicaron en 3.5%. La mediana para las expectativas de la inflación general en la Encuesta sobre las Expectativas de los Especialistas en Economía del Sector Privado de mayo de 2020 fue 3.07% para el cierre de este año y 3.45% para el cierre de 2021, mostrando un aumento y una disminución, respectivamente, respecto a la encuesta de abril. Por su parte, la mediana de las expectativas de mediano y largo plazo se mantuvieron en 3.50%</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En términos de política monetaria, en el periodo que va de febrero a mayo de 2020, la Junta de Gobierno disminuyó en 175 puntos base la tasa de referencia. En su reunión de febrero, la Junta de Gobierno decidió recortar la tasa de referencia en 25 puntos base, tomando en cuenta: los niveles alcanzados por la inflación general, las perspectivas para esta en el horizonte en que opera la política monetaria, la amplitud mayor a la esperada de las condiciones de holgura de la economía y el comportamiento de las curvas de rendimiento externas e internas. Posteriormente, considerando los riesgos para la inflación, la actividad económica y los mercados financieros derivados de la pandemia de COVID-19, la Junta de Gobierno adelantó del 26 al 20 de marzo su decisión de política monetaria, tomó una decisión de política monetaria extraordinaria en abril y otra ordinaria en mayo. En las tres ocasiones, disminuyó en 50 puntos base el objetivo para la Tasa de Interés Interbancaria ubicándola actualmente en 5.5%. En las decisiones de política monetaria de marzo y abril, además, el Banco de México anunció una serie de medidas para promover el funcionamiento ordenado de los mercados financieros nacionales y proveer liquidez. En este contexto, perseverar en fortalecer los fundamentos macroeconómicos y adoptar las acciones necesarias, tanto en el ámbito monetario como fiscal, contribuirá a un mejor ajuste de los mercados financieros nacionales y de la economía en su conjunto.</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 xml:space="preserve">El Gobierno de México ha desarrollado e iniciado oportunamente la ejecución de una serie de medidas, las cuales persiguen tres objetivos: </w:t>
      </w:r>
    </w:p>
    <w:p w:rsidR="002F346F" w:rsidRPr="002F346F" w:rsidRDefault="002F346F" w:rsidP="002F346F">
      <w:pPr>
        <w:pStyle w:val="Prrafodelista"/>
        <w:numPr>
          <w:ilvl w:val="0"/>
          <w:numId w:val="24"/>
        </w:numPr>
        <w:tabs>
          <w:tab w:val="left" w:pos="284"/>
        </w:tabs>
        <w:ind w:left="567"/>
        <w:jc w:val="both"/>
        <w:rPr>
          <w:rFonts w:ascii="Arial" w:hAnsi="Arial" w:cs="Arial"/>
          <w:sz w:val="18"/>
          <w:szCs w:val="18"/>
        </w:rPr>
      </w:pPr>
      <w:r w:rsidRPr="002F346F">
        <w:rPr>
          <w:rFonts w:ascii="Arial" w:hAnsi="Arial" w:cs="Arial"/>
          <w:sz w:val="18"/>
          <w:szCs w:val="18"/>
        </w:rPr>
        <w:t xml:space="preserve">Evitar la propagación del COVID-19 y contener sus efectos sobre la salud de las mexicanas y los mexicanos; </w:t>
      </w:r>
    </w:p>
    <w:p w:rsidR="002F346F" w:rsidRPr="002F346F" w:rsidRDefault="002F346F" w:rsidP="002F346F">
      <w:pPr>
        <w:pStyle w:val="Prrafodelista"/>
        <w:numPr>
          <w:ilvl w:val="0"/>
          <w:numId w:val="24"/>
        </w:numPr>
        <w:tabs>
          <w:tab w:val="left" w:pos="284"/>
        </w:tabs>
        <w:ind w:left="567"/>
        <w:jc w:val="both"/>
        <w:rPr>
          <w:rFonts w:ascii="Arial" w:hAnsi="Arial" w:cs="Arial"/>
          <w:sz w:val="18"/>
          <w:szCs w:val="18"/>
        </w:rPr>
      </w:pPr>
      <w:r w:rsidRPr="002F346F">
        <w:rPr>
          <w:rFonts w:ascii="Arial" w:hAnsi="Arial" w:cs="Arial"/>
          <w:sz w:val="18"/>
          <w:szCs w:val="18"/>
        </w:rPr>
        <w:t xml:space="preserve">Mitigar rápida y efectivamente los impactos económicos sobre hogares, trabajadores y empresas de la suspensión de actividades no esenciales; y </w:t>
      </w:r>
    </w:p>
    <w:p w:rsidR="002F346F" w:rsidRPr="002F346F" w:rsidRDefault="002F346F" w:rsidP="002F346F">
      <w:pPr>
        <w:pStyle w:val="Prrafodelista"/>
        <w:numPr>
          <w:ilvl w:val="0"/>
          <w:numId w:val="24"/>
        </w:numPr>
        <w:tabs>
          <w:tab w:val="left" w:pos="284"/>
        </w:tabs>
        <w:ind w:left="567"/>
        <w:jc w:val="both"/>
        <w:rPr>
          <w:rFonts w:ascii="Arial" w:hAnsi="Arial" w:cs="Arial"/>
          <w:sz w:val="18"/>
          <w:szCs w:val="18"/>
        </w:rPr>
      </w:pPr>
      <w:r w:rsidRPr="002F346F">
        <w:rPr>
          <w:rFonts w:ascii="Arial" w:hAnsi="Arial" w:cs="Arial"/>
          <w:sz w:val="18"/>
          <w:szCs w:val="18"/>
        </w:rPr>
        <w:t xml:space="preserve">Promover una recuperación económica acelerada y sostenida.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 xml:space="preserve">La selección del primer conjunto de acciones privilegia una implementación rápida, para contener oportunamente los impactos sanitarios y económicos; una focalización en los sectores más vulnerables, que disponen de menos amortiguadores y acceso a mecanismos de mercado para hacer frente a emergencias; y un manejo responsable de las finanzas públicas, que prioriza el uso de fuentes existentes de recursos sobre el endeudamiento, a fin de reducir los impactos sobre generaciones futuras de medidas tomadas en el presente. Asimismo, la selección toma en cuenta los distintos riesgos que enfrenta nuestro país en los escenarios sanitarios y económicos previstos, y considera que en el escenario central nuestra economía se verá beneficiada por la reapertura coordinada de sectores clave con Canadá y Estados Unidos, a partir de las próximas semanas; la ratificación del T-MEC en julio; la sincronización del inicio de nuestra recuperación económica con la de nuestros socios comerciales que estará en una fase más avanzada que la nuestra; y, la mayor actividad económica que se anticipa para nuestro principal socio comercial durante el segundo semestre.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lastRenderedPageBreak/>
        <w:t xml:space="preserve">El Gobierno de México da seguimiento puntual a la evolución de la curva epidemiológica, de los indicadores económicos y de los distintos riesgos que enfrenta nuestro país, y dispone de un abanico de opciones de política pública para atender con rapidez una potencial profundización de la emergencia. Prevención y atención inmediata de la contingencia sanitaria con la finalidad de enfrentar la contingencia sanitaria, el sistema de salud mexicano ha tomado diversas medidas para atender a la población infectada, entre las que destacan la reconversión de infraestructura hospitalaria y la adquisición del equipo y materiales necesarios. Adicionalmente, el Instituto Mexicano del Seguro Social (IMSS) ejecuta su Plan Estratégico para la Atención de la Contingencia COVID-19 que, entre otros elementos, define una red de 70 hospitales de referencia para atender pacientes y 20 hospitales adicionales de reconversión donde se concentrará la atención en la etapa más crítica. Asimismo, se destinaron 4.5 </w:t>
      </w:r>
      <w:proofErr w:type="spellStart"/>
      <w:r w:rsidRPr="002F346F">
        <w:rPr>
          <w:rFonts w:ascii="Arial" w:hAnsi="Arial" w:cs="Arial"/>
          <w:sz w:val="18"/>
          <w:szCs w:val="18"/>
        </w:rPr>
        <w:t>mmp</w:t>
      </w:r>
      <w:proofErr w:type="spellEnd"/>
      <w:r w:rsidRPr="002F346F">
        <w:rPr>
          <w:rFonts w:ascii="Arial" w:hAnsi="Arial" w:cs="Arial"/>
          <w:sz w:val="18"/>
          <w:szCs w:val="18"/>
        </w:rPr>
        <w:t xml:space="preserve"> a las secretarías de la Defensa Nacional y de Marina para la activación del Plan DN-III y el Plan Marina, respectivamente. Por último, destaca que la Secretaría de Salud en conjunto con el Instituto de Salud para el Bienestar (INSABI) ejercieron 3.2 </w:t>
      </w:r>
      <w:proofErr w:type="spellStart"/>
      <w:r w:rsidRPr="002F346F">
        <w:rPr>
          <w:rFonts w:ascii="Arial" w:hAnsi="Arial" w:cs="Arial"/>
          <w:sz w:val="18"/>
          <w:szCs w:val="18"/>
        </w:rPr>
        <w:t>mmp</w:t>
      </w:r>
      <w:proofErr w:type="spellEnd"/>
      <w:r w:rsidRPr="002F346F">
        <w:rPr>
          <w:rFonts w:ascii="Arial" w:hAnsi="Arial" w:cs="Arial"/>
          <w:sz w:val="18"/>
          <w:szCs w:val="18"/>
        </w:rPr>
        <w:t xml:space="preserve"> para la compra de material de curación, medicamentos y equipamiento. Aunado a lo anterior, el Gobierno de México también ha impulsado una serie de medidas de mitigación, entre las que destacan: i) la contratación de 43 mil personas trabajadoras de la salud para hacer frente a la contingencia sanitaria; ii) el convenio del Sector Salud con 146 hospitales privados para atender hasta 12.5 mil pacientes en 27 entidades de la República y; iii) las medidas de distanciamiento social, que incluye la suspensión de clases y de las actividades no esenciales.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A fin de apoyar a la población afectada por el cierre de sus negocios, se otorgarán 1 millón 355 mil créditos de hasta 25 mil pesos a microempresarios familiares, así como 645 mil créditos a la palabra del IMSS y 1 millón adicional para microempresarios del sector informal. Así, se ayuda a las empresas que tienen menos recursos y acceso a los canales tradicionales de crédito a cubrir sus costos fijos y a conservar la relación laboral con sus empleados durante la etapa de contingencia sanitaria, lo cual les permitirá tanto sortear esta última como reactivarse más rápidamente una vez superada. Con el objetivo de apoyar a uno de los segmentos de la población más vulnerables en la emergencia, se adelantó un bimestre la entrega de la pensión de adultos mayores, para que puedan enfrentar los gastos extraordinarios derivados de la coyuntura. Asimismo, se destinarán 25 mil millones de pesos al Programa de Mejoramiento Urbano para introducir agua, drenaje, pavimento y alumbrado público en 50 municipios del país, lo que generará empleos y ayudará a reactivar la industria de la construcción. Para apoyar a las personas derechohabientes que perdieron su relación laboral durante la contingencia del COVID-19, el Fondo Nacional de la Vivienda para los Trabajadores (</w:t>
      </w:r>
      <w:proofErr w:type="spellStart"/>
      <w:r w:rsidRPr="002F346F">
        <w:rPr>
          <w:rFonts w:ascii="Arial" w:hAnsi="Arial" w:cs="Arial"/>
          <w:sz w:val="18"/>
          <w:szCs w:val="18"/>
        </w:rPr>
        <w:t>Infonavit</w:t>
      </w:r>
      <w:proofErr w:type="spellEnd"/>
      <w:r w:rsidRPr="002F346F">
        <w:rPr>
          <w:rFonts w:ascii="Arial" w:hAnsi="Arial" w:cs="Arial"/>
          <w:sz w:val="18"/>
          <w:szCs w:val="18"/>
        </w:rPr>
        <w:t xml:space="preserve">) cubrirá hasta tres mensualidades del crédito correspondiente de quienes pierdan su relación laboral y aplicará hasta seis meses de prórroga, sin cargos moratorios, entre otros beneficios que en conjunto suman, aproximadamente, 20 mil millones de pesos. Para proteger el empleo formal, el </w:t>
      </w:r>
      <w:proofErr w:type="spellStart"/>
      <w:r w:rsidRPr="002F346F">
        <w:rPr>
          <w:rFonts w:ascii="Arial" w:hAnsi="Arial" w:cs="Arial"/>
          <w:sz w:val="18"/>
          <w:szCs w:val="18"/>
        </w:rPr>
        <w:t>Infonavit</w:t>
      </w:r>
      <w:proofErr w:type="spellEnd"/>
      <w:r w:rsidRPr="002F346F">
        <w:rPr>
          <w:rFonts w:ascii="Arial" w:hAnsi="Arial" w:cs="Arial"/>
          <w:sz w:val="18"/>
          <w:szCs w:val="18"/>
        </w:rPr>
        <w:t xml:space="preserve"> ofrece a las </w:t>
      </w:r>
      <w:proofErr w:type="spellStart"/>
      <w:r w:rsidRPr="002F346F">
        <w:rPr>
          <w:rFonts w:ascii="Arial" w:hAnsi="Arial" w:cs="Arial"/>
          <w:sz w:val="18"/>
          <w:szCs w:val="18"/>
        </w:rPr>
        <w:t>MiPyMEs</w:t>
      </w:r>
      <w:proofErr w:type="spellEnd"/>
      <w:r w:rsidRPr="002F346F">
        <w:rPr>
          <w:rFonts w:ascii="Arial" w:hAnsi="Arial" w:cs="Arial"/>
          <w:sz w:val="18"/>
          <w:szCs w:val="18"/>
        </w:rPr>
        <w:t xml:space="preserve"> prórrogas en el pago de las aportaciones correspondientes a trabajadores sin crédito vigente. Con el fin de proteger el gasto familiar, la CFE no reclasificará como Tarifa Doméstica de Alto Consumo el aumento del uso de energía en los hogares durante la contingencia. Con esta medida, se busca mitigar parte del gasto en pago de servicios por un incremento en el consumo de energía eléctrica, dado el confinamiento.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 xml:space="preserve">El Gobierno de México ha llevado a cabo un conjunto de medidas para garantizar el adecuado funcionamiento de los mercados financieros nacionales y fortalecer la liquidez en el sistema financiero. La Comisión Nacional Bancaria y de Valores (CNBV) flexibilizó la norma contable de la banca, a fin de permitirle diferir total o parcialmente los pagos de capital y/o intereses hasta por 6 meses de créditos comerciales, hipotecarios, personales, de nómina y para automóviles. Esto alivia presiones de liquidez de personas y negocios deudores que podrían haberse visto afectadas durante la suspensión de actividades.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 xml:space="preserve">Análogamente, la Comisión Nacional de Seguros y Fianzas que las instituciones de seguros modifiquen sus productos para ampliar los plazos del pago de primas y favorecer a asegurados que enfrenten emergencias durante la contingencia sanitaria. La Comisión de Cambios ha tomado medidas para aumentar la liquidez del mercado cambiario y reducir su volatilidad: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sym w:font="Symbol" w:char="F0B7"/>
      </w:r>
      <w:r w:rsidRPr="002F346F">
        <w:rPr>
          <w:rFonts w:ascii="Arial" w:hAnsi="Arial" w:cs="Arial"/>
          <w:sz w:val="18"/>
          <w:szCs w:val="18"/>
        </w:rPr>
        <w:t xml:space="preserve"> Incrementó el programa de coberturas cambiarias de 20 a 30 mil millones de dólares, con el objetivo de propiciar mejores condiciones de liquidez, un mejor descubrimiento de precios y un funcionamiento ordenado del mercado de cambios.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sym w:font="Symbol" w:char="F0B7"/>
      </w:r>
      <w:r w:rsidRPr="002F346F">
        <w:rPr>
          <w:rFonts w:ascii="Arial" w:hAnsi="Arial" w:cs="Arial"/>
          <w:sz w:val="18"/>
          <w:szCs w:val="18"/>
        </w:rPr>
        <w:t xml:space="preserve"> Anunció que a partir del 1 de abril realizará subastas de crédito en dólares por un monto de hasta 5 mil millones de dólares y con un plazo de vencimiento de 84 días. Además el Banco de México podrá operar coberturas cambiarias en horarios en los que los mercados nacionales están cerrados.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lastRenderedPageBreak/>
        <w:t xml:space="preserve">La Secretaría de Hacienda y Crédito Público mantiene una estrecha y productiva colaboración con el Banco de México, a fin de fortalecer el Programa de Formadores de Mercado de Deuda Gubernamental, para mejorar el funcionamiento de dicho mercado. Asimismo, se realizarán operaciones de permuta de valores gubernamentales, mediante las cuales el banco central recibirá títulos de largo plazo, y se tendrá la posibilidad de adquirir valores gubernamentales en reporto a plazos mayores que los que regularmente se utilizan en las operaciones de mercado abierto. Por último, el Banco de México ha implementado un conjunto de acciones encaminadas a asegurar la liquidez interna y externa, así como para reducir los costos de financiamiento. Destacan la disminución en el monto del Depósito de Regulación Monetaria, para liberar recursos a la banca comercial y que esté en mejores condiciones de otorgar créditos; el establecimiento de subastas de crédito en dólares financiadas con una línea “swap” por 60 mil millones de dólares con la Reserva Federal de Estados Unidos; la oportunidad de financiamiento a plazo de entre 18 y 24 meses a la banca y la facilidad de financiamiento garantizado con créditos a empresas que emiten deuda bursátil; y la reducción de la tasa de interés de la Facilidad de Liquidez Adicional Ordinaria (FLAO), de 2.2 a 1.1 veces su tasa de interés objetivo, para elevar la capacidad de otorgamiento de crédito de la banca. Cabe señalar que en una reunión extraordinaria el 21 de abril, posterior al periodo que cubre este informe, el Banco de México decidió recortar 50 puntos </w:t>
      </w:r>
      <w:proofErr w:type="gramStart"/>
      <w:r w:rsidRPr="002F346F">
        <w:rPr>
          <w:rFonts w:ascii="Arial" w:hAnsi="Arial" w:cs="Arial"/>
          <w:sz w:val="18"/>
          <w:szCs w:val="18"/>
        </w:rPr>
        <w:t>base adicionales</w:t>
      </w:r>
      <w:proofErr w:type="gramEnd"/>
      <w:r w:rsidRPr="002F346F">
        <w:rPr>
          <w:rFonts w:ascii="Arial" w:hAnsi="Arial" w:cs="Arial"/>
          <w:sz w:val="18"/>
          <w:szCs w:val="18"/>
        </w:rPr>
        <w:t xml:space="preserve"> su tasa objetivo, para llegar a un nivel de 6%.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 xml:space="preserve">Con la intención de que los gobiernos </w:t>
      </w:r>
      <w:proofErr w:type="spellStart"/>
      <w:r w:rsidRPr="002F346F">
        <w:rPr>
          <w:rFonts w:ascii="Arial" w:hAnsi="Arial" w:cs="Arial"/>
          <w:sz w:val="18"/>
          <w:szCs w:val="18"/>
        </w:rPr>
        <w:t>subnacionales</w:t>
      </w:r>
      <w:proofErr w:type="spellEnd"/>
      <w:r w:rsidRPr="002F346F">
        <w:rPr>
          <w:rFonts w:ascii="Arial" w:hAnsi="Arial" w:cs="Arial"/>
          <w:sz w:val="18"/>
          <w:szCs w:val="18"/>
        </w:rPr>
        <w:t xml:space="preserve"> cuenten con los recursos suficientes para hacer frente a la situación, se adelantaron las transferencias del Gobierno Federal de abril y mayo por un total de 18.9 </w:t>
      </w:r>
      <w:proofErr w:type="spellStart"/>
      <w:r w:rsidRPr="002F346F">
        <w:rPr>
          <w:rFonts w:ascii="Arial" w:hAnsi="Arial" w:cs="Arial"/>
          <w:sz w:val="18"/>
          <w:szCs w:val="18"/>
        </w:rPr>
        <w:t>mmp</w:t>
      </w:r>
      <w:proofErr w:type="spellEnd"/>
      <w:r w:rsidRPr="002F346F">
        <w:rPr>
          <w:rFonts w:ascii="Arial" w:hAnsi="Arial" w:cs="Arial"/>
          <w:sz w:val="18"/>
          <w:szCs w:val="18"/>
        </w:rPr>
        <w:t xml:space="preserve"> para las Secretarías de Salud de los estados. Adicionalmente y en línea con el objetivo de proteger las finanzas del Gobierno de México, se diseñan mejoras normativas para permitir a las entidades que cuentan con una posición financiera sólida un mayor acceso a los mercados de financiamiento, así como el diseño de mecanismos financieros para potenciar los recursos con que cuentan los gobiernos locales en distintos fondos.</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En el Estado viven 1</w:t>
      </w:r>
      <w:proofErr w:type="gramStart"/>
      <w:r w:rsidRPr="002F346F">
        <w:rPr>
          <w:rFonts w:ascii="Arial" w:hAnsi="Arial" w:cs="Arial"/>
          <w:sz w:val="18"/>
          <w:szCs w:val="18"/>
        </w:rPr>
        <w:t>,272,847</w:t>
      </w:r>
      <w:proofErr w:type="gramEnd"/>
      <w:r w:rsidRPr="002F346F">
        <w:rPr>
          <w:rFonts w:ascii="Arial" w:hAnsi="Arial" w:cs="Arial"/>
          <w:sz w:val="18"/>
          <w:szCs w:val="18"/>
        </w:rPr>
        <w:t xml:space="preserve">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2F346F" w:rsidRPr="00207C3D" w:rsidRDefault="002F346F" w:rsidP="002F346F">
      <w:pPr>
        <w:pStyle w:val="PRIMERAPLANA"/>
        <w:spacing w:line="360" w:lineRule="auto"/>
        <w:jc w:val="center"/>
        <w:rPr>
          <w:rFonts w:cs="Arial"/>
          <w:sz w:val="18"/>
          <w:szCs w:val="18"/>
          <w:lang w:val="es-ES"/>
        </w:rPr>
      </w:pPr>
      <w:r w:rsidRPr="00207C3D">
        <w:rPr>
          <w:noProof/>
          <w:sz w:val="18"/>
          <w:szCs w:val="18"/>
          <w:lang w:val="es-MX" w:eastAsia="es-MX"/>
        </w:rPr>
        <w:lastRenderedPageBreak/>
        <w:drawing>
          <wp:inline distT="0" distB="0" distL="0" distR="0">
            <wp:extent cx="2562225" cy="3554095"/>
            <wp:effectExtent l="0" t="0" r="9525" b="825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562225" cy="3554095"/>
                    </a:xfrm>
                    <a:prstGeom prst="rect">
                      <a:avLst/>
                    </a:prstGeom>
                    <a:noFill/>
                    <a:ln>
                      <a:noFill/>
                    </a:ln>
                  </pic:spPr>
                </pic:pic>
              </a:graphicData>
            </a:graphic>
          </wp:inline>
        </w:drawing>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al tercer trimestre de 2019, Tlaxcala ha recibido flujos de inversión acumulados por 3 mil 200 millones de dólares (</w:t>
      </w:r>
      <w:proofErr w:type="spellStart"/>
      <w:r w:rsidRPr="002F346F">
        <w:rPr>
          <w:rFonts w:ascii="Arial" w:hAnsi="Arial" w:cs="Arial"/>
          <w:sz w:val="18"/>
          <w:szCs w:val="18"/>
        </w:rPr>
        <w:t>mdd</w:t>
      </w:r>
      <w:proofErr w:type="spellEnd"/>
      <w:r w:rsidRPr="002F346F">
        <w:rPr>
          <w:rFonts w:ascii="Arial" w:hAnsi="Arial" w:cs="Arial"/>
          <w:sz w:val="18"/>
          <w:szCs w:val="18"/>
        </w:rPr>
        <w:t>) equivalentes al 1% del total de flujos captados por el país de acuerdo a la Secretaría de Economía al 3er Trimestre de 2019, la entidad pasó a ocupar la posición 28 como receptor de inversión externa en el país, una mejora de dos lugares con respecto al año 2018.</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lastRenderedPageBreak/>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al primer trimestre de 2020 es de 618 mil 948 personas y representa 1.1% del total nacional. La población ocupada representó 96% de la PEA de la entidad, es decir, 594 mil 706 personas. De esta población, 58.8 % son hombres y 41.2 % son mujeres. Un dato a destacar es el aumento de la participación laboral femenina en el estado. En 2001, la proporción de mujeres trabajadoras tlaxcaltecas dentro de la población ocupada total era de 33%. Actualmente, alcanza 41%, 2 puntos porcentuales mayor al promedio nacional.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Al mes de mayo de 2020 la tasa de ocupación reflejó una participación del 1.1 % al total nacional, representando un decremento de 2,498 puestos de trabajo respecto a diciembre de 2019. Al mes de mayo de 2020, se tienen registrados 99,775 trabajadores asegurados en el IMSS, tal y como se muestra en los siguientes cuadros:</w:t>
      </w:r>
    </w:p>
    <w:p w:rsidR="002F346F" w:rsidRDefault="002F346F" w:rsidP="002F346F">
      <w:pPr>
        <w:pStyle w:val="PRIMERAPLANA"/>
        <w:spacing w:line="360" w:lineRule="auto"/>
        <w:jc w:val="center"/>
        <w:rPr>
          <w:sz w:val="18"/>
          <w:szCs w:val="18"/>
        </w:rPr>
      </w:pPr>
      <w:r w:rsidRPr="002839E2">
        <w:rPr>
          <w:noProof/>
          <w:lang w:val="es-MX" w:eastAsia="es-MX"/>
        </w:rPr>
        <w:drawing>
          <wp:inline distT="0" distB="0" distL="0" distR="0">
            <wp:extent cx="6034393" cy="3838755"/>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8311" t="16780" r="12215" b="12305"/>
                    <a:stretch>
                      <a:fillRect/>
                    </a:stretch>
                  </pic:blipFill>
                  <pic:spPr bwMode="auto">
                    <a:xfrm>
                      <a:off x="0" y="0"/>
                      <a:ext cx="6034393" cy="3838755"/>
                    </a:xfrm>
                    <a:prstGeom prst="rect">
                      <a:avLst/>
                    </a:prstGeom>
                    <a:noFill/>
                    <a:ln>
                      <a:noFill/>
                    </a:ln>
                  </pic:spPr>
                </pic:pic>
              </a:graphicData>
            </a:graphic>
          </wp:inline>
        </w:drawing>
      </w:r>
    </w:p>
    <w:p w:rsidR="002F346F" w:rsidRDefault="002F346F" w:rsidP="002F346F">
      <w:pPr>
        <w:pStyle w:val="PRIMERAPLANA"/>
        <w:spacing w:line="360" w:lineRule="auto"/>
        <w:rPr>
          <w:sz w:val="18"/>
          <w:szCs w:val="18"/>
        </w:rPr>
      </w:pPr>
      <w:r w:rsidRPr="002839E2">
        <w:rPr>
          <w:noProof/>
          <w:lang w:val="es-MX" w:eastAsia="es-MX"/>
        </w:rPr>
        <w:lastRenderedPageBreak/>
        <w:drawing>
          <wp:inline distT="0" distB="0" distL="0" distR="0">
            <wp:extent cx="8566150" cy="5995358"/>
            <wp:effectExtent l="0" t="0" r="635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20366" t="17662" r="23550" b="10744"/>
                    <a:stretch>
                      <a:fillRect/>
                    </a:stretch>
                  </pic:blipFill>
                  <pic:spPr bwMode="auto">
                    <a:xfrm>
                      <a:off x="0" y="0"/>
                      <a:ext cx="8572579" cy="5999857"/>
                    </a:xfrm>
                    <a:prstGeom prst="rect">
                      <a:avLst/>
                    </a:prstGeom>
                    <a:noFill/>
                    <a:ln>
                      <a:noFill/>
                    </a:ln>
                  </pic:spPr>
                </pic:pic>
              </a:graphicData>
            </a:graphic>
          </wp:inline>
        </w:drawing>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lastRenderedPageBreak/>
        <w:t>De acuerdo al Directorio Estadístico Nacional de Unidades Económicas, Tlaxcala cuenta con 81,304 Unidades Económicas, lo que representa el 2 % del total nacional. Al primer trimestre de 2020 la Población Económicamente Activa (PEA) ascendió a 618,948 personas, representando el 62 % de la población en edad de trabajar. Del Total de la PEA, el 96 % está ocupada y el 4 % se encuentra desocupada.</w:t>
      </w:r>
    </w:p>
    <w:p w:rsidR="002F346F" w:rsidRPr="002F346F" w:rsidRDefault="002F346F" w:rsidP="002F346F">
      <w:pPr>
        <w:tabs>
          <w:tab w:val="left" w:pos="284"/>
        </w:tabs>
        <w:ind w:left="284"/>
        <w:jc w:val="center"/>
        <w:rPr>
          <w:rFonts w:ascii="Arial" w:hAnsi="Arial" w:cs="Arial"/>
          <w:sz w:val="18"/>
          <w:szCs w:val="18"/>
        </w:rPr>
      </w:pPr>
      <w:r w:rsidRPr="002F346F">
        <w:rPr>
          <w:rFonts w:ascii="Arial" w:hAnsi="Arial" w:cs="Arial"/>
          <w:noProof/>
          <w:sz w:val="18"/>
          <w:szCs w:val="18"/>
          <w:lang w:eastAsia="es-MX"/>
        </w:rPr>
        <w:drawing>
          <wp:inline distT="0" distB="0" distL="0" distR="0">
            <wp:extent cx="6313668" cy="3669654"/>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20059" t="17435" r="25847" b="15431"/>
                    <a:stretch>
                      <a:fillRect/>
                    </a:stretch>
                  </pic:blipFill>
                  <pic:spPr bwMode="auto">
                    <a:xfrm>
                      <a:off x="0" y="0"/>
                      <a:ext cx="6362310" cy="3697926"/>
                    </a:xfrm>
                    <a:prstGeom prst="rect">
                      <a:avLst/>
                    </a:prstGeom>
                    <a:noFill/>
                    <a:ln>
                      <a:noFill/>
                    </a:ln>
                  </pic:spPr>
                </pic:pic>
              </a:graphicData>
            </a:graphic>
          </wp:inline>
        </w:drawing>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Al tercer trimestre de 2019, la Inversión Extranjera Directa Acumulada del año 2011 al mes de septiembre de 2019 en el Estado de Tlaxcala fue de 1,532.9 millones de dólares lo que representó un aporte del 1% al total nacional, instalándose empresas de diversas nacionalidades en la Entidad.</w:t>
      </w:r>
    </w:p>
    <w:p w:rsidR="002F346F" w:rsidRPr="002F346F" w:rsidRDefault="002F346F" w:rsidP="002F346F">
      <w:pPr>
        <w:tabs>
          <w:tab w:val="left" w:pos="284"/>
        </w:tabs>
        <w:ind w:left="284"/>
        <w:jc w:val="both"/>
        <w:rPr>
          <w:rFonts w:ascii="Arial" w:hAnsi="Arial" w:cs="Arial"/>
          <w:sz w:val="18"/>
          <w:szCs w:val="18"/>
        </w:rPr>
      </w:pPr>
    </w:p>
    <w:p w:rsidR="002F346F" w:rsidRDefault="002F346F" w:rsidP="002F346F">
      <w:pPr>
        <w:pStyle w:val="PRIMERAPLANA"/>
        <w:spacing w:line="360" w:lineRule="auto"/>
        <w:jc w:val="center"/>
        <w:rPr>
          <w:rFonts w:cs="Arial"/>
          <w:sz w:val="18"/>
          <w:szCs w:val="18"/>
          <w:lang w:val="es-ES"/>
        </w:rPr>
      </w:pPr>
      <w:r w:rsidRPr="00F43017">
        <w:rPr>
          <w:noProof/>
          <w:lang w:val="es-MX" w:eastAsia="es-MX"/>
        </w:rPr>
        <w:lastRenderedPageBreak/>
        <w:drawing>
          <wp:inline distT="0" distB="0" distL="0" distR="0">
            <wp:extent cx="8450339" cy="5693434"/>
            <wp:effectExtent l="0" t="0" r="8255"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59038" cy="5699295"/>
                    </a:xfrm>
                    <a:prstGeom prst="rect">
                      <a:avLst/>
                    </a:prstGeom>
                    <a:noFill/>
                    <a:ln>
                      <a:noFill/>
                    </a:ln>
                  </pic:spPr>
                </pic:pic>
              </a:graphicData>
            </a:graphic>
          </wp:inline>
        </w:drawing>
      </w:r>
    </w:p>
    <w:p w:rsidR="002F346F" w:rsidRDefault="002F346F" w:rsidP="002F346F">
      <w:pPr>
        <w:pStyle w:val="PRIMERAPLANA"/>
        <w:spacing w:line="360" w:lineRule="auto"/>
        <w:rPr>
          <w:rFonts w:cs="Arial"/>
          <w:sz w:val="18"/>
          <w:szCs w:val="18"/>
          <w:lang w:val="es-ES"/>
        </w:rPr>
      </w:pP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noProof/>
          <w:sz w:val="18"/>
          <w:szCs w:val="18"/>
          <w:lang w:eastAsia="es-MX"/>
        </w:rPr>
        <w:lastRenderedPageBreak/>
        <mc:AlternateContent>
          <mc:Choice Requires="wps">
            <w:drawing>
              <wp:anchor distT="0" distB="0" distL="114300" distR="114300" simplePos="0" relativeHeight="251685888"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93" name="Flecha derecha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65C9CBE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3" o:spid="_x0000_s1026" type="#_x0000_t13" style="position:absolute;margin-left:690.75pt;margin-top:12457.45pt;width:14.95pt;height:3.6pt;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By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MUCsHK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2F346F">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El poco dinamismo de la economía regional, restringe al Estado para incrementar significativamente su recaudación propia; de 2011 a 2019, los ingresos propios promediaron entre el 4 y 6 por ciento de los ingresos totales captados. Se han implementado algunas medidas que incentivaron el pago de impuestos para reducir el rezago fiscal, particularmente en materia de tenencia y derechos vehiculares.</w:t>
      </w:r>
    </w:p>
    <w:p w:rsidR="002F346F" w:rsidRPr="002F346F" w:rsidRDefault="002F346F" w:rsidP="002F346F">
      <w:pPr>
        <w:tabs>
          <w:tab w:val="left" w:pos="284"/>
        </w:tabs>
        <w:ind w:left="284"/>
        <w:jc w:val="both"/>
        <w:rPr>
          <w:rFonts w:ascii="Arial" w:hAnsi="Arial" w:cs="Arial"/>
          <w:sz w:val="18"/>
          <w:szCs w:val="18"/>
        </w:rPr>
      </w:pPr>
      <w:r w:rsidRPr="002F346F">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872A3" w:rsidRPr="004D5BEA" w:rsidRDefault="001872A3" w:rsidP="004D5BEA">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33"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34"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35"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36"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37"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38"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39" w:tooltip="Hidalgo (México)" w:history="1">
        <w:r w:rsidRPr="0073056A">
          <w:rPr>
            <w:rFonts w:ascii="Arial" w:hAnsi="Arial" w:cs="Arial"/>
            <w:sz w:val="18"/>
            <w:szCs w:val="18"/>
          </w:rPr>
          <w:t>Hidalgo</w:t>
        </w:r>
      </w:hyperlink>
      <w:r w:rsidRPr="0073056A">
        <w:rPr>
          <w:rFonts w:ascii="Arial" w:hAnsi="Arial" w:cs="Arial"/>
          <w:sz w:val="18"/>
          <w:szCs w:val="18"/>
        </w:rPr>
        <w:t xml:space="preserve">. La entidad se localiza en la región del Eje </w:t>
      </w:r>
      <w:proofErr w:type="spellStart"/>
      <w:r w:rsidRPr="0073056A">
        <w:rPr>
          <w:rFonts w:ascii="Arial" w:hAnsi="Arial" w:cs="Arial"/>
          <w:sz w:val="18"/>
          <w:szCs w:val="18"/>
        </w:rPr>
        <w:t>Neovolcánico</w:t>
      </w:r>
      <w:proofErr w:type="spellEnd"/>
      <w:r w:rsidRPr="0073056A">
        <w:rPr>
          <w:rFonts w:ascii="Arial" w:hAnsi="Arial" w:cs="Arial"/>
          <w:sz w:val="18"/>
          <w:szCs w:val="18"/>
        </w:rPr>
        <w:t>,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1872A3" w:rsidRDefault="001872A3"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 xml:space="preserve">Garantizar </w:t>
      </w:r>
      <w:r>
        <w:rPr>
          <w:rFonts w:ascii="Arial" w:hAnsi="Arial" w:cs="Arial"/>
          <w:sz w:val="18"/>
          <w:szCs w:val="18"/>
        </w:rPr>
        <w:lastRenderedPageBreak/>
        <w:t>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8D9" w:rsidRDefault="005678D9">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8D9" w:rsidRDefault="005678D9"/>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8D9" w:rsidRDefault="005678D9"/>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8D9" w:rsidRDefault="005678D9">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8D9" w:rsidRDefault="005678D9">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w:t>
                              </w:r>
                              <w:proofErr w:type="spellStart"/>
                              <w:r>
                                <w:rPr>
                                  <w:rFonts w:ascii="Arial" w:hAnsi="Arial" w:cs="Arial"/>
                                  <w:color w:val="000000"/>
                                  <w:sz w:val="18"/>
                                  <w:szCs w:val="18"/>
                                  <w:lang w:val="en-US"/>
                                </w:rPr>
                                <w:t>Calva</w:t>
                              </w:r>
                              <w:proofErr w:type="spellEnd"/>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8D9" w:rsidRDefault="005678D9"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8D9" w:rsidRDefault="005678D9">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5678D9" w:rsidRDefault="005678D9">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5678D9" w:rsidRDefault="005678D9"/>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5678D9" w:rsidRDefault="005678D9"/>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5678D9" w:rsidRDefault="005678D9">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5678D9" w:rsidRDefault="005678D9">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5678D9" w:rsidRDefault="005678D9"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5678D9" w:rsidRDefault="005678D9">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40"/>
      <w:headerReference w:type="default" r:id="rId41"/>
      <w:footerReference w:type="even" r:id="rId42"/>
      <w:footerReference w:type="default" r:id="rId43"/>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DC7" w:rsidRDefault="003C4DC7" w:rsidP="00EA5418">
      <w:pPr>
        <w:spacing w:after="0" w:line="240" w:lineRule="auto"/>
      </w:pPr>
      <w:r>
        <w:separator/>
      </w:r>
    </w:p>
  </w:endnote>
  <w:endnote w:type="continuationSeparator" w:id="0">
    <w:p w:rsidR="003C4DC7" w:rsidRDefault="003C4DC7"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8D9" w:rsidRPr="004E3EA4" w:rsidRDefault="005678D9"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245A63" w:rsidRPr="00245A63">
          <w:rPr>
            <w:rFonts w:ascii="Arial" w:hAnsi="Arial" w:cs="Arial"/>
            <w:noProof/>
            <w:sz w:val="20"/>
            <w:lang w:val="es-ES"/>
          </w:rPr>
          <w:t>20</w:t>
        </w:r>
        <w:r w:rsidRPr="004E3EA4">
          <w:rPr>
            <w:rFonts w:ascii="Arial" w:hAnsi="Arial" w:cs="Arial"/>
            <w:sz w:val="20"/>
          </w:rPr>
          <w:fldChar w:fldCharType="end"/>
        </w:r>
      </w:sdtContent>
    </w:sdt>
  </w:p>
  <w:p w:rsidR="005678D9" w:rsidRDefault="005678D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8D9" w:rsidRPr="003527CD" w:rsidRDefault="005678D9"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245A63" w:rsidRPr="00245A63">
          <w:rPr>
            <w:rFonts w:ascii="Arial" w:hAnsi="Arial" w:cs="Arial"/>
            <w:noProof/>
            <w:lang w:val="es-ES"/>
          </w:rPr>
          <w:t>19</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DC7" w:rsidRDefault="003C4DC7" w:rsidP="00EA5418">
      <w:pPr>
        <w:spacing w:after="0" w:line="240" w:lineRule="auto"/>
      </w:pPr>
      <w:r>
        <w:separator/>
      </w:r>
    </w:p>
  </w:footnote>
  <w:footnote w:type="continuationSeparator" w:id="0">
    <w:p w:rsidR="003C4DC7" w:rsidRDefault="003C4DC7"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8D9" w:rsidRDefault="00ED6109">
    <w:pPr>
      <w:pStyle w:val="Encabezado"/>
    </w:pPr>
    <w:r>
      <w:rPr>
        <w:noProof/>
        <w:lang w:eastAsia="es-MX"/>
      </w:rPr>
      <mc:AlternateContent>
        <mc:Choice Requires="wps">
          <w:drawing>
            <wp:anchor distT="0" distB="0" distL="114300" distR="114300" simplePos="0" relativeHeight="251668480" behindDoc="0" locked="0" layoutInCell="1" allowOverlap="1" wp14:anchorId="517675F5" wp14:editId="4898210E">
              <wp:simplePos x="0" y="0"/>
              <wp:positionH relativeFrom="column">
                <wp:posOffset>1971675</wp:posOffset>
              </wp:positionH>
              <wp:positionV relativeFrom="paragraph">
                <wp:posOffset>-297180</wp:posOffset>
              </wp:positionV>
              <wp:extent cx="3648075" cy="561975"/>
              <wp:effectExtent l="0" t="0" r="0" b="9525"/>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8D9" w:rsidRDefault="005678D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5678D9" w:rsidRDefault="005678D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5678D9" w:rsidRPr="00275FC6" w:rsidRDefault="005678D9"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675F5" id="_x0000_t202" coordsize="21600,21600" o:spt="202" path="m,l,21600r21600,l21600,xe">
              <v:stroke joinstyle="miter"/>
              <v:path gradientshapeok="t" o:connecttype="rect"/>
            </v:shapetype>
            <v:shape id="Cuadro de texto 5" o:spid="_x0000_s1102" type="#_x0000_t202" style="position:absolute;margin-left:155.25pt;margin-top:-23.4pt;width:287.25pt;height:4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" filled="f" stroked="f">
              <v:textbox>
                <w:txbxContent>
                  <w:p w:rsidR="005678D9" w:rsidRDefault="005678D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5678D9" w:rsidRDefault="005678D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5678D9" w:rsidRPr="00275FC6" w:rsidRDefault="005678D9" w:rsidP="00040466">
                    <w:pPr>
                      <w:jc w:val="right"/>
                      <w:rPr>
                        <w:rFonts w:ascii="Soberana Titular" w:hAnsi="Soberana Titular" w:cs="Arial"/>
                        <w:color w:val="808080" w:themeColor="background1" w:themeShade="80"/>
                        <w:sz w:val="20"/>
                        <w:szCs w:val="20"/>
                      </w:rPr>
                    </w:pPr>
                  </w:p>
                </w:txbxContent>
              </v:textbox>
            </v:shape>
          </w:pict>
        </mc:Fallback>
      </mc:AlternateContent>
    </w:r>
    <w:r w:rsidR="005678D9">
      <w:rPr>
        <w:noProof/>
        <w:lang w:eastAsia="es-MX"/>
      </w:rPr>
      <mc:AlternateContent>
        <mc:Choice Requires="wpg">
          <w:drawing>
            <wp:anchor distT="0" distB="0" distL="114300" distR="114300" simplePos="0" relativeHeight="251669504" behindDoc="0" locked="0" layoutInCell="1" allowOverlap="1" wp14:anchorId="4CC05A45" wp14:editId="0A53F1F8">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8D9" w:rsidRPr="00DE4269" w:rsidRDefault="005678D9"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05A45" id="9 Grupo" o:spid="_x0000_s1103"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zY25eBAAAmQ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YC96SxEc2cryBbilJJQDqBvwioNGI9UPj+zhRbTw9N87itdc+yCA&#10;WlkYx1jzbCee4dVM1PnM9nyGigJMLTzjEddcGujBll2veN3ASY7MQt7CA6HitgSdvIJIsAPasy37&#10;/rHRDW81fGCd9+2q04vy5j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4"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p3CAAAA2gAAAA8AAABkcnMvZG93bnJldi54bWxEj81qAjEUhfdC3yHcgjsnowup04kyFARB&#10;F1UL7fIyuZ0MTW6mSdTp25tCocvD+fk49WZ0VlwpxN6zgnlRgiBuve65U/B23s6eQMSErNF6JgU/&#10;FGGzfpjUWGl/4yNdT6kTeYRjhQpMSkMlZWwNOYyFH4iz9+mDw5Rl6KQOeMvjzspFWS6lw54zweBA&#10;L4bar9PFZcj36jWW3bvZWqn13swbe/holJo+js0ziERj+g//tXdawRJ+r+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KdwgAAANoAAAAPAAAAAAAAAAAAAAAAAJ8C&#10;AABkcnMvZG93bnJldi54bWxQSwUGAAAAAAQABAD3AAAAjgMAAAAA&#10;">
                <v:imagedata r:id="rId2" o:title="" croptop="4055f" cropbottom="57131f" cropleft="36353f" cropright="28433f"/>
                <v:path arrowok="t"/>
              </v:shape>
              <v:shape id="Text Box 7" o:spid="_x0000_s1105"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5678D9" w:rsidRPr="00DE4269" w:rsidRDefault="005678D9"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txbxContent>
                </v:textbox>
              </v:shape>
            </v:group>
          </w:pict>
        </mc:Fallback>
      </mc:AlternateContent>
    </w:r>
    <w:r w:rsidR="005678D9">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DD0F310" wp14:editId="04099D0F">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8D9" w:rsidRPr="003527CD" w:rsidRDefault="005678D9"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48F0634"/>
    <w:multiLevelType w:val="hybridMultilevel"/>
    <w:tmpl w:val="65B437D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nsid w:val="73B23C02"/>
    <w:multiLevelType w:val="hybridMultilevel"/>
    <w:tmpl w:val="B290C2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3">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15"/>
  </w:num>
  <w:num w:numId="4">
    <w:abstractNumId w:val="9"/>
  </w:num>
  <w:num w:numId="5">
    <w:abstractNumId w:val="12"/>
  </w:num>
  <w:num w:numId="6">
    <w:abstractNumId w:val="23"/>
  </w:num>
  <w:num w:numId="7">
    <w:abstractNumId w:val="19"/>
  </w:num>
  <w:num w:numId="8">
    <w:abstractNumId w:val="16"/>
  </w:num>
  <w:num w:numId="9">
    <w:abstractNumId w:val="8"/>
  </w:num>
  <w:num w:numId="10">
    <w:abstractNumId w:val="3"/>
  </w:num>
  <w:num w:numId="11">
    <w:abstractNumId w:val="0"/>
  </w:num>
  <w:num w:numId="12">
    <w:abstractNumId w:val="6"/>
  </w:num>
  <w:num w:numId="13">
    <w:abstractNumId w:val="20"/>
  </w:num>
  <w:num w:numId="14">
    <w:abstractNumId w:val="17"/>
  </w:num>
  <w:num w:numId="15">
    <w:abstractNumId w:val="11"/>
  </w:num>
  <w:num w:numId="16">
    <w:abstractNumId w:val="2"/>
  </w:num>
  <w:num w:numId="17">
    <w:abstractNumId w:val="10"/>
  </w:num>
  <w:num w:numId="18">
    <w:abstractNumId w:val="14"/>
  </w:num>
  <w:num w:numId="19">
    <w:abstractNumId w:val="13"/>
  </w:num>
  <w:num w:numId="20">
    <w:abstractNumId w:val="5"/>
  </w:num>
  <w:num w:numId="21">
    <w:abstractNumId w:val="7"/>
  </w:num>
  <w:num w:numId="22">
    <w:abstractNumId w:val="22"/>
  </w:num>
  <w:num w:numId="23">
    <w:abstractNumId w:val="21"/>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25C"/>
    <w:rsid w:val="00001107"/>
    <w:rsid w:val="000024D1"/>
    <w:rsid w:val="000040CE"/>
    <w:rsid w:val="000053D1"/>
    <w:rsid w:val="000060C0"/>
    <w:rsid w:val="00006217"/>
    <w:rsid w:val="0001342E"/>
    <w:rsid w:val="000155BC"/>
    <w:rsid w:val="000164D8"/>
    <w:rsid w:val="000202A5"/>
    <w:rsid w:val="00021787"/>
    <w:rsid w:val="00026C0E"/>
    <w:rsid w:val="000271C8"/>
    <w:rsid w:val="00031160"/>
    <w:rsid w:val="00031DC4"/>
    <w:rsid w:val="00032921"/>
    <w:rsid w:val="00037045"/>
    <w:rsid w:val="00037E57"/>
    <w:rsid w:val="00040466"/>
    <w:rsid w:val="000417DA"/>
    <w:rsid w:val="00043D1E"/>
    <w:rsid w:val="00043F64"/>
    <w:rsid w:val="0004567A"/>
    <w:rsid w:val="00045A10"/>
    <w:rsid w:val="0004695D"/>
    <w:rsid w:val="00054C4D"/>
    <w:rsid w:val="00056EDF"/>
    <w:rsid w:val="000574E6"/>
    <w:rsid w:val="00062509"/>
    <w:rsid w:val="00063159"/>
    <w:rsid w:val="000655E4"/>
    <w:rsid w:val="0006610A"/>
    <w:rsid w:val="0006668A"/>
    <w:rsid w:val="0006755E"/>
    <w:rsid w:val="00072BA1"/>
    <w:rsid w:val="0007519E"/>
    <w:rsid w:val="00076E1D"/>
    <w:rsid w:val="0008099F"/>
    <w:rsid w:val="00084D46"/>
    <w:rsid w:val="00090FD9"/>
    <w:rsid w:val="0009604B"/>
    <w:rsid w:val="00097255"/>
    <w:rsid w:val="000A00F8"/>
    <w:rsid w:val="000A4867"/>
    <w:rsid w:val="000A5776"/>
    <w:rsid w:val="000A58AB"/>
    <w:rsid w:val="000A7734"/>
    <w:rsid w:val="000A7AB8"/>
    <w:rsid w:val="000B54AD"/>
    <w:rsid w:val="000B552D"/>
    <w:rsid w:val="000B62E8"/>
    <w:rsid w:val="000B6E5A"/>
    <w:rsid w:val="000C6E95"/>
    <w:rsid w:val="000D01E9"/>
    <w:rsid w:val="000D0EE3"/>
    <w:rsid w:val="000D4D45"/>
    <w:rsid w:val="000D553D"/>
    <w:rsid w:val="000E0A96"/>
    <w:rsid w:val="000E10A7"/>
    <w:rsid w:val="000E4072"/>
    <w:rsid w:val="000E5C7A"/>
    <w:rsid w:val="000E6692"/>
    <w:rsid w:val="000F0E08"/>
    <w:rsid w:val="000F1B18"/>
    <w:rsid w:val="000F5D5C"/>
    <w:rsid w:val="000F7AB4"/>
    <w:rsid w:val="00100FD7"/>
    <w:rsid w:val="0010182C"/>
    <w:rsid w:val="00105410"/>
    <w:rsid w:val="00111884"/>
    <w:rsid w:val="00112770"/>
    <w:rsid w:val="001130E9"/>
    <w:rsid w:val="001156F5"/>
    <w:rsid w:val="00115E5C"/>
    <w:rsid w:val="00115FAF"/>
    <w:rsid w:val="00117F03"/>
    <w:rsid w:val="001203B5"/>
    <w:rsid w:val="00120A86"/>
    <w:rsid w:val="001210DD"/>
    <w:rsid w:val="00121982"/>
    <w:rsid w:val="00123461"/>
    <w:rsid w:val="001234D1"/>
    <w:rsid w:val="0013011C"/>
    <w:rsid w:val="00131CD1"/>
    <w:rsid w:val="001330F9"/>
    <w:rsid w:val="00134F21"/>
    <w:rsid w:val="00136E7D"/>
    <w:rsid w:val="00142035"/>
    <w:rsid w:val="001435CE"/>
    <w:rsid w:val="00144A5D"/>
    <w:rsid w:val="0014540D"/>
    <w:rsid w:val="001528B7"/>
    <w:rsid w:val="00161865"/>
    <w:rsid w:val="0016242F"/>
    <w:rsid w:val="001635E1"/>
    <w:rsid w:val="00165BB4"/>
    <w:rsid w:val="001660FE"/>
    <w:rsid w:val="00172B7D"/>
    <w:rsid w:val="00174F47"/>
    <w:rsid w:val="001769D8"/>
    <w:rsid w:val="0018603D"/>
    <w:rsid w:val="001872A3"/>
    <w:rsid w:val="00191085"/>
    <w:rsid w:val="00192770"/>
    <w:rsid w:val="00192B86"/>
    <w:rsid w:val="00193B2D"/>
    <w:rsid w:val="001A3F6A"/>
    <w:rsid w:val="001A575F"/>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04F06"/>
    <w:rsid w:val="00206E09"/>
    <w:rsid w:val="00212203"/>
    <w:rsid w:val="00221C53"/>
    <w:rsid w:val="0022227A"/>
    <w:rsid w:val="00223CE1"/>
    <w:rsid w:val="0022440F"/>
    <w:rsid w:val="00227B93"/>
    <w:rsid w:val="00230B71"/>
    <w:rsid w:val="00236748"/>
    <w:rsid w:val="002431DD"/>
    <w:rsid w:val="00245A63"/>
    <w:rsid w:val="00245E54"/>
    <w:rsid w:val="00247AD7"/>
    <w:rsid w:val="00251F0D"/>
    <w:rsid w:val="00255476"/>
    <w:rsid w:val="0025735F"/>
    <w:rsid w:val="00261B45"/>
    <w:rsid w:val="0026333F"/>
    <w:rsid w:val="00264426"/>
    <w:rsid w:val="002705C0"/>
    <w:rsid w:val="00270EC8"/>
    <w:rsid w:val="00272E20"/>
    <w:rsid w:val="0027627B"/>
    <w:rsid w:val="00280CD3"/>
    <w:rsid w:val="002858C7"/>
    <w:rsid w:val="00287D90"/>
    <w:rsid w:val="00290A24"/>
    <w:rsid w:val="00295D09"/>
    <w:rsid w:val="00295FCC"/>
    <w:rsid w:val="002A2013"/>
    <w:rsid w:val="002A70B3"/>
    <w:rsid w:val="002A728F"/>
    <w:rsid w:val="002B0770"/>
    <w:rsid w:val="002B32BF"/>
    <w:rsid w:val="002B4828"/>
    <w:rsid w:val="002B547F"/>
    <w:rsid w:val="002B7C62"/>
    <w:rsid w:val="002C0A9F"/>
    <w:rsid w:val="002C479E"/>
    <w:rsid w:val="002C4A76"/>
    <w:rsid w:val="002C4E19"/>
    <w:rsid w:val="002C55F6"/>
    <w:rsid w:val="002C5ACA"/>
    <w:rsid w:val="002D0278"/>
    <w:rsid w:val="002D22E8"/>
    <w:rsid w:val="002D2BEE"/>
    <w:rsid w:val="002D7AEB"/>
    <w:rsid w:val="002E3C2E"/>
    <w:rsid w:val="002E4A3B"/>
    <w:rsid w:val="002E52F9"/>
    <w:rsid w:val="002F346F"/>
    <w:rsid w:val="002F546C"/>
    <w:rsid w:val="00300EF3"/>
    <w:rsid w:val="003021C2"/>
    <w:rsid w:val="0030292A"/>
    <w:rsid w:val="00302E39"/>
    <w:rsid w:val="00311255"/>
    <w:rsid w:val="00312040"/>
    <w:rsid w:val="00313AEB"/>
    <w:rsid w:val="003156F1"/>
    <w:rsid w:val="003171B4"/>
    <w:rsid w:val="0032152C"/>
    <w:rsid w:val="0032384C"/>
    <w:rsid w:val="00323D16"/>
    <w:rsid w:val="00324311"/>
    <w:rsid w:val="00327048"/>
    <w:rsid w:val="00327701"/>
    <w:rsid w:val="00327740"/>
    <w:rsid w:val="00331185"/>
    <w:rsid w:val="00332091"/>
    <w:rsid w:val="0033398C"/>
    <w:rsid w:val="00336B8F"/>
    <w:rsid w:val="00351921"/>
    <w:rsid w:val="003527CD"/>
    <w:rsid w:val="003530FB"/>
    <w:rsid w:val="00354047"/>
    <w:rsid w:val="0035405F"/>
    <w:rsid w:val="0035468F"/>
    <w:rsid w:val="00356170"/>
    <w:rsid w:val="003612CA"/>
    <w:rsid w:val="003638C1"/>
    <w:rsid w:val="00365BA0"/>
    <w:rsid w:val="00370FF6"/>
    <w:rsid w:val="00372F40"/>
    <w:rsid w:val="00374856"/>
    <w:rsid w:val="00374E36"/>
    <w:rsid w:val="00375F89"/>
    <w:rsid w:val="00380E8C"/>
    <w:rsid w:val="00380EE2"/>
    <w:rsid w:val="003811EC"/>
    <w:rsid w:val="00382E8F"/>
    <w:rsid w:val="00383BCB"/>
    <w:rsid w:val="0038695F"/>
    <w:rsid w:val="00386DD7"/>
    <w:rsid w:val="00386E53"/>
    <w:rsid w:val="003900E3"/>
    <w:rsid w:val="00390936"/>
    <w:rsid w:val="00390A9A"/>
    <w:rsid w:val="00393281"/>
    <w:rsid w:val="00393659"/>
    <w:rsid w:val="0039454B"/>
    <w:rsid w:val="003951A0"/>
    <w:rsid w:val="00396C2B"/>
    <w:rsid w:val="003A0303"/>
    <w:rsid w:val="003A072B"/>
    <w:rsid w:val="003A3013"/>
    <w:rsid w:val="003A6C39"/>
    <w:rsid w:val="003A731F"/>
    <w:rsid w:val="003A7ADE"/>
    <w:rsid w:val="003B1B0C"/>
    <w:rsid w:val="003B55DA"/>
    <w:rsid w:val="003C35FE"/>
    <w:rsid w:val="003C3B3A"/>
    <w:rsid w:val="003C422B"/>
    <w:rsid w:val="003C4805"/>
    <w:rsid w:val="003C4DC7"/>
    <w:rsid w:val="003C5C30"/>
    <w:rsid w:val="003C7A1D"/>
    <w:rsid w:val="003D0221"/>
    <w:rsid w:val="003D1331"/>
    <w:rsid w:val="003D2E3D"/>
    <w:rsid w:val="003D56C9"/>
    <w:rsid w:val="003D5DBF"/>
    <w:rsid w:val="003D6079"/>
    <w:rsid w:val="003E33EF"/>
    <w:rsid w:val="003E3D38"/>
    <w:rsid w:val="003E4F44"/>
    <w:rsid w:val="003E63CA"/>
    <w:rsid w:val="003E6BD8"/>
    <w:rsid w:val="003E7FD0"/>
    <w:rsid w:val="003F0340"/>
    <w:rsid w:val="003F0EA4"/>
    <w:rsid w:val="003F16E6"/>
    <w:rsid w:val="003F2A03"/>
    <w:rsid w:val="003F5C80"/>
    <w:rsid w:val="003F6942"/>
    <w:rsid w:val="003F6B56"/>
    <w:rsid w:val="003F7393"/>
    <w:rsid w:val="00401A74"/>
    <w:rsid w:val="0040301B"/>
    <w:rsid w:val="00403B4B"/>
    <w:rsid w:val="0040746E"/>
    <w:rsid w:val="004076AC"/>
    <w:rsid w:val="0041065F"/>
    <w:rsid w:val="00411B83"/>
    <w:rsid w:val="00412CB0"/>
    <w:rsid w:val="00415099"/>
    <w:rsid w:val="004213BC"/>
    <w:rsid w:val="00424251"/>
    <w:rsid w:val="004306DA"/>
    <w:rsid w:val="004311BE"/>
    <w:rsid w:val="004373B9"/>
    <w:rsid w:val="00441E7C"/>
    <w:rsid w:val="0044253C"/>
    <w:rsid w:val="004466A7"/>
    <w:rsid w:val="00451963"/>
    <w:rsid w:val="00454129"/>
    <w:rsid w:val="00454250"/>
    <w:rsid w:val="00463B0D"/>
    <w:rsid w:val="0046425D"/>
    <w:rsid w:val="00464409"/>
    <w:rsid w:val="004644D4"/>
    <w:rsid w:val="004649FD"/>
    <w:rsid w:val="00466C1E"/>
    <w:rsid w:val="004714CF"/>
    <w:rsid w:val="00474420"/>
    <w:rsid w:val="00480F7F"/>
    <w:rsid w:val="004842C3"/>
    <w:rsid w:val="00484C0D"/>
    <w:rsid w:val="00484E35"/>
    <w:rsid w:val="00487AC2"/>
    <w:rsid w:val="0049279C"/>
    <w:rsid w:val="00493E27"/>
    <w:rsid w:val="00496633"/>
    <w:rsid w:val="00497D8B"/>
    <w:rsid w:val="004A07A5"/>
    <w:rsid w:val="004A56B0"/>
    <w:rsid w:val="004A67F1"/>
    <w:rsid w:val="004A6987"/>
    <w:rsid w:val="004A7484"/>
    <w:rsid w:val="004B04CF"/>
    <w:rsid w:val="004B1994"/>
    <w:rsid w:val="004B1F00"/>
    <w:rsid w:val="004B2344"/>
    <w:rsid w:val="004B263B"/>
    <w:rsid w:val="004B5686"/>
    <w:rsid w:val="004C0ECA"/>
    <w:rsid w:val="004C1616"/>
    <w:rsid w:val="004C4F16"/>
    <w:rsid w:val="004C5E7B"/>
    <w:rsid w:val="004D30E1"/>
    <w:rsid w:val="004D3E91"/>
    <w:rsid w:val="004D41B8"/>
    <w:rsid w:val="004D5BEA"/>
    <w:rsid w:val="004E3EA4"/>
    <w:rsid w:val="004E6076"/>
    <w:rsid w:val="004F542A"/>
    <w:rsid w:val="004F5641"/>
    <w:rsid w:val="0050183B"/>
    <w:rsid w:val="00502DDD"/>
    <w:rsid w:val="00503454"/>
    <w:rsid w:val="00513054"/>
    <w:rsid w:val="00513E7E"/>
    <w:rsid w:val="00514F2B"/>
    <w:rsid w:val="00516599"/>
    <w:rsid w:val="0052034A"/>
    <w:rsid w:val="00521715"/>
    <w:rsid w:val="00521728"/>
    <w:rsid w:val="00522632"/>
    <w:rsid w:val="00522815"/>
    <w:rsid w:val="00522EF3"/>
    <w:rsid w:val="005243D9"/>
    <w:rsid w:val="0052562F"/>
    <w:rsid w:val="0052637F"/>
    <w:rsid w:val="00530DED"/>
    <w:rsid w:val="0053277D"/>
    <w:rsid w:val="005327CE"/>
    <w:rsid w:val="0053400D"/>
    <w:rsid w:val="00534F38"/>
    <w:rsid w:val="00540418"/>
    <w:rsid w:val="00543F97"/>
    <w:rsid w:val="00545527"/>
    <w:rsid w:val="00550363"/>
    <w:rsid w:val="00553CB3"/>
    <w:rsid w:val="00556D2F"/>
    <w:rsid w:val="00556DC7"/>
    <w:rsid w:val="0056081A"/>
    <w:rsid w:val="00562D1C"/>
    <w:rsid w:val="00563458"/>
    <w:rsid w:val="00565576"/>
    <w:rsid w:val="005678D9"/>
    <w:rsid w:val="00567FA2"/>
    <w:rsid w:val="00570444"/>
    <w:rsid w:val="005712C2"/>
    <w:rsid w:val="00574266"/>
    <w:rsid w:val="00574570"/>
    <w:rsid w:val="00575EE0"/>
    <w:rsid w:val="005768EA"/>
    <w:rsid w:val="00576C8C"/>
    <w:rsid w:val="00577617"/>
    <w:rsid w:val="00584F08"/>
    <w:rsid w:val="0058542E"/>
    <w:rsid w:val="00585D38"/>
    <w:rsid w:val="00587618"/>
    <w:rsid w:val="005876AE"/>
    <w:rsid w:val="0059084C"/>
    <w:rsid w:val="00590C01"/>
    <w:rsid w:val="00592B24"/>
    <w:rsid w:val="005A3CCB"/>
    <w:rsid w:val="005A53BA"/>
    <w:rsid w:val="005A57AD"/>
    <w:rsid w:val="005B048C"/>
    <w:rsid w:val="005B0F75"/>
    <w:rsid w:val="005B1C69"/>
    <w:rsid w:val="005B5639"/>
    <w:rsid w:val="005C02A4"/>
    <w:rsid w:val="005C0F25"/>
    <w:rsid w:val="005C1613"/>
    <w:rsid w:val="005C1E73"/>
    <w:rsid w:val="005C36E3"/>
    <w:rsid w:val="005C4BC3"/>
    <w:rsid w:val="005D3D25"/>
    <w:rsid w:val="005D5223"/>
    <w:rsid w:val="005D568E"/>
    <w:rsid w:val="005E68A5"/>
    <w:rsid w:val="005E7914"/>
    <w:rsid w:val="005F17A8"/>
    <w:rsid w:val="005F253A"/>
    <w:rsid w:val="005F3B9E"/>
    <w:rsid w:val="005F4F77"/>
    <w:rsid w:val="005F52B3"/>
    <w:rsid w:val="005F7D1B"/>
    <w:rsid w:val="00600110"/>
    <w:rsid w:val="00600878"/>
    <w:rsid w:val="00601D73"/>
    <w:rsid w:val="00602E51"/>
    <w:rsid w:val="00603BFE"/>
    <w:rsid w:val="006049C8"/>
    <w:rsid w:val="00605027"/>
    <w:rsid w:val="0060657D"/>
    <w:rsid w:val="006071BA"/>
    <w:rsid w:val="00612203"/>
    <w:rsid w:val="00612216"/>
    <w:rsid w:val="006132FB"/>
    <w:rsid w:val="00622823"/>
    <w:rsid w:val="00623ACB"/>
    <w:rsid w:val="006253D1"/>
    <w:rsid w:val="00632109"/>
    <w:rsid w:val="00632C87"/>
    <w:rsid w:val="006331B3"/>
    <w:rsid w:val="0063488B"/>
    <w:rsid w:val="006356AA"/>
    <w:rsid w:val="00637A48"/>
    <w:rsid w:val="006401A1"/>
    <w:rsid w:val="006429DB"/>
    <w:rsid w:val="0064409F"/>
    <w:rsid w:val="006519BC"/>
    <w:rsid w:val="00651FB7"/>
    <w:rsid w:val="006537A5"/>
    <w:rsid w:val="00653A66"/>
    <w:rsid w:val="0065446E"/>
    <w:rsid w:val="0065525F"/>
    <w:rsid w:val="00655EB2"/>
    <w:rsid w:val="00660015"/>
    <w:rsid w:val="00661A17"/>
    <w:rsid w:val="006653EB"/>
    <w:rsid w:val="0067443A"/>
    <w:rsid w:val="00675B86"/>
    <w:rsid w:val="00677384"/>
    <w:rsid w:val="006774BF"/>
    <w:rsid w:val="00693B49"/>
    <w:rsid w:val="006942ED"/>
    <w:rsid w:val="006944EF"/>
    <w:rsid w:val="006A04E9"/>
    <w:rsid w:val="006A289F"/>
    <w:rsid w:val="006A33FB"/>
    <w:rsid w:val="006B1FE7"/>
    <w:rsid w:val="006C2C92"/>
    <w:rsid w:val="006C54B8"/>
    <w:rsid w:val="006D2166"/>
    <w:rsid w:val="006D3DF1"/>
    <w:rsid w:val="006D5097"/>
    <w:rsid w:val="006D5AC5"/>
    <w:rsid w:val="006E2D9E"/>
    <w:rsid w:val="006E77DD"/>
    <w:rsid w:val="006E7F02"/>
    <w:rsid w:val="006F0CCF"/>
    <w:rsid w:val="006F2058"/>
    <w:rsid w:val="006F23B1"/>
    <w:rsid w:val="006F4379"/>
    <w:rsid w:val="006F4C3C"/>
    <w:rsid w:val="006F6AC2"/>
    <w:rsid w:val="007004C7"/>
    <w:rsid w:val="00702079"/>
    <w:rsid w:val="0070431B"/>
    <w:rsid w:val="00707693"/>
    <w:rsid w:val="007103D4"/>
    <w:rsid w:val="007149DA"/>
    <w:rsid w:val="007156AF"/>
    <w:rsid w:val="00721EA3"/>
    <w:rsid w:val="007277F5"/>
    <w:rsid w:val="0073056A"/>
    <w:rsid w:val="007314A9"/>
    <w:rsid w:val="00731CA2"/>
    <w:rsid w:val="00734272"/>
    <w:rsid w:val="0073581C"/>
    <w:rsid w:val="00736F40"/>
    <w:rsid w:val="007375D6"/>
    <w:rsid w:val="007420CD"/>
    <w:rsid w:val="00742C34"/>
    <w:rsid w:val="007439D3"/>
    <w:rsid w:val="00757C3E"/>
    <w:rsid w:val="00764D64"/>
    <w:rsid w:val="00770054"/>
    <w:rsid w:val="00771422"/>
    <w:rsid w:val="007723AF"/>
    <w:rsid w:val="00773A43"/>
    <w:rsid w:val="00773EBC"/>
    <w:rsid w:val="007769DF"/>
    <w:rsid w:val="00776BBF"/>
    <w:rsid w:val="00777526"/>
    <w:rsid w:val="007818C3"/>
    <w:rsid w:val="00782910"/>
    <w:rsid w:val="00786193"/>
    <w:rsid w:val="0079158C"/>
    <w:rsid w:val="00794967"/>
    <w:rsid w:val="0079582C"/>
    <w:rsid w:val="00796CB0"/>
    <w:rsid w:val="007972C6"/>
    <w:rsid w:val="007A1F12"/>
    <w:rsid w:val="007A799B"/>
    <w:rsid w:val="007B2FE4"/>
    <w:rsid w:val="007B4793"/>
    <w:rsid w:val="007B72F6"/>
    <w:rsid w:val="007B7847"/>
    <w:rsid w:val="007C12A7"/>
    <w:rsid w:val="007C5324"/>
    <w:rsid w:val="007C590E"/>
    <w:rsid w:val="007C7BD7"/>
    <w:rsid w:val="007D1332"/>
    <w:rsid w:val="007D4702"/>
    <w:rsid w:val="007D59DE"/>
    <w:rsid w:val="007D6E9A"/>
    <w:rsid w:val="007D7D18"/>
    <w:rsid w:val="007E6739"/>
    <w:rsid w:val="007E7450"/>
    <w:rsid w:val="007E7A7E"/>
    <w:rsid w:val="007F00B0"/>
    <w:rsid w:val="007F4F8F"/>
    <w:rsid w:val="00800925"/>
    <w:rsid w:val="00800EC0"/>
    <w:rsid w:val="00802736"/>
    <w:rsid w:val="00802B2A"/>
    <w:rsid w:val="00807FF7"/>
    <w:rsid w:val="00810D49"/>
    <w:rsid w:val="00811DAC"/>
    <w:rsid w:val="00817DFF"/>
    <w:rsid w:val="00820352"/>
    <w:rsid w:val="00822CD5"/>
    <w:rsid w:val="00826474"/>
    <w:rsid w:val="008276B2"/>
    <w:rsid w:val="0083223B"/>
    <w:rsid w:val="00832955"/>
    <w:rsid w:val="0083335C"/>
    <w:rsid w:val="00840E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9FD"/>
    <w:rsid w:val="00866F4E"/>
    <w:rsid w:val="00872C30"/>
    <w:rsid w:val="008742BD"/>
    <w:rsid w:val="0087478F"/>
    <w:rsid w:val="00876082"/>
    <w:rsid w:val="008805C8"/>
    <w:rsid w:val="00881BEF"/>
    <w:rsid w:val="00883D58"/>
    <w:rsid w:val="0089054E"/>
    <w:rsid w:val="00894C50"/>
    <w:rsid w:val="00895EF7"/>
    <w:rsid w:val="008966AD"/>
    <w:rsid w:val="00897AB8"/>
    <w:rsid w:val="00897BFB"/>
    <w:rsid w:val="008A1478"/>
    <w:rsid w:val="008A1B6F"/>
    <w:rsid w:val="008A6069"/>
    <w:rsid w:val="008A6A9C"/>
    <w:rsid w:val="008A6E02"/>
    <w:rsid w:val="008A6E4D"/>
    <w:rsid w:val="008A793D"/>
    <w:rsid w:val="008A79E4"/>
    <w:rsid w:val="008A7F6B"/>
    <w:rsid w:val="008B0017"/>
    <w:rsid w:val="008B092A"/>
    <w:rsid w:val="008B17FD"/>
    <w:rsid w:val="008B3A8C"/>
    <w:rsid w:val="008B4143"/>
    <w:rsid w:val="008B59D6"/>
    <w:rsid w:val="008B5B85"/>
    <w:rsid w:val="008C155F"/>
    <w:rsid w:val="008C2121"/>
    <w:rsid w:val="008C568D"/>
    <w:rsid w:val="008D0B37"/>
    <w:rsid w:val="008D64D4"/>
    <w:rsid w:val="008D7129"/>
    <w:rsid w:val="008E3652"/>
    <w:rsid w:val="008E3672"/>
    <w:rsid w:val="008E49AB"/>
    <w:rsid w:val="008E5316"/>
    <w:rsid w:val="008F056B"/>
    <w:rsid w:val="008F0CF5"/>
    <w:rsid w:val="008F45AC"/>
    <w:rsid w:val="008F4733"/>
    <w:rsid w:val="008F4EF3"/>
    <w:rsid w:val="008F5430"/>
    <w:rsid w:val="008F6D58"/>
    <w:rsid w:val="008F6EFE"/>
    <w:rsid w:val="008F708E"/>
    <w:rsid w:val="00902118"/>
    <w:rsid w:val="00906016"/>
    <w:rsid w:val="00910949"/>
    <w:rsid w:val="0091195E"/>
    <w:rsid w:val="0091566D"/>
    <w:rsid w:val="0091612C"/>
    <w:rsid w:val="00916652"/>
    <w:rsid w:val="00917A1B"/>
    <w:rsid w:val="00917AC1"/>
    <w:rsid w:val="00917FE3"/>
    <w:rsid w:val="00922515"/>
    <w:rsid w:val="00923251"/>
    <w:rsid w:val="00923D9A"/>
    <w:rsid w:val="009244C1"/>
    <w:rsid w:val="0092487E"/>
    <w:rsid w:val="0092553A"/>
    <w:rsid w:val="00927BA4"/>
    <w:rsid w:val="00932300"/>
    <w:rsid w:val="0093492C"/>
    <w:rsid w:val="009364B7"/>
    <w:rsid w:val="00940901"/>
    <w:rsid w:val="0094113D"/>
    <w:rsid w:val="009418D0"/>
    <w:rsid w:val="00941FB8"/>
    <w:rsid w:val="009437BD"/>
    <w:rsid w:val="009458FF"/>
    <w:rsid w:val="0095031E"/>
    <w:rsid w:val="00952714"/>
    <w:rsid w:val="00953127"/>
    <w:rsid w:val="00954137"/>
    <w:rsid w:val="00955BF1"/>
    <w:rsid w:val="00957043"/>
    <w:rsid w:val="00957060"/>
    <w:rsid w:val="00957510"/>
    <w:rsid w:val="00960EC6"/>
    <w:rsid w:val="009632A0"/>
    <w:rsid w:val="00964A60"/>
    <w:rsid w:val="0096610B"/>
    <w:rsid w:val="00966C57"/>
    <w:rsid w:val="0097113C"/>
    <w:rsid w:val="009743B6"/>
    <w:rsid w:val="00974D23"/>
    <w:rsid w:val="00975CBF"/>
    <w:rsid w:val="00980D38"/>
    <w:rsid w:val="00986365"/>
    <w:rsid w:val="009869E9"/>
    <w:rsid w:val="00986BC3"/>
    <w:rsid w:val="00987EEE"/>
    <w:rsid w:val="00991656"/>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6E8E"/>
    <w:rsid w:val="009C74FB"/>
    <w:rsid w:val="009D20E7"/>
    <w:rsid w:val="009D5D4C"/>
    <w:rsid w:val="009D779E"/>
    <w:rsid w:val="009E51F8"/>
    <w:rsid w:val="009E6B23"/>
    <w:rsid w:val="009F239C"/>
    <w:rsid w:val="009F23C4"/>
    <w:rsid w:val="009F270C"/>
    <w:rsid w:val="009F564C"/>
    <w:rsid w:val="009F5E29"/>
    <w:rsid w:val="00A018A3"/>
    <w:rsid w:val="00A01B1B"/>
    <w:rsid w:val="00A02E76"/>
    <w:rsid w:val="00A045DD"/>
    <w:rsid w:val="00A06D66"/>
    <w:rsid w:val="00A073BF"/>
    <w:rsid w:val="00A14DCC"/>
    <w:rsid w:val="00A235BA"/>
    <w:rsid w:val="00A23892"/>
    <w:rsid w:val="00A23B93"/>
    <w:rsid w:val="00A33146"/>
    <w:rsid w:val="00A344CA"/>
    <w:rsid w:val="00A35A05"/>
    <w:rsid w:val="00A363B6"/>
    <w:rsid w:val="00A37637"/>
    <w:rsid w:val="00A421CE"/>
    <w:rsid w:val="00A450C9"/>
    <w:rsid w:val="00A4545A"/>
    <w:rsid w:val="00A45D7D"/>
    <w:rsid w:val="00A46101"/>
    <w:rsid w:val="00A46BF5"/>
    <w:rsid w:val="00A47F7A"/>
    <w:rsid w:val="00A501B6"/>
    <w:rsid w:val="00A51521"/>
    <w:rsid w:val="00A52E61"/>
    <w:rsid w:val="00A54D75"/>
    <w:rsid w:val="00A55A0E"/>
    <w:rsid w:val="00A56327"/>
    <w:rsid w:val="00A65407"/>
    <w:rsid w:val="00A70107"/>
    <w:rsid w:val="00A74CAF"/>
    <w:rsid w:val="00A764EF"/>
    <w:rsid w:val="00A8050B"/>
    <w:rsid w:val="00A8077E"/>
    <w:rsid w:val="00A8166B"/>
    <w:rsid w:val="00A85EE5"/>
    <w:rsid w:val="00A90E13"/>
    <w:rsid w:val="00A9143E"/>
    <w:rsid w:val="00A94BD0"/>
    <w:rsid w:val="00A94FC9"/>
    <w:rsid w:val="00A95577"/>
    <w:rsid w:val="00A97E66"/>
    <w:rsid w:val="00AA16F7"/>
    <w:rsid w:val="00AA3279"/>
    <w:rsid w:val="00AA6498"/>
    <w:rsid w:val="00AB2062"/>
    <w:rsid w:val="00AB3613"/>
    <w:rsid w:val="00AB5D6A"/>
    <w:rsid w:val="00AC2CB6"/>
    <w:rsid w:val="00AD27C1"/>
    <w:rsid w:val="00AD46DD"/>
    <w:rsid w:val="00AD4F95"/>
    <w:rsid w:val="00AD5E8D"/>
    <w:rsid w:val="00AE0E84"/>
    <w:rsid w:val="00AE30F7"/>
    <w:rsid w:val="00AE32DD"/>
    <w:rsid w:val="00AF08C7"/>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22704"/>
    <w:rsid w:val="00B22AC4"/>
    <w:rsid w:val="00B23F18"/>
    <w:rsid w:val="00B27A40"/>
    <w:rsid w:val="00B32FA6"/>
    <w:rsid w:val="00B33522"/>
    <w:rsid w:val="00B3680C"/>
    <w:rsid w:val="00B36DB2"/>
    <w:rsid w:val="00B37C20"/>
    <w:rsid w:val="00B41E9F"/>
    <w:rsid w:val="00B42449"/>
    <w:rsid w:val="00B50783"/>
    <w:rsid w:val="00B5253D"/>
    <w:rsid w:val="00B611B8"/>
    <w:rsid w:val="00B67BC6"/>
    <w:rsid w:val="00B73EB9"/>
    <w:rsid w:val="00B82BF9"/>
    <w:rsid w:val="00B83E59"/>
    <w:rsid w:val="00B849EE"/>
    <w:rsid w:val="00B84D02"/>
    <w:rsid w:val="00B870E0"/>
    <w:rsid w:val="00B87589"/>
    <w:rsid w:val="00B95032"/>
    <w:rsid w:val="00BA0268"/>
    <w:rsid w:val="00BA1AD8"/>
    <w:rsid w:val="00BA1ADB"/>
    <w:rsid w:val="00BA26B4"/>
    <w:rsid w:val="00BA2940"/>
    <w:rsid w:val="00BA3B1D"/>
    <w:rsid w:val="00BA58E7"/>
    <w:rsid w:val="00BA7B26"/>
    <w:rsid w:val="00BB327F"/>
    <w:rsid w:val="00BB3832"/>
    <w:rsid w:val="00BB7DA9"/>
    <w:rsid w:val="00BC6745"/>
    <w:rsid w:val="00BD1AAF"/>
    <w:rsid w:val="00BD248B"/>
    <w:rsid w:val="00BD2A8B"/>
    <w:rsid w:val="00BD3E4E"/>
    <w:rsid w:val="00BD5837"/>
    <w:rsid w:val="00BD7646"/>
    <w:rsid w:val="00BD7BBB"/>
    <w:rsid w:val="00BE43B1"/>
    <w:rsid w:val="00BE5D56"/>
    <w:rsid w:val="00BE7A98"/>
    <w:rsid w:val="00BF11E1"/>
    <w:rsid w:val="00C00590"/>
    <w:rsid w:val="00C013A1"/>
    <w:rsid w:val="00C01580"/>
    <w:rsid w:val="00C0654D"/>
    <w:rsid w:val="00C105A6"/>
    <w:rsid w:val="00C10C63"/>
    <w:rsid w:val="00C1279C"/>
    <w:rsid w:val="00C14867"/>
    <w:rsid w:val="00C16E53"/>
    <w:rsid w:val="00C17841"/>
    <w:rsid w:val="00C255BB"/>
    <w:rsid w:val="00C26CE0"/>
    <w:rsid w:val="00C27323"/>
    <w:rsid w:val="00C30B88"/>
    <w:rsid w:val="00C346B4"/>
    <w:rsid w:val="00C357D1"/>
    <w:rsid w:val="00C411EA"/>
    <w:rsid w:val="00C431B4"/>
    <w:rsid w:val="00C4471C"/>
    <w:rsid w:val="00C458D3"/>
    <w:rsid w:val="00C502CF"/>
    <w:rsid w:val="00C50527"/>
    <w:rsid w:val="00C509E2"/>
    <w:rsid w:val="00C51FAB"/>
    <w:rsid w:val="00C5304F"/>
    <w:rsid w:val="00C5373A"/>
    <w:rsid w:val="00C53B18"/>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A20"/>
    <w:rsid w:val="00C862B1"/>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B7B1B"/>
    <w:rsid w:val="00CC30F9"/>
    <w:rsid w:val="00CC378C"/>
    <w:rsid w:val="00CC3E10"/>
    <w:rsid w:val="00CC4BA1"/>
    <w:rsid w:val="00CC58DC"/>
    <w:rsid w:val="00CC60A4"/>
    <w:rsid w:val="00CC60E1"/>
    <w:rsid w:val="00CC6ACD"/>
    <w:rsid w:val="00CD299E"/>
    <w:rsid w:val="00CD656B"/>
    <w:rsid w:val="00CD6D9A"/>
    <w:rsid w:val="00CD7F3F"/>
    <w:rsid w:val="00CE038F"/>
    <w:rsid w:val="00CE45FC"/>
    <w:rsid w:val="00CE5C1A"/>
    <w:rsid w:val="00CF2D36"/>
    <w:rsid w:val="00CF342E"/>
    <w:rsid w:val="00D00E92"/>
    <w:rsid w:val="00D055EC"/>
    <w:rsid w:val="00D11F33"/>
    <w:rsid w:val="00D12816"/>
    <w:rsid w:val="00D13E7D"/>
    <w:rsid w:val="00D14208"/>
    <w:rsid w:val="00D1757C"/>
    <w:rsid w:val="00D234B6"/>
    <w:rsid w:val="00D254F0"/>
    <w:rsid w:val="00D34D7A"/>
    <w:rsid w:val="00D351EE"/>
    <w:rsid w:val="00D35411"/>
    <w:rsid w:val="00D3669D"/>
    <w:rsid w:val="00D37DC9"/>
    <w:rsid w:val="00D43342"/>
    <w:rsid w:val="00D4394E"/>
    <w:rsid w:val="00D44728"/>
    <w:rsid w:val="00D45237"/>
    <w:rsid w:val="00D52FF5"/>
    <w:rsid w:val="00D55E41"/>
    <w:rsid w:val="00D56088"/>
    <w:rsid w:val="00D562FF"/>
    <w:rsid w:val="00D62468"/>
    <w:rsid w:val="00D628F8"/>
    <w:rsid w:val="00D66910"/>
    <w:rsid w:val="00D6706B"/>
    <w:rsid w:val="00D700D5"/>
    <w:rsid w:val="00D71A33"/>
    <w:rsid w:val="00D73B4D"/>
    <w:rsid w:val="00D7657E"/>
    <w:rsid w:val="00D844B8"/>
    <w:rsid w:val="00D854E6"/>
    <w:rsid w:val="00D8596D"/>
    <w:rsid w:val="00D92473"/>
    <w:rsid w:val="00DA1B01"/>
    <w:rsid w:val="00DA5237"/>
    <w:rsid w:val="00DA68FB"/>
    <w:rsid w:val="00DA6BE0"/>
    <w:rsid w:val="00DB3AF6"/>
    <w:rsid w:val="00DB4C18"/>
    <w:rsid w:val="00DB53FB"/>
    <w:rsid w:val="00DC4EE2"/>
    <w:rsid w:val="00DD136E"/>
    <w:rsid w:val="00DD22DD"/>
    <w:rsid w:val="00DD2474"/>
    <w:rsid w:val="00DD4F48"/>
    <w:rsid w:val="00DD6C54"/>
    <w:rsid w:val="00DD6DC0"/>
    <w:rsid w:val="00DD6FB4"/>
    <w:rsid w:val="00DE2F50"/>
    <w:rsid w:val="00DE4269"/>
    <w:rsid w:val="00DE5274"/>
    <w:rsid w:val="00DE621F"/>
    <w:rsid w:val="00DE62C8"/>
    <w:rsid w:val="00DE6B8B"/>
    <w:rsid w:val="00DF0216"/>
    <w:rsid w:val="00DF2160"/>
    <w:rsid w:val="00DF325D"/>
    <w:rsid w:val="00DF386E"/>
    <w:rsid w:val="00DF56C9"/>
    <w:rsid w:val="00DF6AC4"/>
    <w:rsid w:val="00E004F0"/>
    <w:rsid w:val="00E007EC"/>
    <w:rsid w:val="00E01158"/>
    <w:rsid w:val="00E0449B"/>
    <w:rsid w:val="00E04E64"/>
    <w:rsid w:val="00E06027"/>
    <w:rsid w:val="00E1077F"/>
    <w:rsid w:val="00E119AC"/>
    <w:rsid w:val="00E23867"/>
    <w:rsid w:val="00E23A75"/>
    <w:rsid w:val="00E2421E"/>
    <w:rsid w:val="00E25A1C"/>
    <w:rsid w:val="00E30318"/>
    <w:rsid w:val="00E32708"/>
    <w:rsid w:val="00E32B77"/>
    <w:rsid w:val="00E37034"/>
    <w:rsid w:val="00E37782"/>
    <w:rsid w:val="00E44022"/>
    <w:rsid w:val="00E442EC"/>
    <w:rsid w:val="00E505EF"/>
    <w:rsid w:val="00E545B2"/>
    <w:rsid w:val="00E61CC2"/>
    <w:rsid w:val="00E651B5"/>
    <w:rsid w:val="00E70E56"/>
    <w:rsid w:val="00E75CE5"/>
    <w:rsid w:val="00E768E8"/>
    <w:rsid w:val="00E8055E"/>
    <w:rsid w:val="00E82195"/>
    <w:rsid w:val="00E828CB"/>
    <w:rsid w:val="00E83362"/>
    <w:rsid w:val="00E87962"/>
    <w:rsid w:val="00E90D36"/>
    <w:rsid w:val="00E913D9"/>
    <w:rsid w:val="00E91553"/>
    <w:rsid w:val="00E94AAC"/>
    <w:rsid w:val="00EA186A"/>
    <w:rsid w:val="00EA19C2"/>
    <w:rsid w:val="00EA5418"/>
    <w:rsid w:val="00EA5AD0"/>
    <w:rsid w:val="00EA6727"/>
    <w:rsid w:val="00EA6927"/>
    <w:rsid w:val="00EA6BE9"/>
    <w:rsid w:val="00EB2A4A"/>
    <w:rsid w:val="00EB3D8F"/>
    <w:rsid w:val="00EC0BE3"/>
    <w:rsid w:val="00EC1EBD"/>
    <w:rsid w:val="00EC56A4"/>
    <w:rsid w:val="00EC5C3D"/>
    <w:rsid w:val="00EC61A6"/>
    <w:rsid w:val="00EC7901"/>
    <w:rsid w:val="00ED0858"/>
    <w:rsid w:val="00ED319C"/>
    <w:rsid w:val="00ED518E"/>
    <w:rsid w:val="00ED6109"/>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16A95"/>
    <w:rsid w:val="00F177C0"/>
    <w:rsid w:val="00F17C0D"/>
    <w:rsid w:val="00F20F31"/>
    <w:rsid w:val="00F2612E"/>
    <w:rsid w:val="00F30A85"/>
    <w:rsid w:val="00F32EC8"/>
    <w:rsid w:val="00F34C98"/>
    <w:rsid w:val="00F364E9"/>
    <w:rsid w:val="00F40A84"/>
    <w:rsid w:val="00F424B7"/>
    <w:rsid w:val="00F4519D"/>
    <w:rsid w:val="00F46140"/>
    <w:rsid w:val="00F50FC7"/>
    <w:rsid w:val="00F53A3B"/>
    <w:rsid w:val="00F54856"/>
    <w:rsid w:val="00F54920"/>
    <w:rsid w:val="00F56F0F"/>
    <w:rsid w:val="00F5748D"/>
    <w:rsid w:val="00F600C9"/>
    <w:rsid w:val="00F619D6"/>
    <w:rsid w:val="00F6319C"/>
    <w:rsid w:val="00F6438A"/>
    <w:rsid w:val="00F70304"/>
    <w:rsid w:val="00F72CE6"/>
    <w:rsid w:val="00F755D0"/>
    <w:rsid w:val="00F77058"/>
    <w:rsid w:val="00F775B3"/>
    <w:rsid w:val="00F8125E"/>
    <w:rsid w:val="00F86F78"/>
    <w:rsid w:val="00F8797F"/>
    <w:rsid w:val="00F9019F"/>
    <w:rsid w:val="00F94878"/>
    <w:rsid w:val="00F95FC8"/>
    <w:rsid w:val="00FA1393"/>
    <w:rsid w:val="00FA4CD5"/>
    <w:rsid w:val="00FA7A93"/>
    <w:rsid w:val="00FB1010"/>
    <w:rsid w:val="00FB1547"/>
    <w:rsid w:val="00FB1A7D"/>
    <w:rsid w:val="00FB1D4B"/>
    <w:rsid w:val="00FB6E0E"/>
    <w:rsid w:val="00FC07F4"/>
    <w:rsid w:val="00FC23D9"/>
    <w:rsid w:val="00FC2997"/>
    <w:rsid w:val="00FC3802"/>
    <w:rsid w:val="00FC4B1B"/>
    <w:rsid w:val="00FD5A63"/>
    <w:rsid w:val="00FE0968"/>
    <w:rsid w:val="00FE1848"/>
    <w:rsid w:val="00FE3A70"/>
    <w:rsid w:val="00FE4810"/>
    <w:rsid w:val="00FE6B37"/>
    <w:rsid w:val="00FE7EF5"/>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es.wikipedia.org/wiki/Hidalgo_%28M%C3%A9xico%29" TargetMode="External"/><Relationship Id="rId21" Type="http://schemas.openxmlformats.org/officeDocument/2006/relationships/package" Target="embeddings/Hoja_de_c_lculo_de_Microsoft_Excel7.xlsx"/><Relationship Id="rId34" Type="http://schemas.openxmlformats.org/officeDocument/2006/relationships/hyperlink" Target="http://es.wikipedia.org/wiki/M%C3%A9xico"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hyperlink" Target="http://es.wikipedia.org/wiki/Puebla"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png"/><Relationship Id="rId36" Type="http://schemas.openxmlformats.org/officeDocument/2006/relationships/hyperlink" Target="http://es.wikipedia.org/wiki/Antonio_de_Mendoza" TargetMode="Externa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3.png"/><Relationship Id="rId35" Type="http://schemas.openxmlformats.org/officeDocument/2006/relationships/hyperlink" Target="http://es.wikipedia.org/wiki/Nueva_Espa%C3%B1a" TargetMode="External"/><Relationship Id="rId43"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hyperlink" Target="http://es.wikipedia.org/wiki/Organizaci%C3%B3n_territorial_de_M%C3%A9xico" TargetMode="External"/><Relationship Id="rId38" Type="http://schemas.openxmlformats.org/officeDocument/2006/relationships/hyperlink" Target="http://es.wikipedia.org/wiki/Estado_de_M%C3%A9xico" TargetMode="External"/><Relationship Id="rId20" Type="http://schemas.openxmlformats.org/officeDocument/2006/relationships/image" Target="media/image7.emf"/><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33E7F-B271-4412-86FE-86C27178D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9703</Words>
  <Characters>53371</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62949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Windows User</cp:lastModifiedBy>
  <cp:revision>3</cp:revision>
  <cp:lastPrinted>2020-04-08T16:49:00Z</cp:lastPrinted>
  <dcterms:created xsi:type="dcterms:W3CDTF">2020-07-21T16:25:00Z</dcterms:created>
  <dcterms:modified xsi:type="dcterms:W3CDTF">2020-07-21T16:52:00Z</dcterms:modified>
</cp:coreProperties>
</file>