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E8741E" w:rsidRPr="0073056A" w:rsidRDefault="0035405F" w:rsidP="00E8741E">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E8741E">
        <w:rPr>
          <w:rFonts w:ascii="Arial" w:hAnsi="Arial" w:cs="Arial"/>
          <w:sz w:val="18"/>
          <w:szCs w:val="18"/>
        </w:rPr>
        <w:t>689</w:t>
      </w:r>
      <w:r>
        <w:rPr>
          <w:rFonts w:ascii="Arial" w:hAnsi="Arial" w:cs="Arial"/>
          <w:sz w:val="18"/>
          <w:szCs w:val="18"/>
        </w:rPr>
        <w:t>,</w:t>
      </w:r>
      <w:r w:rsidR="00E8741E">
        <w:rPr>
          <w:rFonts w:ascii="Arial" w:hAnsi="Arial" w:cs="Arial"/>
          <w:sz w:val="18"/>
          <w:szCs w:val="18"/>
        </w:rPr>
        <w:t>118</w:t>
      </w:r>
      <w:r>
        <w:rPr>
          <w:rFonts w:ascii="Arial" w:hAnsi="Arial" w:cs="Arial"/>
          <w:sz w:val="18"/>
          <w:szCs w:val="18"/>
        </w:rPr>
        <w:t>,</w:t>
      </w:r>
      <w:r w:rsidR="00E8741E">
        <w:rPr>
          <w:rFonts w:ascii="Arial" w:hAnsi="Arial" w:cs="Arial"/>
          <w:sz w:val="18"/>
          <w:szCs w:val="18"/>
        </w:rPr>
        <w:t>023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E8741E">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8741E">
        <w:rPr>
          <w:rFonts w:ascii="Arial" w:hAnsi="Arial" w:cs="Arial"/>
          <w:sz w:val="18"/>
          <w:szCs w:val="18"/>
        </w:rPr>
        <w:t>, observando una diferencia de -3%, equivalente a $126,396,622.00 respecto del mismo periodo de 2019.</w:t>
      </w:r>
    </w:p>
    <w:p w:rsidR="0035405F" w:rsidRPr="0073056A" w:rsidRDefault="0035405F" w:rsidP="0035405F">
      <w:pPr>
        <w:ind w:left="284"/>
        <w:jc w:val="both"/>
        <w:rPr>
          <w:rFonts w:ascii="Arial" w:hAnsi="Arial" w:cs="Arial"/>
          <w:sz w:val="18"/>
          <w:szCs w:val="18"/>
        </w:rPr>
      </w:pP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923720">
        <w:rPr>
          <w:rFonts w:ascii="Arial" w:hAnsi="Arial" w:cs="Arial"/>
          <w:sz w:val="18"/>
          <w:szCs w:val="18"/>
        </w:rPr>
        <w:t>55</w:t>
      </w:r>
      <w:r>
        <w:rPr>
          <w:rFonts w:ascii="Arial" w:hAnsi="Arial" w:cs="Arial"/>
          <w:sz w:val="18"/>
          <w:szCs w:val="18"/>
        </w:rPr>
        <w:t>,</w:t>
      </w:r>
      <w:r w:rsidR="00923720">
        <w:rPr>
          <w:rFonts w:ascii="Arial" w:hAnsi="Arial" w:cs="Arial"/>
          <w:sz w:val="18"/>
          <w:szCs w:val="18"/>
        </w:rPr>
        <w:t>625</w:t>
      </w:r>
      <w:r>
        <w:rPr>
          <w:rFonts w:ascii="Arial" w:hAnsi="Arial" w:cs="Arial"/>
          <w:sz w:val="18"/>
          <w:szCs w:val="18"/>
        </w:rPr>
        <w:t>,</w:t>
      </w:r>
      <w:r w:rsidR="00923720">
        <w:rPr>
          <w:rFonts w:ascii="Arial" w:hAnsi="Arial" w:cs="Arial"/>
          <w:sz w:val="18"/>
          <w:szCs w:val="18"/>
        </w:rPr>
        <w:t>412</w:t>
      </w:r>
      <w:r w:rsidRPr="0073056A">
        <w:rPr>
          <w:rFonts w:ascii="Arial" w:hAnsi="Arial" w:cs="Arial"/>
          <w:sz w:val="18"/>
          <w:szCs w:val="18"/>
        </w:rPr>
        <w:t xml:space="preserve"> que se tiene al cierre del </w:t>
      </w:r>
      <w:r w:rsidR="00923720">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sidR="00E8741E">
        <w:rPr>
          <w:rFonts w:ascii="Arial" w:hAnsi="Arial" w:cs="Arial"/>
          <w:sz w:val="18"/>
          <w:szCs w:val="18"/>
        </w:rPr>
        <w:t>gresos por cobrar a corto plazo,</w:t>
      </w:r>
      <w:r w:rsidR="00E8741E" w:rsidRPr="00E8741E">
        <w:rPr>
          <w:rFonts w:ascii="Arial" w:hAnsi="Arial" w:cs="Arial"/>
          <w:sz w:val="18"/>
          <w:szCs w:val="18"/>
        </w:rPr>
        <w:t xml:space="preserve"> </w:t>
      </w:r>
      <w:r w:rsidR="00E8741E">
        <w:rPr>
          <w:rFonts w:ascii="Arial" w:hAnsi="Arial" w:cs="Arial"/>
          <w:sz w:val="18"/>
          <w:szCs w:val="18"/>
        </w:rPr>
        <w:t xml:space="preserve">siendo menor en un </w:t>
      </w:r>
      <w:r w:rsidR="00923720">
        <w:rPr>
          <w:rFonts w:ascii="Arial" w:hAnsi="Arial" w:cs="Arial"/>
          <w:sz w:val="18"/>
          <w:szCs w:val="18"/>
        </w:rPr>
        <w:t>72</w:t>
      </w:r>
      <w:r w:rsidR="00E8741E">
        <w:rPr>
          <w:rFonts w:ascii="Arial" w:hAnsi="Arial" w:cs="Arial"/>
          <w:sz w:val="18"/>
          <w:szCs w:val="18"/>
        </w:rPr>
        <w:t>% respecto al mismo periodo de 2019</w:t>
      </w:r>
      <w:r w:rsidR="00923720">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23720">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8E380D" w:rsidRPr="0073056A" w:rsidRDefault="0035405F" w:rsidP="008E380D">
      <w:pPr>
        <w:ind w:left="284"/>
        <w:jc w:val="both"/>
        <w:rPr>
          <w:rFonts w:ascii="Arial" w:hAnsi="Arial" w:cs="Arial"/>
          <w:sz w:val="18"/>
          <w:szCs w:val="18"/>
        </w:rPr>
      </w:pPr>
      <w:r>
        <w:rPr>
          <w:rFonts w:ascii="Arial" w:hAnsi="Arial" w:cs="Arial"/>
          <w:sz w:val="18"/>
          <w:szCs w:val="18"/>
        </w:rPr>
        <w:t xml:space="preserve">Al cierre del </w:t>
      </w:r>
      <w:r w:rsidR="00923720">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8E380D">
        <w:rPr>
          <w:rFonts w:ascii="Arial" w:hAnsi="Arial" w:cs="Arial"/>
          <w:sz w:val="18"/>
          <w:szCs w:val="18"/>
        </w:rPr>
        <w:t>, observando un crecimiento del 27% respecto del mismo periodo del ejercicio 2019.</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8E380D">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w:t>
      </w:r>
      <w:r w:rsidR="008E380D">
        <w:rPr>
          <w:rFonts w:ascii="Arial" w:hAnsi="Arial" w:cs="Arial"/>
          <w:sz w:val="18"/>
          <w:szCs w:val="18"/>
        </w:rPr>
        <w:t>96</w:t>
      </w:r>
      <w:r>
        <w:rPr>
          <w:rFonts w:ascii="Arial" w:hAnsi="Arial" w:cs="Arial"/>
          <w:sz w:val="18"/>
          <w:szCs w:val="18"/>
        </w:rPr>
        <w:t>,</w:t>
      </w:r>
      <w:r w:rsidR="008E380D">
        <w:rPr>
          <w:rFonts w:ascii="Arial" w:hAnsi="Arial" w:cs="Arial"/>
          <w:sz w:val="18"/>
          <w:szCs w:val="18"/>
        </w:rPr>
        <w:t>407</w:t>
      </w:r>
      <w:r>
        <w:rPr>
          <w:rFonts w:ascii="Arial" w:hAnsi="Arial" w:cs="Arial"/>
          <w:sz w:val="18"/>
          <w:szCs w:val="18"/>
        </w:rPr>
        <w:t>,</w:t>
      </w:r>
      <w:r w:rsidR="008E380D">
        <w:rPr>
          <w:rFonts w:ascii="Arial" w:hAnsi="Arial" w:cs="Arial"/>
          <w:sz w:val="18"/>
          <w:szCs w:val="18"/>
        </w:rPr>
        <w:t>963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8E380D">
        <w:rPr>
          <w:rFonts w:ascii="Arial" w:hAnsi="Arial" w:cs="Arial"/>
          <w:sz w:val="18"/>
          <w:szCs w:val="18"/>
        </w:rPr>
        <w:t>, presentando un incremento del 14% respecto del mismo periodo del ejercicio 2019</w:t>
      </w:r>
    </w:p>
    <w:p w:rsidR="003E24FE" w:rsidRPr="0073056A" w:rsidRDefault="00B006FD" w:rsidP="003E24FE">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w:t>
      </w:r>
      <w:r w:rsidR="008E380D">
        <w:rPr>
          <w:rFonts w:ascii="Arial" w:hAnsi="Arial" w:cs="Arial"/>
          <w:sz w:val="18"/>
          <w:szCs w:val="18"/>
        </w:rPr>
        <w:t>5</w:t>
      </w:r>
      <w:r w:rsidRPr="00F619D6">
        <w:rPr>
          <w:rFonts w:ascii="Arial" w:hAnsi="Arial" w:cs="Arial"/>
          <w:sz w:val="18"/>
          <w:szCs w:val="18"/>
        </w:rPr>
        <w:t>,</w:t>
      </w:r>
      <w:r w:rsidR="008E380D">
        <w:rPr>
          <w:rFonts w:ascii="Arial" w:hAnsi="Arial" w:cs="Arial"/>
          <w:sz w:val="18"/>
          <w:szCs w:val="18"/>
        </w:rPr>
        <w:t>294</w:t>
      </w:r>
      <w:r w:rsidRPr="00F619D6">
        <w:rPr>
          <w:rFonts w:ascii="Arial" w:hAnsi="Arial" w:cs="Arial"/>
          <w:sz w:val="18"/>
          <w:szCs w:val="18"/>
        </w:rPr>
        <w:t>,</w:t>
      </w:r>
      <w:r w:rsidR="008E380D">
        <w:rPr>
          <w:rFonts w:ascii="Arial" w:hAnsi="Arial" w:cs="Arial"/>
          <w:sz w:val="18"/>
          <w:szCs w:val="18"/>
        </w:rPr>
        <w:t>290</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3E24FE">
        <w:rPr>
          <w:rFonts w:ascii="Arial" w:hAnsi="Arial" w:cs="Arial"/>
          <w:sz w:val="18"/>
          <w:szCs w:val="18"/>
        </w:rPr>
        <w:t>, reflejando un incremento del 13.5% respecto al mismo periodo de 2019.</w:t>
      </w:r>
    </w:p>
    <w:p w:rsidR="003E24FE" w:rsidRPr="0073056A" w:rsidRDefault="00B006FD" w:rsidP="003E24FE">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3E24FE">
        <w:rPr>
          <w:rFonts w:ascii="Arial" w:hAnsi="Arial" w:cs="Arial"/>
          <w:sz w:val="18"/>
          <w:szCs w:val="18"/>
        </w:rPr>
        <w:t>; observando un incremento de 11% respecto a lo registrado en el mismo periodo del ejercicio 2019</w:t>
      </w:r>
      <w:r w:rsidR="003E24FE"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A305D3" w:rsidRPr="00FB6E0E" w:rsidRDefault="00B006FD" w:rsidP="00A305D3">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A305D3">
        <w:rPr>
          <w:rFonts w:ascii="Arial" w:hAnsi="Arial" w:cs="Arial"/>
          <w:sz w:val="18"/>
          <w:szCs w:val="18"/>
        </w:rPr>
        <w:t>No se observan variaciones respecto al ejercicio 2019.</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A305D3">
        <w:rPr>
          <w:rFonts w:ascii="Arial" w:hAnsi="Arial" w:cs="Arial"/>
          <w:sz w:val="18"/>
          <w:szCs w:val="18"/>
        </w:rPr>
        <w:t>juni</w:t>
      </w:r>
      <w:r w:rsidR="00111884">
        <w:rPr>
          <w:rFonts w:ascii="Arial" w:hAnsi="Arial" w:cs="Arial"/>
          <w:sz w:val="18"/>
          <w:szCs w:val="18"/>
        </w:rPr>
        <w:t>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EF3AA9" w:rsidRPr="0073056A" w:rsidRDefault="00EF3AA9"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EF3AA9" w:rsidRDefault="00B006FD" w:rsidP="00EF3AA9">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EF3AA9">
        <w:rPr>
          <w:rFonts w:ascii="Arial" w:hAnsi="Arial" w:cs="Arial"/>
          <w:sz w:val="18"/>
          <w:szCs w:val="18"/>
        </w:rPr>
        <w:t>082</w:t>
      </w:r>
      <w:r>
        <w:rPr>
          <w:rFonts w:ascii="Arial" w:hAnsi="Arial" w:cs="Arial"/>
          <w:sz w:val="18"/>
          <w:szCs w:val="18"/>
        </w:rPr>
        <w:t>,</w:t>
      </w:r>
      <w:r w:rsidR="00EF3AA9">
        <w:rPr>
          <w:rFonts w:ascii="Arial" w:hAnsi="Arial" w:cs="Arial"/>
          <w:sz w:val="18"/>
          <w:szCs w:val="18"/>
        </w:rPr>
        <w:t>678</w:t>
      </w:r>
      <w:r>
        <w:rPr>
          <w:rFonts w:ascii="Arial" w:hAnsi="Arial" w:cs="Arial"/>
          <w:sz w:val="18"/>
          <w:szCs w:val="18"/>
        </w:rPr>
        <w:t>,</w:t>
      </w:r>
      <w:r w:rsidR="00EF3AA9">
        <w:rPr>
          <w:rFonts w:ascii="Arial" w:hAnsi="Arial" w:cs="Arial"/>
          <w:sz w:val="18"/>
          <w:szCs w:val="18"/>
        </w:rPr>
        <w:t>652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EF3AA9">
        <w:rPr>
          <w:rFonts w:ascii="Arial" w:hAnsi="Arial" w:cs="Arial"/>
          <w:sz w:val="18"/>
          <w:szCs w:val="18"/>
        </w:rPr>
        <w:t xml:space="preserve"> En este rubro se tiene una disminución del </w:t>
      </w:r>
      <w:r w:rsidR="007B3019">
        <w:rPr>
          <w:rFonts w:ascii="Arial" w:hAnsi="Arial" w:cs="Arial"/>
          <w:sz w:val="18"/>
          <w:szCs w:val="18"/>
        </w:rPr>
        <w:t>24</w:t>
      </w:r>
      <w:r w:rsidR="00EF3AA9">
        <w:rPr>
          <w:rFonts w:ascii="Arial" w:hAnsi="Arial" w:cs="Arial"/>
          <w:sz w:val="18"/>
          <w:szCs w:val="18"/>
        </w:rPr>
        <w:t>% respecto al 2019.</w:t>
      </w:r>
    </w:p>
    <w:p w:rsidR="00332091" w:rsidRDefault="00332091" w:rsidP="00B006FD">
      <w:pPr>
        <w:tabs>
          <w:tab w:val="left" w:pos="284"/>
        </w:tabs>
        <w:ind w:left="284"/>
        <w:jc w:val="both"/>
        <w:rPr>
          <w:rFonts w:ascii="Arial" w:hAnsi="Arial" w:cs="Arial"/>
          <w:sz w:val="18"/>
          <w:szCs w:val="18"/>
        </w:rPr>
      </w:pPr>
    </w:p>
    <w:p w:rsidR="00183E9F" w:rsidRDefault="00183E9F" w:rsidP="00332091">
      <w:pPr>
        <w:pStyle w:val="INCISO"/>
        <w:tabs>
          <w:tab w:val="left" w:pos="284"/>
        </w:tabs>
        <w:spacing w:after="0" w:line="276" w:lineRule="auto"/>
        <w:ind w:left="284" w:firstLine="0"/>
        <w:rPr>
          <w:b/>
          <w:smallCaps/>
        </w:rPr>
      </w:pPr>
    </w:p>
    <w:p w:rsidR="00183E9F" w:rsidRDefault="00183E9F" w:rsidP="00332091">
      <w:pPr>
        <w:pStyle w:val="INCISO"/>
        <w:tabs>
          <w:tab w:val="left" w:pos="284"/>
        </w:tabs>
        <w:spacing w:after="0" w:line="276" w:lineRule="auto"/>
        <w:ind w:left="284" w:firstLine="0"/>
        <w:rPr>
          <w:b/>
          <w:smallCaps/>
        </w:rPr>
      </w:pPr>
    </w:p>
    <w:p w:rsidR="00183E9F" w:rsidRDefault="00183E9F" w:rsidP="00332091">
      <w:pPr>
        <w:pStyle w:val="INCISO"/>
        <w:tabs>
          <w:tab w:val="left" w:pos="284"/>
        </w:tabs>
        <w:spacing w:after="0" w:line="276" w:lineRule="auto"/>
        <w:ind w:left="284" w:firstLine="0"/>
        <w:rPr>
          <w:b/>
          <w:smallCaps/>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304C38">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304C38">
        <w:rPr>
          <w:rFonts w:ascii="Arial" w:hAnsi="Arial" w:cs="Arial"/>
          <w:sz w:val="18"/>
          <w:szCs w:val="18"/>
        </w:rPr>
        <w:t>11</w:t>
      </w:r>
      <w:r>
        <w:rPr>
          <w:rFonts w:ascii="Arial" w:hAnsi="Arial" w:cs="Arial"/>
          <w:sz w:val="18"/>
          <w:szCs w:val="18"/>
        </w:rPr>
        <w:t>,</w:t>
      </w:r>
      <w:r w:rsidR="00304C38">
        <w:rPr>
          <w:rFonts w:ascii="Arial" w:hAnsi="Arial" w:cs="Arial"/>
          <w:sz w:val="18"/>
          <w:szCs w:val="18"/>
        </w:rPr>
        <w:t>192</w:t>
      </w:r>
      <w:r>
        <w:rPr>
          <w:rFonts w:ascii="Arial" w:hAnsi="Arial" w:cs="Arial"/>
          <w:sz w:val="18"/>
          <w:szCs w:val="18"/>
        </w:rPr>
        <w:t>,</w:t>
      </w:r>
      <w:r w:rsidR="00304C38">
        <w:rPr>
          <w:rFonts w:ascii="Arial" w:hAnsi="Arial" w:cs="Arial"/>
          <w:sz w:val="18"/>
          <w:szCs w:val="18"/>
        </w:rPr>
        <w:t>073</w:t>
      </w:r>
      <w:r>
        <w:rPr>
          <w:rFonts w:ascii="Arial" w:hAnsi="Arial" w:cs="Arial"/>
          <w:sz w:val="18"/>
          <w:szCs w:val="18"/>
        </w:rPr>
        <w:t>,</w:t>
      </w:r>
      <w:r w:rsidR="00304C38">
        <w:rPr>
          <w:rFonts w:ascii="Arial" w:hAnsi="Arial" w:cs="Arial"/>
          <w:sz w:val="18"/>
          <w:szCs w:val="18"/>
        </w:rPr>
        <w:t>617</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304C38">
        <w:rPr>
          <w:rFonts w:ascii="Arial" w:hAnsi="Arial" w:cs="Arial"/>
          <w:sz w:val="18"/>
          <w:szCs w:val="18"/>
        </w:rPr>
        <w:t>9</w:t>
      </w:r>
      <w:r>
        <w:rPr>
          <w:rFonts w:ascii="Arial" w:hAnsi="Arial" w:cs="Arial"/>
          <w:sz w:val="18"/>
          <w:szCs w:val="18"/>
        </w:rPr>
        <w:t>,</w:t>
      </w:r>
      <w:r w:rsidR="00C735F9">
        <w:rPr>
          <w:rFonts w:ascii="Arial" w:hAnsi="Arial" w:cs="Arial"/>
          <w:sz w:val="18"/>
          <w:szCs w:val="18"/>
        </w:rPr>
        <w:t>6</w:t>
      </w:r>
      <w:r w:rsidR="00304C38">
        <w:rPr>
          <w:rFonts w:ascii="Arial" w:hAnsi="Arial" w:cs="Arial"/>
          <w:sz w:val="18"/>
          <w:szCs w:val="18"/>
        </w:rPr>
        <w:t>35</w:t>
      </w:r>
      <w:r>
        <w:rPr>
          <w:rFonts w:ascii="Arial" w:hAnsi="Arial" w:cs="Arial"/>
          <w:sz w:val="18"/>
          <w:szCs w:val="18"/>
        </w:rPr>
        <w:t>,</w:t>
      </w:r>
      <w:r w:rsidR="00304C38">
        <w:rPr>
          <w:rFonts w:ascii="Arial" w:hAnsi="Arial" w:cs="Arial"/>
          <w:sz w:val="18"/>
          <w:szCs w:val="18"/>
        </w:rPr>
        <w:t>087</w:t>
      </w:r>
      <w:r>
        <w:rPr>
          <w:rFonts w:ascii="Arial" w:hAnsi="Arial" w:cs="Arial"/>
          <w:sz w:val="18"/>
          <w:szCs w:val="18"/>
        </w:rPr>
        <w:t>,</w:t>
      </w:r>
      <w:r w:rsidR="00304C38">
        <w:rPr>
          <w:rFonts w:ascii="Arial" w:hAnsi="Arial" w:cs="Arial"/>
          <w:sz w:val="18"/>
          <w:szCs w:val="18"/>
        </w:rPr>
        <w:t>203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304C38">
        <w:rPr>
          <w:rFonts w:ascii="Arial" w:hAnsi="Arial" w:cs="Arial"/>
          <w:sz w:val="18"/>
          <w:szCs w:val="18"/>
        </w:rPr>
        <w:t>556</w:t>
      </w:r>
      <w:r>
        <w:rPr>
          <w:rFonts w:ascii="Arial" w:hAnsi="Arial" w:cs="Arial"/>
          <w:sz w:val="18"/>
          <w:szCs w:val="18"/>
        </w:rPr>
        <w:t>,</w:t>
      </w:r>
      <w:r w:rsidR="00304C38">
        <w:rPr>
          <w:rFonts w:ascii="Arial" w:hAnsi="Arial" w:cs="Arial"/>
          <w:sz w:val="18"/>
          <w:szCs w:val="18"/>
        </w:rPr>
        <w:t>986</w:t>
      </w:r>
      <w:r>
        <w:rPr>
          <w:rFonts w:ascii="Arial" w:hAnsi="Arial" w:cs="Arial"/>
          <w:sz w:val="18"/>
          <w:szCs w:val="18"/>
        </w:rPr>
        <w:t>,</w:t>
      </w:r>
      <w:r w:rsidR="00304C38">
        <w:rPr>
          <w:rFonts w:ascii="Arial" w:hAnsi="Arial" w:cs="Arial"/>
          <w:sz w:val="18"/>
          <w:szCs w:val="18"/>
        </w:rPr>
        <w:t>414</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C38">
        <w:rPr>
          <w:rFonts w:ascii="Arial" w:hAnsi="Arial" w:cs="Arial"/>
          <w:sz w:val="18"/>
          <w:szCs w:val="18"/>
        </w:rPr>
        <w:t>, menor en un 19% respecto al mismo periodo de 2019.</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244A7B">
        <w:rPr>
          <w:rFonts w:ascii="Arial" w:hAnsi="Arial" w:cs="Arial"/>
          <w:sz w:val="18"/>
          <w:szCs w:val="18"/>
        </w:rPr>
        <w:t>juni</w:t>
      </w:r>
      <w:r w:rsidR="00C735F9">
        <w:rPr>
          <w:rFonts w:ascii="Arial" w:hAnsi="Arial" w:cs="Arial"/>
          <w:sz w:val="18"/>
          <w:szCs w:val="18"/>
        </w:rPr>
        <w:t>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244A7B">
        <w:rPr>
          <w:rFonts w:ascii="Arial" w:hAnsi="Arial" w:cs="Arial"/>
          <w:sz w:val="18"/>
          <w:szCs w:val="18"/>
        </w:rPr>
        <w:t>295</w:t>
      </w:r>
      <w:r>
        <w:rPr>
          <w:rFonts w:ascii="Arial" w:hAnsi="Arial" w:cs="Arial"/>
          <w:sz w:val="18"/>
          <w:szCs w:val="18"/>
        </w:rPr>
        <w:t>,</w:t>
      </w:r>
      <w:r w:rsidR="00244A7B">
        <w:rPr>
          <w:rFonts w:ascii="Arial" w:hAnsi="Arial" w:cs="Arial"/>
          <w:sz w:val="18"/>
          <w:szCs w:val="18"/>
        </w:rPr>
        <w:t>801</w:t>
      </w:r>
      <w:r>
        <w:rPr>
          <w:rFonts w:ascii="Arial" w:hAnsi="Arial" w:cs="Arial"/>
          <w:sz w:val="18"/>
          <w:szCs w:val="18"/>
        </w:rPr>
        <w:t>,</w:t>
      </w:r>
      <w:r w:rsidR="00244A7B">
        <w:rPr>
          <w:rFonts w:ascii="Arial" w:hAnsi="Arial" w:cs="Arial"/>
          <w:sz w:val="18"/>
          <w:szCs w:val="18"/>
        </w:rPr>
        <w:t>385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244A7B">
        <w:rPr>
          <w:rFonts w:ascii="Arial" w:hAnsi="Arial" w:cs="Arial"/>
          <w:sz w:val="18"/>
          <w:szCs w:val="18"/>
        </w:rPr>
        <w:t>278,796</w:t>
      </w:r>
      <w:r w:rsidR="00E004F0">
        <w:rPr>
          <w:rFonts w:ascii="Arial" w:hAnsi="Arial" w:cs="Arial"/>
          <w:sz w:val="18"/>
          <w:szCs w:val="18"/>
        </w:rPr>
        <w:t>,</w:t>
      </w:r>
      <w:r w:rsidR="00244A7B">
        <w:rPr>
          <w:rFonts w:ascii="Arial" w:hAnsi="Arial" w:cs="Arial"/>
          <w:sz w:val="18"/>
          <w:szCs w:val="18"/>
        </w:rPr>
        <w:t>661</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244A7B">
        <w:rPr>
          <w:rFonts w:ascii="Arial" w:hAnsi="Arial" w:cs="Arial"/>
          <w:sz w:val="18"/>
          <w:szCs w:val="18"/>
        </w:rPr>
        <w:t>3</w:t>
      </w:r>
      <w:r>
        <w:rPr>
          <w:rFonts w:ascii="Arial" w:hAnsi="Arial" w:cs="Arial"/>
          <w:sz w:val="18"/>
          <w:szCs w:val="18"/>
        </w:rPr>
        <w:t>,</w:t>
      </w:r>
      <w:r w:rsidR="00244A7B">
        <w:rPr>
          <w:rFonts w:ascii="Arial" w:hAnsi="Arial" w:cs="Arial"/>
          <w:sz w:val="18"/>
          <w:szCs w:val="18"/>
        </w:rPr>
        <w:t>43</w:t>
      </w:r>
      <w:r w:rsidR="00C735F9">
        <w:rPr>
          <w:rFonts w:ascii="Arial" w:hAnsi="Arial" w:cs="Arial"/>
          <w:sz w:val="18"/>
          <w:szCs w:val="18"/>
        </w:rPr>
        <w:t>9</w:t>
      </w:r>
      <w:r>
        <w:rPr>
          <w:rFonts w:ascii="Arial" w:hAnsi="Arial" w:cs="Arial"/>
          <w:sz w:val="18"/>
          <w:szCs w:val="18"/>
        </w:rPr>
        <w:t>,</w:t>
      </w:r>
      <w:r w:rsidR="00244A7B">
        <w:rPr>
          <w:rFonts w:ascii="Arial" w:hAnsi="Arial" w:cs="Arial"/>
          <w:sz w:val="18"/>
          <w:szCs w:val="18"/>
        </w:rPr>
        <w:t>491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244A7B">
        <w:rPr>
          <w:rFonts w:ascii="Arial" w:hAnsi="Arial" w:cs="Arial"/>
          <w:sz w:val="18"/>
          <w:szCs w:val="18"/>
        </w:rPr>
        <w:t>213</w:t>
      </w:r>
      <w:r w:rsidR="00E004F0">
        <w:rPr>
          <w:rFonts w:ascii="Arial" w:hAnsi="Arial" w:cs="Arial"/>
          <w:sz w:val="18"/>
          <w:szCs w:val="18"/>
        </w:rPr>
        <w:t>.</w:t>
      </w:r>
      <w:r w:rsidR="00304C38">
        <w:rPr>
          <w:rFonts w:ascii="Arial" w:hAnsi="Arial" w:cs="Arial"/>
          <w:sz w:val="18"/>
          <w:szCs w:val="18"/>
        </w:rPr>
        <w:t xml:space="preserve"> Representado un incremento en impuestos del </w:t>
      </w:r>
      <w:r w:rsidR="00244A7B">
        <w:rPr>
          <w:rFonts w:ascii="Arial" w:hAnsi="Arial" w:cs="Arial"/>
          <w:sz w:val="18"/>
          <w:szCs w:val="18"/>
        </w:rPr>
        <w:t>3</w:t>
      </w:r>
      <w:r w:rsidR="00304C38">
        <w:rPr>
          <w:rFonts w:ascii="Arial" w:hAnsi="Arial" w:cs="Arial"/>
          <w:sz w:val="18"/>
          <w:szCs w:val="18"/>
        </w:rPr>
        <w:t>%, respecto del ejercicio 2019.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4D54D1">
        <w:rPr>
          <w:rFonts w:ascii="Arial" w:hAnsi="Arial" w:cs="Arial"/>
          <w:sz w:val="18"/>
          <w:szCs w:val="18"/>
        </w:rPr>
        <w:t>juni</w:t>
      </w:r>
      <w:r w:rsidR="00991656">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w:t>
      </w:r>
      <w:r w:rsidR="004D54D1">
        <w:rPr>
          <w:rFonts w:ascii="Arial" w:hAnsi="Arial" w:cs="Arial"/>
          <w:sz w:val="18"/>
          <w:szCs w:val="18"/>
        </w:rPr>
        <w:t>99</w:t>
      </w:r>
      <w:r>
        <w:rPr>
          <w:rFonts w:ascii="Arial" w:hAnsi="Arial" w:cs="Arial"/>
          <w:sz w:val="18"/>
          <w:szCs w:val="18"/>
        </w:rPr>
        <w:t>,</w:t>
      </w:r>
      <w:r w:rsidR="004D54D1">
        <w:rPr>
          <w:rFonts w:ascii="Arial" w:hAnsi="Arial" w:cs="Arial"/>
          <w:sz w:val="18"/>
          <w:szCs w:val="18"/>
        </w:rPr>
        <w:t>529</w:t>
      </w:r>
      <w:r>
        <w:rPr>
          <w:rFonts w:ascii="Arial" w:hAnsi="Arial" w:cs="Arial"/>
          <w:sz w:val="18"/>
          <w:szCs w:val="18"/>
        </w:rPr>
        <w:t>,</w:t>
      </w:r>
      <w:r w:rsidR="004D54D1">
        <w:rPr>
          <w:rFonts w:ascii="Arial" w:hAnsi="Arial" w:cs="Arial"/>
          <w:sz w:val="18"/>
          <w:szCs w:val="18"/>
        </w:rPr>
        <w:t>521</w:t>
      </w:r>
      <w:r w:rsidRPr="0073056A">
        <w:rPr>
          <w:rFonts w:ascii="Arial" w:hAnsi="Arial" w:cs="Arial"/>
          <w:sz w:val="18"/>
          <w:szCs w:val="18"/>
        </w:rPr>
        <w:t>.</w:t>
      </w:r>
      <w:r w:rsidR="004D54D1">
        <w:rPr>
          <w:rFonts w:ascii="Arial" w:hAnsi="Arial" w:cs="Arial"/>
          <w:sz w:val="18"/>
          <w:szCs w:val="18"/>
        </w:rPr>
        <w:t xml:space="preserve"> Presentado un decremento en este concepto del 26%, respecto del ejercicio 2019.</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365A1">
        <w:rPr>
          <w:rFonts w:ascii="Arial" w:hAnsi="Arial" w:cs="Arial"/>
          <w:sz w:val="18"/>
          <w:szCs w:val="18"/>
        </w:rPr>
        <w:t>juni</w:t>
      </w:r>
      <w:r w:rsidR="00043D1E">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A365A1">
        <w:rPr>
          <w:rFonts w:ascii="Arial" w:hAnsi="Arial" w:cs="Arial"/>
          <w:sz w:val="18"/>
          <w:szCs w:val="18"/>
        </w:rPr>
        <w:t>110</w:t>
      </w:r>
      <w:r w:rsidRPr="00502DDD">
        <w:rPr>
          <w:rFonts w:ascii="Arial" w:hAnsi="Arial" w:cs="Arial"/>
          <w:sz w:val="18"/>
          <w:szCs w:val="18"/>
        </w:rPr>
        <w:t>,</w:t>
      </w:r>
      <w:r w:rsidR="00A365A1">
        <w:rPr>
          <w:rFonts w:ascii="Arial" w:hAnsi="Arial" w:cs="Arial"/>
          <w:sz w:val="18"/>
          <w:szCs w:val="18"/>
        </w:rPr>
        <w:t>460</w:t>
      </w:r>
      <w:r w:rsidRPr="00502DDD">
        <w:rPr>
          <w:rFonts w:ascii="Arial" w:hAnsi="Arial" w:cs="Arial"/>
          <w:sz w:val="18"/>
          <w:szCs w:val="18"/>
        </w:rPr>
        <w:t>,</w:t>
      </w:r>
      <w:r w:rsidR="00A365A1">
        <w:rPr>
          <w:rFonts w:ascii="Arial" w:hAnsi="Arial" w:cs="Arial"/>
          <w:sz w:val="18"/>
          <w:szCs w:val="18"/>
        </w:rPr>
        <w:t>338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4D54D1">
        <w:rPr>
          <w:rFonts w:ascii="Arial" w:hAnsi="Arial" w:cs="Arial"/>
          <w:sz w:val="18"/>
          <w:szCs w:val="18"/>
        </w:rPr>
        <w:t xml:space="preserve"> Presentado una disminución en este rubro del </w:t>
      </w:r>
      <w:r w:rsidR="00A365A1">
        <w:rPr>
          <w:rFonts w:ascii="Arial" w:hAnsi="Arial" w:cs="Arial"/>
          <w:sz w:val="18"/>
          <w:szCs w:val="18"/>
        </w:rPr>
        <w:t>34</w:t>
      </w:r>
      <w:r w:rsidR="004D54D1">
        <w:rPr>
          <w:rFonts w:ascii="Arial" w:hAnsi="Arial" w:cs="Arial"/>
          <w:sz w:val="18"/>
          <w:szCs w:val="18"/>
        </w:rPr>
        <w:t>%, respecto del ejercicio 2019</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365A1">
        <w:rPr>
          <w:rFonts w:ascii="Arial" w:hAnsi="Arial" w:cs="Arial"/>
          <w:sz w:val="18"/>
          <w:szCs w:val="18"/>
        </w:rPr>
        <w:t>juni</w:t>
      </w:r>
      <w:r w:rsidR="00043D1E">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A365A1">
        <w:rPr>
          <w:rFonts w:ascii="Arial" w:hAnsi="Arial" w:cs="Arial"/>
          <w:sz w:val="18"/>
          <w:szCs w:val="18"/>
        </w:rPr>
        <w:t xml:space="preserve"> Representado un decremento del 8</w:t>
      </w:r>
      <w:r w:rsidR="00183E9F">
        <w:rPr>
          <w:rFonts w:ascii="Arial" w:hAnsi="Arial" w:cs="Arial"/>
          <w:sz w:val="18"/>
          <w:szCs w:val="18"/>
        </w:rPr>
        <w:t>4</w:t>
      </w:r>
      <w:r w:rsidR="00A365A1">
        <w:rPr>
          <w:rFonts w:ascii="Arial" w:hAnsi="Arial" w:cs="Arial"/>
          <w:sz w:val="18"/>
          <w:szCs w:val="18"/>
        </w:rPr>
        <w:t>%, respecto del ejercicio 2019.</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183E9F" w:rsidRDefault="00FE1848" w:rsidP="00183E9F">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183E9F">
        <w:rPr>
          <w:rFonts w:ascii="Arial" w:hAnsi="Arial" w:cs="Arial"/>
          <w:sz w:val="18"/>
          <w:szCs w:val="18"/>
        </w:rPr>
        <w:t>58</w:t>
      </w:r>
      <w:r>
        <w:rPr>
          <w:rFonts w:ascii="Arial" w:hAnsi="Arial" w:cs="Arial"/>
          <w:sz w:val="18"/>
          <w:szCs w:val="18"/>
        </w:rPr>
        <w:t>,</w:t>
      </w:r>
      <w:r w:rsidR="00183E9F">
        <w:rPr>
          <w:rFonts w:ascii="Arial" w:hAnsi="Arial" w:cs="Arial"/>
          <w:sz w:val="18"/>
          <w:szCs w:val="18"/>
        </w:rPr>
        <w:t>724</w:t>
      </w:r>
      <w:r>
        <w:rPr>
          <w:rFonts w:ascii="Arial" w:hAnsi="Arial" w:cs="Arial"/>
          <w:sz w:val="18"/>
          <w:szCs w:val="18"/>
        </w:rPr>
        <w:t>,</w:t>
      </w:r>
      <w:r w:rsidR="00183E9F">
        <w:rPr>
          <w:rFonts w:ascii="Arial" w:hAnsi="Arial" w:cs="Arial"/>
          <w:sz w:val="18"/>
          <w:szCs w:val="18"/>
        </w:rPr>
        <w:t>05</w:t>
      </w:r>
      <w:r w:rsidR="000D0EE3">
        <w:rPr>
          <w:rFonts w:ascii="Arial" w:hAnsi="Arial" w:cs="Arial"/>
          <w:sz w:val="18"/>
          <w:szCs w:val="18"/>
        </w:rPr>
        <w:t>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183E9F">
        <w:rPr>
          <w:rFonts w:ascii="Arial" w:hAnsi="Arial" w:cs="Arial"/>
          <w:sz w:val="18"/>
          <w:szCs w:val="18"/>
        </w:rPr>
        <w:t>, observándose una disminución del 22% en este rubro, respecto del mismo periodo del ejercicio 2019.</w:t>
      </w:r>
    </w:p>
    <w:p w:rsidR="004C1616" w:rsidRDefault="00FE1848" w:rsidP="004C1616">
      <w:pPr>
        <w:tabs>
          <w:tab w:val="left" w:pos="284"/>
        </w:tabs>
        <w:spacing w:after="0"/>
        <w:ind w:left="284"/>
        <w:jc w:val="both"/>
        <w:rPr>
          <w:rFonts w:ascii="Arial" w:hAnsi="Arial" w:cs="Arial"/>
          <w:sz w:val="18"/>
          <w:szCs w:val="18"/>
        </w:rPr>
      </w:pPr>
      <w:r>
        <w:rPr>
          <w:rFonts w:ascii="Arial" w:hAnsi="Arial" w:cs="Arial"/>
          <w:sz w:val="18"/>
          <w:szCs w:val="18"/>
        </w:rPr>
        <w:t>.</w:t>
      </w:r>
    </w:p>
    <w:p w:rsidR="004C1616" w:rsidRDefault="004C1616" w:rsidP="004C1616">
      <w:pPr>
        <w:tabs>
          <w:tab w:val="left" w:pos="284"/>
        </w:tabs>
        <w:spacing w:after="0"/>
        <w:ind w:left="284"/>
        <w:jc w:val="both"/>
        <w:rPr>
          <w:rFonts w:ascii="Arial" w:hAnsi="Arial" w:cs="Arial"/>
          <w:sz w:val="18"/>
          <w:szCs w:val="18"/>
        </w:rPr>
      </w:pPr>
    </w:p>
    <w:p w:rsidR="00183E9F" w:rsidRPr="0073056A" w:rsidRDefault="00183E9F"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183E9F">
        <w:rPr>
          <w:rFonts w:ascii="Arial" w:hAnsi="Arial" w:cs="Arial"/>
          <w:sz w:val="18"/>
          <w:szCs w:val="18"/>
        </w:rPr>
        <w:t>10</w:t>
      </w:r>
      <w:r>
        <w:rPr>
          <w:rFonts w:ascii="Arial" w:hAnsi="Arial" w:cs="Arial"/>
          <w:sz w:val="18"/>
          <w:szCs w:val="18"/>
        </w:rPr>
        <w:t>,</w:t>
      </w:r>
      <w:r w:rsidR="00183E9F">
        <w:rPr>
          <w:rFonts w:ascii="Arial" w:hAnsi="Arial" w:cs="Arial"/>
          <w:sz w:val="18"/>
          <w:szCs w:val="18"/>
        </w:rPr>
        <w:t>527</w:t>
      </w:r>
      <w:r>
        <w:rPr>
          <w:rFonts w:ascii="Arial" w:hAnsi="Arial" w:cs="Arial"/>
          <w:sz w:val="18"/>
          <w:szCs w:val="18"/>
        </w:rPr>
        <w:t>,</w:t>
      </w:r>
      <w:r w:rsidR="00183E9F">
        <w:rPr>
          <w:rFonts w:ascii="Arial" w:hAnsi="Arial" w:cs="Arial"/>
          <w:sz w:val="18"/>
          <w:szCs w:val="18"/>
        </w:rPr>
        <w:t>158</w:t>
      </w:r>
      <w:r>
        <w:rPr>
          <w:rFonts w:ascii="Arial" w:hAnsi="Arial" w:cs="Arial"/>
          <w:sz w:val="18"/>
          <w:szCs w:val="18"/>
        </w:rPr>
        <w:t>,</w:t>
      </w:r>
      <w:r w:rsidR="00183E9F">
        <w:rPr>
          <w:rFonts w:ascii="Arial" w:hAnsi="Arial" w:cs="Arial"/>
          <w:sz w:val="18"/>
          <w:szCs w:val="18"/>
        </w:rPr>
        <w:t>588</w:t>
      </w:r>
      <w:r>
        <w:rPr>
          <w:rFonts w:ascii="Arial" w:hAnsi="Arial" w:cs="Arial"/>
          <w:sz w:val="18"/>
          <w:szCs w:val="18"/>
        </w:rPr>
        <w:t xml:space="preserve"> al mes de </w:t>
      </w:r>
      <w:r w:rsidR="00183E9F">
        <w:rPr>
          <w:rFonts w:ascii="Arial" w:hAnsi="Arial" w:cs="Arial"/>
          <w:sz w:val="18"/>
          <w:szCs w:val="18"/>
        </w:rPr>
        <w:t>juni</w:t>
      </w:r>
      <w:r w:rsidR="00B27A40">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183E9F">
        <w:rPr>
          <w:rFonts w:ascii="Arial" w:hAnsi="Arial" w:cs="Arial"/>
          <w:sz w:val="18"/>
          <w:szCs w:val="18"/>
        </w:rPr>
        <w:t xml:space="preserve"> Este rubro, respecto al mismo periodo de 2019, presenta un incremento del </w:t>
      </w:r>
      <w:r w:rsidR="00D129D2">
        <w:rPr>
          <w:rFonts w:ascii="Arial" w:hAnsi="Arial" w:cs="Arial"/>
          <w:sz w:val="18"/>
          <w:szCs w:val="18"/>
        </w:rPr>
        <w:t>4</w:t>
      </w:r>
      <w:r w:rsidR="00183E9F">
        <w:rPr>
          <w:rFonts w:ascii="Arial" w:hAnsi="Arial" w:cs="Arial"/>
          <w:sz w:val="18"/>
          <w:szCs w:val="18"/>
        </w:rPr>
        <w:t>%.</w:t>
      </w:r>
    </w:p>
    <w:p w:rsidR="00332091" w:rsidRDefault="00332091" w:rsidP="00332091">
      <w:pPr>
        <w:tabs>
          <w:tab w:val="left" w:pos="284"/>
        </w:tabs>
        <w:spacing w:after="0"/>
        <w:ind w:left="284"/>
        <w:jc w:val="both"/>
        <w:rPr>
          <w:rFonts w:ascii="Arial" w:hAnsi="Arial" w:cs="Arial"/>
          <w:sz w:val="18"/>
          <w:szCs w:val="18"/>
        </w:rPr>
      </w:pPr>
    </w:p>
    <w:p w:rsidR="00D31562" w:rsidRPr="0073056A" w:rsidRDefault="00D31562"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D129D2">
        <w:rPr>
          <w:rFonts w:ascii="Arial" w:hAnsi="Arial" w:cs="Arial"/>
          <w:sz w:val="18"/>
          <w:szCs w:val="18"/>
        </w:rPr>
        <w:t>4</w:t>
      </w:r>
      <w:r>
        <w:rPr>
          <w:rFonts w:ascii="Arial" w:hAnsi="Arial" w:cs="Arial"/>
          <w:sz w:val="18"/>
          <w:szCs w:val="18"/>
        </w:rPr>
        <w:t>,</w:t>
      </w:r>
      <w:r w:rsidR="00D129D2">
        <w:rPr>
          <w:rFonts w:ascii="Arial" w:hAnsi="Arial" w:cs="Arial"/>
          <w:sz w:val="18"/>
          <w:szCs w:val="18"/>
        </w:rPr>
        <w:t>739</w:t>
      </w:r>
      <w:r>
        <w:rPr>
          <w:rFonts w:ascii="Arial" w:hAnsi="Arial" w:cs="Arial"/>
          <w:sz w:val="18"/>
          <w:szCs w:val="18"/>
        </w:rPr>
        <w:t>,</w:t>
      </w:r>
      <w:r w:rsidR="00D129D2">
        <w:rPr>
          <w:rFonts w:ascii="Arial" w:hAnsi="Arial" w:cs="Arial"/>
          <w:sz w:val="18"/>
          <w:szCs w:val="18"/>
        </w:rPr>
        <w:t>817</w:t>
      </w:r>
      <w:r>
        <w:rPr>
          <w:rFonts w:ascii="Arial" w:hAnsi="Arial" w:cs="Arial"/>
          <w:sz w:val="18"/>
          <w:szCs w:val="18"/>
        </w:rPr>
        <w:t>,</w:t>
      </w:r>
      <w:r w:rsidR="00D129D2">
        <w:rPr>
          <w:rFonts w:ascii="Arial" w:hAnsi="Arial" w:cs="Arial"/>
          <w:sz w:val="18"/>
          <w:szCs w:val="18"/>
        </w:rPr>
        <w:t>221</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D129D2">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w:t>
      </w:r>
      <w:r w:rsidR="00D129D2">
        <w:rPr>
          <w:rFonts w:ascii="Arial" w:hAnsi="Arial" w:cs="Arial"/>
          <w:sz w:val="18"/>
          <w:szCs w:val="18"/>
        </w:rPr>
        <w:t xml:space="preserve"> en este rubro</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D31562" w:rsidRDefault="00D31562"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D129D2">
        <w:rPr>
          <w:rFonts w:ascii="Arial" w:hAnsi="Arial" w:cs="Arial"/>
          <w:sz w:val="18"/>
          <w:szCs w:val="18"/>
        </w:rPr>
        <w:t>juni</w:t>
      </w:r>
      <w:r w:rsidR="00B27A40">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Pr="005F17A8">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Pr="005F17A8">
              <w:rPr>
                <w:rFonts w:ascii="Arial" w:eastAsia="Times New Roman" w:hAnsi="Arial" w:cs="Arial"/>
                <w:color w:val="000000"/>
                <w:sz w:val="18"/>
                <w:szCs w:val="18"/>
                <w:lang w:eastAsia="es-MX"/>
              </w:rPr>
              <w:t>841</w:t>
            </w:r>
            <w:r>
              <w:rPr>
                <w:rFonts w:ascii="Arial" w:eastAsia="Times New Roman" w:hAnsi="Arial" w:cs="Arial"/>
                <w:color w:val="000000"/>
                <w:sz w:val="18"/>
                <w:szCs w:val="18"/>
                <w:lang w:eastAsia="es-MX"/>
              </w:rPr>
              <w:t>,</w:t>
            </w:r>
            <w:r w:rsidRPr="005F17A8">
              <w:rPr>
                <w:rFonts w:ascii="Arial" w:eastAsia="Times New Roman" w:hAnsi="Arial" w:cs="Arial"/>
                <w:color w:val="000000"/>
                <w:sz w:val="18"/>
                <w:szCs w:val="18"/>
                <w:lang w:eastAsia="es-MX"/>
              </w:rPr>
              <w:t>456</w:t>
            </w:r>
            <w:r>
              <w:rPr>
                <w:rFonts w:ascii="Arial" w:eastAsia="Times New Roman" w:hAnsi="Arial" w:cs="Arial"/>
                <w:color w:val="000000"/>
                <w:sz w:val="18"/>
                <w:szCs w:val="18"/>
                <w:lang w:eastAsia="es-MX"/>
              </w:rPr>
              <w:t>,</w:t>
            </w:r>
            <w:r w:rsidRPr="005F17A8">
              <w:rPr>
                <w:rFonts w:ascii="Arial" w:eastAsia="Times New Roman" w:hAnsi="Arial" w:cs="Arial"/>
                <w:color w:val="000000"/>
                <w:sz w:val="18"/>
                <w:szCs w:val="18"/>
                <w:lang w:eastAsia="es-MX"/>
              </w:rPr>
              <w:t>301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41.6</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929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059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318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21.0</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66</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204</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186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951</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544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458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884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197</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278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21</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22</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681</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177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94</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550</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320</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404</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938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7.2</w:t>
            </w:r>
          </w:p>
        </w:tc>
      </w:tr>
      <w:tr w:rsidR="00D129D2"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D129D2" w:rsidRPr="00AE0E84" w:rsidRDefault="00D129D2" w:rsidP="00D129D2">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Pr>
                <w:rFonts w:ascii="Calibri" w:eastAsia="Times New Roman" w:hAnsi="Calibri" w:cs="Calibri"/>
                <w:color w:val="000000"/>
                <w:lang w:eastAsia="es-MX"/>
              </w:rPr>
              <w:t>431</w:t>
            </w:r>
            <w:r w:rsidRPr="00AE0E84">
              <w:rPr>
                <w:rFonts w:ascii="Calibri" w:eastAsia="Times New Roman" w:hAnsi="Calibri" w:cs="Calibri"/>
                <w:color w:val="000000"/>
                <w:lang w:eastAsia="es-MX"/>
              </w:rPr>
              <w:t>,</w:t>
            </w:r>
            <w:r>
              <w:rPr>
                <w:rFonts w:ascii="Calibri" w:eastAsia="Times New Roman" w:hAnsi="Calibri" w:cs="Calibri"/>
                <w:color w:val="000000"/>
                <w:lang w:eastAsia="es-MX"/>
              </w:rPr>
              <w:t>326</w:t>
            </w:r>
            <w:r w:rsidRPr="00AE0E84">
              <w:rPr>
                <w:rFonts w:ascii="Calibri" w:eastAsia="Times New Roman" w:hAnsi="Calibri" w:cs="Calibri"/>
                <w:color w:val="000000"/>
                <w:lang w:eastAsia="es-MX"/>
              </w:rPr>
              <w:t>,</w:t>
            </w:r>
            <w:r>
              <w:rPr>
                <w:rFonts w:ascii="Calibri" w:eastAsia="Times New Roman" w:hAnsi="Calibri" w:cs="Calibri"/>
                <w:color w:val="000000"/>
                <w:lang w:eastAsia="es-MX"/>
              </w:rPr>
              <w:t>368</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31562">
        <w:rPr>
          <w:rFonts w:ascii="Arial" w:hAnsi="Arial" w:cs="Arial"/>
          <w:sz w:val="18"/>
          <w:szCs w:val="18"/>
        </w:rPr>
        <w:t>juni</w:t>
      </w:r>
      <w:r w:rsidR="0091566D">
        <w:rPr>
          <w:rFonts w:ascii="Arial" w:hAnsi="Arial" w:cs="Arial"/>
          <w:sz w:val="18"/>
          <w:szCs w:val="18"/>
        </w:rPr>
        <w:t>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31562">
        <w:rPr>
          <w:rFonts w:ascii="Arial" w:hAnsi="Arial" w:cs="Arial"/>
          <w:sz w:val="18"/>
          <w:szCs w:val="18"/>
        </w:rPr>
        <w:t>1,348</w:t>
      </w:r>
      <w:r>
        <w:rPr>
          <w:rFonts w:ascii="Arial" w:hAnsi="Arial" w:cs="Arial"/>
          <w:sz w:val="18"/>
          <w:szCs w:val="18"/>
        </w:rPr>
        <w:t>,</w:t>
      </w:r>
      <w:r w:rsidR="00D31562">
        <w:rPr>
          <w:rFonts w:ascii="Arial" w:hAnsi="Arial" w:cs="Arial"/>
          <w:sz w:val="18"/>
          <w:szCs w:val="18"/>
        </w:rPr>
        <w:t>947</w:t>
      </w:r>
      <w:r>
        <w:rPr>
          <w:rFonts w:ascii="Arial" w:hAnsi="Arial" w:cs="Arial"/>
          <w:sz w:val="18"/>
          <w:szCs w:val="18"/>
        </w:rPr>
        <w:t>,</w:t>
      </w:r>
      <w:r w:rsidR="00D31562">
        <w:rPr>
          <w:rFonts w:ascii="Arial" w:hAnsi="Arial" w:cs="Arial"/>
          <w:sz w:val="18"/>
          <w:szCs w:val="18"/>
        </w:rPr>
        <w:t>017</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D31562" w:rsidRDefault="000B552D" w:rsidP="00D31562">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D31562">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D31562">
        <w:rPr>
          <w:rFonts w:ascii="Arial" w:hAnsi="Arial" w:cs="Arial"/>
          <w:sz w:val="18"/>
          <w:szCs w:val="18"/>
        </w:rPr>
        <w:t>juni</w:t>
      </w:r>
      <w:r w:rsidR="0091566D">
        <w:rPr>
          <w:rFonts w:ascii="Arial" w:hAnsi="Arial" w:cs="Arial"/>
          <w:sz w:val="18"/>
          <w:szCs w:val="18"/>
        </w:rPr>
        <w:t>o</w:t>
      </w:r>
      <w:r w:rsidR="00134F21">
        <w:rPr>
          <w:rFonts w:ascii="Arial" w:hAnsi="Arial" w:cs="Arial"/>
          <w:sz w:val="18"/>
          <w:szCs w:val="18"/>
        </w:rPr>
        <w:t xml:space="preserve"> por este concepto un monto de $ </w:t>
      </w:r>
      <w:r w:rsidR="00272820">
        <w:rPr>
          <w:rFonts w:ascii="Arial" w:hAnsi="Arial" w:cs="Arial"/>
          <w:sz w:val="18"/>
          <w:szCs w:val="18"/>
        </w:rPr>
        <w:t>1,081</w:t>
      </w:r>
      <w:r w:rsidR="00134F21">
        <w:rPr>
          <w:rFonts w:ascii="Arial" w:hAnsi="Arial" w:cs="Arial"/>
          <w:sz w:val="18"/>
          <w:szCs w:val="18"/>
        </w:rPr>
        <w:t>,</w:t>
      </w:r>
      <w:r w:rsidR="00272820">
        <w:rPr>
          <w:rFonts w:ascii="Arial" w:hAnsi="Arial" w:cs="Arial"/>
          <w:sz w:val="18"/>
          <w:szCs w:val="18"/>
        </w:rPr>
        <w:t>657</w:t>
      </w:r>
      <w:r w:rsidR="00134F21">
        <w:rPr>
          <w:rFonts w:ascii="Arial" w:hAnsi="Arial" w:cs="Arial"/>
          <w:sz w:val="18"/>
          <w:szCs w:val="18"/>
        </w:rPr>
        <w:t>,</w:t>
      </w:r>
      <w:r w:rsidR="00272820">
        <w:rPr>
          <w:rFonts w:ascii="Arial" w:hAnsi="Arial" w:cs="Arial"/>
          <w:sz w:val="18"/>
          <w:szCs w:val="18"/>
        </w:rPr>
        <w:t>713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D31562">
        <w:rPr>
          <w:rFonts w:ascii="Arial" w:hAnsi="Arial" w:cs="Arial"/>
          <w:sz w:val="18"/>
          <w:szCs w:val="18"/>
        </w:rPr>
        <w:t xml:space="preserve"> Lo que representa un incremento del </w:t>
      </w:r>
      <w:r w:rsidR="00272820">
        <w:rPr>
          <w:rFonts w:ascii="Arial" w:hAnsi="Arial" w:cs="Arial"/>
          <w:sz w:val="18"/>
          <w:szCs w:val="18"/>
        </w:rPr>
        <w:t>6</w:t>
      </w:r>
      <w:r w:rsidR="00D31562">
        <w:rPr>
          <w:rFonts w:ascii="Arial" w:hAnsi="Arial" w:cs="Arial"/>
          <w:sz w:val="18"/>
          <w:szCs w:val="18"/>
        </w:rPr>
        <w:t xml:space="preserve"> % respecto al mismo periodo del ejercicio 2019.</w:t>
      </w:r>
    </w:p>
    <w:p w:rsidR="00332091" w:rsidRDefault="00332091" w:rsidP="00332091">
      <w:pPr>
        <w:tabs>
          <w:tab w:val="left" w:pos="284"/>
        </w:tabs>
        <w:spacing w:after="0"/>
        <w:ind w:left="284"/>
        <w:jc w:val="both"/>
        <w:rPr>
          <w:rFonts w:ascii="Arial" w:hAnsi="Arial" w:cs="Arial"/>
          <w:sz w:val="18"/>
          <w:szCs w:val="18"/>
        </w:rPr>
      </w:pP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6D2635" w:rsidRDefault="00134F21" w:rsidP="006D2635">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6D2635">
        <w:rPr>
          <w:rFonts w:ascii="Arial" w:hAnsi="Arial" w:cs="Arial"/>
          <w:sz w:val="18"/>
          <w:szCs w:val="18"/>
        </w:rPr>
        <w:t>62</w:t>
      </w:r>
      <w:r>
        <w:rPr>
          <w:rFonts w:ascii="Arial" w:hAnsi="Arial" w:cs="Arial"/>
          <w:sz w:val="18"/>
          <w:szCs w:val="18"/>
        </w:rPr>
        <w:t>,</w:t>
      </w:r>
      <w:r w:rsidR="006D2635">
        <w:rPr>
          <w:rFonts w:ascii="Arial" w:hAnsi="Arial" w:cs="Arial"/>
          <w:sz w:val="18"/>
          <w:szCs w:val="18"/>
        </w:rPr>
        <w:t>950</w:t>
      </w:r>
      <w:r>
        <w:rPr>
          <w:rFonts w:ascii="Arial" w:hAnsi="Arial" w:cs="Arial"/>
          <w:sz w:val="18"/>
          <w:szCs w:val="18"/>
        </w:rPr>
        <w:t>,</w:t>
      </w:r>
      <w:r w:rsidR="006D2635">
        <w:rPr>
          <w:rFonts w:ascii="Arial" w:hAnsi="Arial" w:cs="Arial"/>
          <w:sz w:val="18"/>
          <w:szCs w:val="18"/>
        </w:rPr>
        <w:t>827</w:t>
      </w:r>
      <w:r w:rsidRPr="0073056A">
        <w:rPr>
          <w:rFonts w:ascii="Arial" w:hAnsi="Arial" w:cs="Arial"/>
          <w:sz w:val="18"/>
          <w:szCs w:val="18"/>
        </w:rPr>
        <w:t>.</w:t>
      </w:r>
      <w:r w:rsidR="006D2635">
        <w:rPr>
          <w:rFonts w:ascii="Arial" w:hAnsi="Arial" w:cs="Arial"/>
          <w:sz w:val="18"/>
          <w:szCs w:val="18"/>
        </w:rPr>
        <w:t xml:space="preserve"> Lo que representa un incremento del </w:t>
      </w:r>
      <w:r w:rsidR="00880B5D">
        <w:rPr>
          <w:rFonts w:ascii="Arial" w:hAnsi="Arial" w:cs="Arial"/>
          <w:sz w:val="18"/>
          <w:szCs w:val="18"/>
        </w:rPr>
        <w:t>13</w:t>
      </w:r>
      <w:r w:rsidR="006D2635">
        <w:rPr>
          <w:rFonts w:ascii="Arial" w:hAnsi="Arial" w:cs="Arial"/>
          <w:sz w:val="18"/>
          <w:szCs w:val="18"/>
        </w:rPr>
        <w:t xml:space="preserve"> % respecto al mismo periodo del ejercicio 2019.</w:t>
      </w:r>
    </w:p>
    <w:p w:rsidR="00332091" w:rsidRDefault="00332091" w:rsidP="00332091">
      <w:pPr>
        <w:tabs>
          <w:tab w:val="left" w:pos="284"/>
        </w:tabs>
        <w:spacing w:after="0"/>
        <w:ind w:left="284"/>
        <w:jc w:val="both"/>
        <w:rPr>
          <w:rFonts w:ascii="Arial" w:hAnsi="Arial" w:cs="Arial"/>
          <w:sz w:val="18"/>
          <w:szCs w:val="18"/>
        </w:rPr>
      </w:pP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880B5D" w:rsidRPr="0073056A" w:rsidRDefault="00F40A84" w:rsidP="00880B5D">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880B5D">
        <w:rPr>
          <w:rFonts w:ascii="Arial" w:hAnsi="Arial" w:cs="Arial"/>
          <w:sz w:val="18"/>
          <w:szCs w:val="18"/>
        </w:rPr>
        <w:t>juni</w:t>
      </w:r>
      <w:r w:rsidR="00AA16F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880B5D">
        <w:rPr>
          <w:rFonts w:ascii="Arial" w:hAnsi="Arial" w:cs="Arial"/>
          <w:sz w:val="18"/>
          <w:szCs w:val="18"/>
        </w:rPr>
        <w:t>61</w:t>
      </w:r>
      <w:r w:rsidR="00BA3B1D">
        <w:rPr>
          <w:rFonts w:ascii="Arial" w:hAnsi="Arial" w:cs="Arial"/>
          <w:sz w:val="18"/>
          <w:szCs w:val="18"/>
        </w:rPr>
        <w:t>,</w:t>
      </w:r>
      <w:r w:rsidR="00880B5D">
        <w:rPr>
          <w:rFonts w:ascii="Arial" w:hAnsi="Arial" w:cs="Arial"/>
          <w:sz w:val="18"/>
          <w:szCs w:val="18"/>
        </w:rPr>
        <w:t>959</w:t>
      </w:r>
      <w:r w:rsidR="00BA3B1D">
        <w:rPr>
          <w:rFonts w:ascii="Arial" w:hAnsi="Arial" w:cs="Arial"/>
          <w:sz w:val="18"/>
          <w:szCs w:val="18"/>
        </w:rPr>
        <w:t>,</w:t>
      </w:r>
      <w:r w:rsidR="00880B5D">
        <w:rPr>
          <w:rFonts w:ascii="Arial" w:hAnsi="Arial" w:cs="Arial"/>
          <w:sz w:val="18"/>
          <w:szCs w:val="18"/>
        </w:rPr>
        <w:t>856</w:t>
      </w:r>
      <w:r w:rsidRPr="0073056A">
        <w:rPr>
          <w:rFonts w:ascii="Arial" w:hAnsi="Arial" w:cs="Arial"/>
          <w:sz w:val="18"/>
          <w:szCs w:val="18"/>
        </w:rPr>
        <w:t>.</w:t>
      </w:r>
      <w:r w:rsidR="00880B5D">
        <w:rPr>
          <w:rFonts w:ascii="Arial" w:hAnsi="Arial" w:cs="Arial"/>
          <w:sz w:val="18"/>
          <w:szCs w:val="18"/>
        </w:rPr>
        <w:t xml:space="preserve"> Lo que representa un decremento del 27 % respecto al mismo periodo del ejercicio 2019.</w:t>
      </w:r>
    </w:p>
    <w:p w:rsidR="00332091" w:rsidRPr="0073056A" w:rsidRDefault="00332091" w:rsidP="00332091">
      <w:pPr>
        <w:tabs>
          <w:tab w:val="left" w:pos="284"/>
        </w:tabs>
        <w:spacing w:after="0"/>
        <w:ind w:left="284"/>
        <w:jc w:val="both"/>
        <w:rPr>
          <w:rFonts w:ascii="Arial" w:hAnsi="Arial" w:cs="Arial"/>
          <w:sz w:val="18"/>
          <w:szCs w:val="18"/>
        </w:rPr>
      </w:pP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880B5D">
        <w:rPr>
          <w:rFonts w:ascii="Arial" w:hAnsi="Arial" w:cs="Arial"/>
          <w:sz w:val="18"/>
          <w:szCs w:val="18"/>
        </w:rPr>
        <w:t>juni</w:t>
      </w:r>
      <w:r w:rsidR="00AA16F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5A0CCD">
        <w:rPr>
          <w:rFonts w:ascii="Arial" w:hAnsi="Arial" w:cs="Arial"/>
          <w:sz w:val="18"/>
          <w:szCs w:val="18"/>
        </w:rPr>
        <w:t>5</w:t>
      </w:r>
      <w:r>
        <w:rPr>
          <w:rFonts w:ascii="Arial" w:hAnsi="Arial" w:cs="Arial"/>
          <w:sz w:val="18"/>
          <w:szCs w:val="18"/>
        </w:rPr>
        <w:t>,</w:t>
      </w:r>
      <w:r w:rsidR="005A0CCD">
        <w:rPr>
          <w:rFonts w:ascii="Arial" w:hAnsi="Arial" w:cs="Arial"/>
          <w:sz w:val="18"/>
          <w:szCs w:val="18"/>
        </w:rPr>
        <w:t>952</w:t>
      </w:r>
      <w:r>
        <w:rPr>
          <w:rFonts w:ascii="Arial" w:hAnsi="Arial" w:cs="Arial"/>
          <w:sz w:val="18"/>
          <w:szCs w:val="18"/>
        </w:rPr>
        <w:t>,</w:t>
      </w:r>
      <w:r w:rsidR="005A0CCD">
        <w:rPr>
          <w:rFonts w:ascii="Arial" w:hAnsi="Arial" w:cs="Arial"/>
          <w:sz w:val="18"/>
          <w:szCs w:val="18"/>
        </w:rPr>
        <w:t>406</w:t>
      </w:r>
      <w:r>
        <w:rPr>
          <w:rFonts w:ascii="Arial" w:hAnsi="Arial" w:cs="Arial"/>
          <w:sz w:val="18"/>
          <w:szCs w:val="18"/>
        </w:rPr>
        <w:t>,</w:t>
      </w:r>
      <w:r w:rsidR="00612216">
        <w:rPr>
          <w:rFonts w:ascii="Arial" w:hAnsi="Arial" w:cs="Arial"/>
          <w:sz w:val="18"/>
          <w:szCs w:val="18"/>
        </w:rPr>
        <w:t>6</w:t>
      </w:r>
      <w:r w:rsidR="005A0CCD">
        <w:rPr>
          <w:rFonts w:ascii="Arial" w:hAnsi="Arial" w:cs="Arial"/>
          <w:sz w:val="18"/>
          <w:szCs w:val="18"/>
        </w:rPr>
        <w:t>28</w:t>
      </w:r>
      <w:r>
        <w:rPr>
          <w:rFonts w:ascii="Arial" w:hAnsi="Arial" w:cs="Arial"/>
          <w:sz w:val="18"/>
          <w:szCs w:val="18"/>
        </w:rPr>
        <w:t xml:space="preserve"> de los cuales los principales sectores que reciben estas asignaciones son el sector educativo al cual le corresponde el </w:t>
      </w:r>
      <w:r w:rsidR="005A0CCD">
        <w:rPr>
          <w:rFonts w:ascii="Arial" w:hAnsi="Arial" w:cs="Arial"/>
          <w:sz w:val="18"/>
          <w:szCs w:val="18"/>
        </w:rPr>
        <w:t>56</w:t>
      </w:r>
      <w:r>
        <w:rPr>
          <w:rFonts w:ascii="Arial" w:hAnsi="Arial" w:cs="Arial"/>
          <w:sz w:val="18"/>
          <w:szCs w:val="18"/>
        </w:rPr>
        <w:t xml:space="preserve">% y el sector salud con un </w:t>
      </w:r>
      <w:r w:rsidR="005A0CCD">
        <w:rPr>
          <w:rFonts w:ascii="Arial" w:hAnsi="Arial" w:cs="Arial"/>
          <w:sz w:val="18"/>
          <w:szCs w:val="18"/>
        </w:rPr>
        <w:t>3</w:t>
      </w:r>
      <w:r w:rsidR="005F4F77">
        <w:rPr>
          <w:rFonts w:ascii="Arial" w:hAnsi="Arial" w:cs="Arial"/>
          <w:sz w:val="18"/>
          <w:szCs w:val="18"/>
        </w:rPr>
        <w:t>7</w:t>
      </w:r>
      <w:r>
        <w:rPr>
          <w:rFonts w:ascii="Arial" w:hAnsi="Arial" w:cs="Arial"/>
          <w:sz w:val="18"/>
          <w:szCs w:val="18"/>
        </w:rPr>
        <w:t xml:space="preserve">% y el restante </w:t>
      </w:r>
      <w:r w:rsidR="005A0CCD">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r w:rsidR="005A0CCD">
        <w:rPr>
          <w:rFonts w:ascii="Arial" w:hAnsi="Arial" w:cs="Arial"/>
          <w:sz w:val="18"/>
          <w:szCs w:val="18"/>
        </w:rPr>
        <w:t xml:space="preserve"> Lo que en su conjunto representa un incremento del </w:t>
      </w:r>
      <w:r w:rsidR="00333309">
        <w:rPr>
          <w:rFonts w:ascii="Arial" w:hAnsi="Arial" w:cs="Arial"/>
          <w:sz w:val="18"/>
          <w:szCs w:val="18"/>
        </w:rPr>
        <w:t>7</w:t>
      </w:r>
      <w:r w:rsidR="005A0CCD">
        <w:rPr>
          <w:rFonts w:ascii="Arial" w:hAnsi="Arial" w:cs="Arial"/>
          <w:sz w:val="18"/>
          <w:szCs w:val="18"/>
        </w:rPr>
        <w:t xml:space="preserve"> % respecto al mismo periodo del ejercicio 2019</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333309" w:rsidRDefault="00F40A84" w:rsidP="00333309">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33309">
        <w:rPr>
          <w:rFonts w:ascii="Arial" w:hAnsi="Arial" w:cs="Arial"/>
          <w:sz w:val="18"/>
          <w:szCs w:val="18"/>
        </w:rPr>
        <w:t>juni</w:t>
      </w:r>
      <w:r w:rsidR="005F4F77">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333309">
        <w:rPr>
          <w:rFonts w:ascii="Arial" w:hAnsi="Arial" w:cs="Arial"/>
          <w:sz w:val="18"/>
          <w:szCs w:val="18"/>
        </w:rPr>
        <w:t>556</w:t>
      </w:r>
      <w:r>
        <w:rPr>
          <w:rFonts w:ascii="Arial" w:hAnsi="Arial" w:cs="Arial"/>
          <w:sz w:val="18"/>
          <w:szCs w:val="18"/>
        </w:rPr>
        <w:t>,</w:t>
      </w:r>
      <w:r w:rsidR="00333309">
        <w:rPr>
          <w:rFonts w:ascii="Arial" w:hAnsi="Arial" w:cs="Arial"/>
          <w:sz w:val="18"/>
          <w:szCs w:val="18"/>
        </w:rPr>
        <w:t>986</w:t>
      </w:r>
      <w:r>
        <w:rPr>
          <w:rFonts w:ascii="Arial" w:hAnsi="Arial" w:cs="Arial"/>
          <w:sz w:val="18"/>
          <w:szCs w:val="18"/>
        </w:rPr>
        <w:t>,</w:t>
      </w:r>
      <w:r w:rsidR="00333309">
        <w:rPr>
          <w:rFonts w:ascii="Arial" w:hAnsi="Arial" w:cs="Arial"/>
          <w:sz w:val="18"/>
          <w:szCs w:val="18"/>
        </w:rPr>
        <w:t>414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5F4F77">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333309">
        <w:rPr>
          <w:rFonts w:ascii="Arial" w:hAnsi="Arial" w:cs="Arial"/>
          <w:sz w:val="18"/>
          <w:szCs w:val="18"/>
        </w:rPr>
        <w:t xml:space="preserve"> Observándose una variación negativa del </w:t>
      </w:r>
      <w:r w:rsidR="0090030B">
        <w:rPr>
          <w:rFonts w:ascii="Arial" w:hAnsi="Arial" w:cs="Arial"/>
          <w:sz w:val="18"/>
          <w:szCs w:val="18"/>
        </w:rPr>
        <w:t>19</w:t>
      </w:r>
      <w:r w:rsidR="00333309">
        <w:rPr>
          <w:rFonts w:ascii="Arial" w:hAnsi="Arial" w:cs="Arial"/>
          <w:sz w:val="18"/>
          <w:szCs w:val="18"/>
        </w:rPr>
        <w:t>% respecto a 2019.</w:t>
      </w: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04F0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90030B">
        <w:rPr>
          <w:rFonts w:ascii="Arial" w:eastAsia="Times New Roman" w:hAnsi="Arial" w:cs="Arial"/>
          <w:bCs/>
          <w:sz w:val="18"/>
          <w:szCs w:val="18"/>
          <w:lang w:eastAsia="es-MX"/>
        </w:rPr>
        <w:t>613</w:t>
      </w:r>
      <w:r>
        <w:rPr>
          <w:rFonts w:ascii="Arial" w:eastAsia="Times New Roman" w:hAnsi="Arial" w:cs="Arial"/>
          <w:bCs/>
          <w:sz w:val="18"/>
          <w:szCs w:val="18"/>
          <w:lang w:eastAsia="es-MX"/>
        </w:rPr>
        <w:t>,</w:t>
      </w:r>
      <w:r w:rsidR="0090030B">
        <w:rPr>
          <w:rFonts w:ascii="Arial" w:eastAsia="Times New Roman" w:hAnsi="Arial" w:cs="Arial"/>
          <w:bCs/>
          <w:sz w:val="18"/>
          <w:szCs w:val="18"/>
          <w:lang w:eastAsia="es-MX"/>
        </w:rPr>
        <w:t>267</w:t>
      </w:r>
      <w:r>
        <w:rPr>
          <w:rFonts w:ascii="Arial" w:eastAsia="Times New Roman" w:hAnsi="Arial" w:cs="Arial"/>
          <w:bCs/>
          <w:sz w:val="18"/>
          <w:szCs w:val="18"/>
          <w:lang w:eastAsia="es-MX"/>
        </w:rPr>
        <w:t>,</w:t>
      </w:r>
      <w:r w:rsidR="0090030B">
        <w:rPr>
          <w:rFonts w:ascii="Arial" w:eastAsia="Times New Roman" w:hAnsi="Arial" w:cs="Arial"/>
          <w:bCs/>
          <w:sz w:val="18"/>
          <w:szCs w:val="18"/>
          <w:lang w:eastAsia="es-MX"/>
        </w:rPr>
        <w:t>207</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2A7FC3" w:rsidRPr="005C02A4" w:rsidRDefault="00B83E59" w:rsidP="002A7FC3">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2A7FC3">
        <w:rPr>
          <w:lang w:val="es-MX"/>
        </w:rPr>
        <w:t>745</w:t>
      </w:r>
      <w:r w:rsidR="00AC2CB6">
        <w:rPr>
          <w:lang w:val="es-MX"/>
        </w:rPr>
        <w:t>,</w:t>
      </w:r>
      <w:r w:rsidR="002A7FC3">
        <w:rPr>
          <w:lang w:val="es-MX"/>
        </w:rPr>
        <w:t>891</w:t>
      </w:r>
      <w:r w:rsidR="00AC2CB6">
        <w:rPr>
          <w:lang w:val="es-MX"/>
        </w:rPr>
        <w:t>,</w:t>
      </w:r>
      <w:r w:rsidR="002A7FC3">
        <w:rPr>
          <w:lang w:val="es-MX"/>
        </w:rPr>
        <w:t>881</w:t>
      </w:r>
      <w:r w:rsidR="00817DFF">
        <w:rPr>
          <w:lang w:val="es-MX"/>
        </w:rPr>
        <w:t xml:space="preserve"> </w:t>
      </w:r>
      <w:r w:rsidR="002A7FC3">
        <w:rPr>
          <w:lang w:val="es-MX"/>
        </w:rPr>
        <w:t>lo que representa una variación porcentual del 2% respecto al mismo periodo de 2019, integrado por:</w:t>
      </w:r>
    </w:p>
    <w:p w:rsidR="005F52B3" w:rsidRPr="005C02A4" w:rsidRDefault="005F52B3" w:rsidP="005C02A4">
      <w:pPr>
        <w:pStyle w:val="ROMANOS"/>
        <w:tabs>
          <w:tab w:val="clear" w:pos="720"/>
          <w:tab w:val="left" w:pos="284"/>
        </w:tabs>
        <w:spacing w:after="0" w:line="276" w:lineRule="auto"/>
        <w:ind w:left="284" w:firstLine="0"/>
        <w:rPr>
          <w:lang w:val="es-MX"/>
        </w:rPr>
      </w:pP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2A7FC3">
        <w:rPr>
          <w:lang w:val="es-MX"/>
        </w:rPr>
        <w:t>556</w:t>
      </w:r>
      <w:r>
        <w:rPr>
          <w:lang w:val="es-MX"/>
        </w:rPr>
        <w:t>,</w:t>
      </w:r>
      <w:r w:rsidR="002A7FC3">
        <w:rPr>
          <w:lang w:val="es-MX"/>
        </w:rPr>
        <w:t>986</w:t>
      </w:r>
      <w:r>
        <w:rPr>
          <w:lang w:val="es-MX"/>
        </w:rPr>
        <w:t>,</w:t>
      </w:r>
      <w:r w:rsidR="002A7FC3">
        <w:rPr>
          <w:lang w:val="es-MX"/>
        </w:rPr>
        <w:t>414</w:t>
      </w:r>
      <w:r w:rsidR="006B2DC6">
        <w:rPr>
          <w:lang w:val="es-MX"/>
        </w:rPr>
        <w:t>, lo que representa una variación porcentual del 19% respecto al ejercicio 2019.</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B2DC6">
        <w:rPr>
          <w:lang w:val="es-MX"/>
        </w:rPr>
        <w:t>junio</w:t>
      </w:r>
      <w:r>
        <w:rPr>
          <w:lang w:val="es-MX"/>
        </w:rPr>
        <w:t xml:space="preserve"> un importe de </w:t>
      </w:r>
      <w:r w:rsidRPr="004466A7">
        <w:rPr>
          <w:lang w:val="es-MX"/>
        </w:rPr>
        <w:t>$</w:t>
      </w:r>
      <w:r>
        <w:rPr>
          <w:lang w:val="es-MX"/>
        </w:rPr>
        <w:t xml:space="preserve"> </w:t>
      </w:r>
      <w:r w:rsidR="002A7FC3">
        <w:rPr>
          <w:lang w:val="es-MX"/>
        </w:rPr>
        <w:t>494</w:t>
      </w:r>
      <w:r>
        <w:rPr>
          <w:lang w:val="es-MX"/>
        </w:rPr>
        <w:t>,</w:t>
      </w:r>
      <w:r w:rsidR="002A7FC3">
        <w:rPr>
          <w:lang w:val="es-MX"/>
        </w:rPr>
        <w:t>811</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2A7FC3">
        <w:rPr>
          <w:lang w:val="es-MX"/>
        </w:rPr>
        <w:t>0</w:t>
      </w:r>
      <w:r w:rsidRPr="00DA18AC">
        <w:rPr>
          <w:lang w:val="es-MX"/>
        </w:rPr>
        <w:t xml:space="preserve"> de </w:t>
      </w:r>
      <w:r w:rsidR="002A7FC3">
        <w:rPr>
          <w:lang w:val="es-MX"/>
        </w:rPr>
        <w:t>juni</w:t>
      </w:r>
      <w:r w:rsidR="00466C1E">
        <w:rPr>
          <w:lang w:val="es-MX"/>
        </w:rPr>
        <w:t>o</w:t>
      </w:r>
      <w:r w:rsidRPr="00DA18AC">
        <w:rPr>
          <w:lang w:val="es-MX"/>
        </w:rPr>
        <w:t xml:space="preserve"> de 20</w:t>
      </w:r>
      <w:r w:rsidR="00466C1E">
        <w:rPr>
          <w:lang w:val="es-MX"/>
        </w:rPr>
        <w:t>20</w:t>
      </w:r>
      <w:r w:rsidRPr="00DA18AC">
        <w:rPr>
          <w:lang w:val="es-MX"/>
        </w:rPr>
        <w:t xml:space="preserve"> de $ </w:t>
      </w:r>
      <w:r w:rsidR="009743B6">
        <w:rPr>
          <w:lang w:val="es-MX"/>
        </w:rPr>
        <w:t>-</w:t>
      </w:r>
      <w:r w:rsidR="006B2DC6">
        <w:rPr>
          <w:lang w:val="es-MX"/>
        </w:rPr>
        <w:t>811</w:t>
      </w:r>
      <w:r w:rsidRPr="00DA18AC">
        <w:rPr>
          <w:lang w:val="es-MX"/>
        </w:rPr>
        <w:t>,</w:t>
      </w:r>
      <w:r w:rsidR="006B2DC6">
        <w:rPr>
          <w:lang w:val="es-MX"/>
        </w:rPr>
        <w:t>589</w:t>
      </w:r>
      <w:r w:rsidRPr="00DA18AC">
        <w:rPr>
          <w:lang w:val="es-MX"/>
        </w:rPr>
        <w:t>,</w:t>
      </w:r>
      <w:r w:rsidR="006B2DC6">
        <w:rPr>
          <w:lang w:val="es-MX"/>
        </w:rPr>
        <w:t>344</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DC7D7B"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62288634"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8D0675" w:rsidP="006942ED">
      <w:pPr>
        <w:rPr>
          <w:lang w:eastAsia="es-ES"/>
        </w:rPr>
      </w:pPr>
      <w:r>
        <w:rPr>
          <w:noProof/>
          <w:szCs w:val="18"/>
          <w:lang w:eastAsia="es-MX"/>
        </w:rPr>
        <w:object w:dxaOrig="1440" w:dyaOrig="1440">
          <v:shape id="_x0000_s1046" type="#_x0000_t75" style="position:absolute;margin-left:34.5pt;margin-top:22.45pt;width:632.9pt;height:293.75pt;z-index:251663360">
            <v:imagedata r:id="rId10" o:title=""/>
            <w10:wrap type="topAndBottom"/>
          </v:shape>
          <o:OLEObject Type="Embed" ProgID="Excel.Sheet.12" ShapeID="_x0000_s1046" DrawAspect="Content" ObjectID="_1662288635"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8D0675"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9.05pt;z-index:251664384">
            <v:imagedata r:id="rId12" o:title=""/>
            <w10:wrap type="topAndBottom"/>
          </v:shape>
          <o:OLEObject Type="Embed" ProgID="Excel.Sheet.12" ShapeID="_x0000_s1047" DrawAspect="Content" ObjectID="_1662288636"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6B2DC6">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5A1079" w:rsidRPr="0063488B" w:rsidRDefault="005A1079" w:rsidP="005A1079">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Pr>
          <w:rFonts w:ascii="Arial" w:hAnsi="Arial" w:cs="Arial"/>
          <w:sz w:val="18"/>
          <w:szCs w:val="18"/>
        </w:rPr>
        <w:t xml:space="preserve">ha </w:t>
      </w:r>
      <w:r w:rsidRPr="0063488B">
        <w:rPr>
          <w:rFonts w:ascii="Arial" w:hAnsi="Arial" w:cs="Arial"/>
          <w:sz w:val="18"/>
          <w:szCs w:val="18"/>
        </w:rPr>
        <w:t>concentr</w:t>
      </w:r>
      <w:r>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5A1079" w:rsidRPr="0063488B" w:rsidRDefault="005A1079" w:rsidP="005A1079">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5A1079" w:rsidRPr="00037045" w:rsidRDefault="005A1079" w:rsidP="005A1079">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5A1079" w:rsidRPr="00037045" w:rsidRDefault="005A1079" w:rsidP="005A1079">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5A1079" w:rsidRPr="00037045" w:rsidRDefault="005A1079" w:rsidP="005A1079">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5A1079" w:rsidRPr="0030292A" w:rsidRDefault="005A1079" w:rsidP="005A1079">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5A1079" w:rsidRPr="0070431B" w:rsidRDefault="005A1079" w:rsidP="005A1079">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 la actualización del informe de las Perspectivas de la Economía Mundial (informe WEO), presentado por el Fondo Monetario Internacional en el mes de junio, el crecimiento mundial está proyectado en -4.9% en 2020; o sea, 1.9 puntos porcentuales menos que el pronóstico de la edición de abril de 2020. La pandemia de COVID-19 ha tenido un impacto más negativo que lo previsto en la actividad en el primer semestre de 2020 y la recuperación será, según las proyecciones, más gradual de lo que se había pronosticado.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2021, el crecimiento mundial está proyectado en 5.4%. Globalmente, eso significa que el PIB de 2021 sería alrededor de 6.5 puntos porcentuales más bajo que en las proyecciones publicadas en enero de 2020, antes de la pandemia de COVID-19. El impacto adverso en los hogares de bajo ingreso es particularmente agudo, y pondría en peligro el avance significativo de la lucha contra de la pobreza extrema logrado a nivel mundial desde la década de 1990.</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Como fue el caso de las proyecciones del informe WEO de abril de 2020, existe un grado de incertidumbre inusitadamente elevado en torno a estas proyecciones. Las proyecciones de base se fundamentan en presunciones críticas sobre las secuelas de la pandemia. En las economías con tasas de infección decrecientes, la ralentización de la trayectoria de recuperación contemplada en los pronósticos actualizados refleja un distanciamiento social persistente a medida que nos adentremos en el segundo semestre de 2020; mayores cicatrices (daño al potencial de oferta) debido al hecho de que la actividad sufriría más de lo previsto durante el confinamiento instituido en el primer y segundo semestres de 2020, y un golpe a la productividad a medida que las empresas que sobrevivan incrementen las necesarias prácticas de seguridad e higiene en los lugares de trabajo.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 las economías con dificultades para controlar las tasas de infección, un confinamiento más prolongado infligiría más daños a la actividad. Además, el pronóstico presume que las condiciones financieras —que se han distendido desde la publicación del informe WEO de abril de 2020— se mantendrán generalmente a los niveles actuales. Claramente, es posible que el desenlace sea diferente del contemplado en la proyección de base, y no solo debido a la manera en que está evolucionando la pandemia. La magnitud del reciente repunte del optimismo de los mercados financieros parece estar desconectada de la evolución de las perspectivas económicas fundamentales —como lo señala la Actualización de junio de 2020 del Informe sobre la estabilidad financiera mundial (informe GFSR)—, y eso plantea la posibilidad de que las condiciones financieras se endurezcan más de lo que supone la proyección de base.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Todos los países, incluidos los que parecen haber dejado atrás los picos de infección, deberían asegurarse de que los sistemas sanitarios cuenten con recursos adecuados. La comunidad internacional debe brindar a las iniciativas nacionales un respaldo muchísimo mayor, entre otras formas ofreciendo asistencia financiera a países con una capacidad sanitaria limitada y canalizando financiamiento hacia la producción de una vacuna a medida que avancen los ensayos clínicos, de modo que todos los países tengan sin demora acceso a dosis adecuadas y a costo asequible.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los casos que requieren confinamientos, la política económica debería continuar amortiguando las pérdidas de ingreso de los hogares a través de medidas sustanciales y bien focalizadas, además de brindar apoyo a las empresas que sufren las consecuencias de restricciones obligatorias a la actividad. En los casos en que las economías están reabriendo, el respaldo focalizado debería desmontarse paulatinamente a medida que la recuperación se ponga en marcha, y las políticas deberían infundir estímulo para promover la demanda y facilitar e incentivar la reasignación de recursos, alejándolos de los sectores que probablemente terminen siendo persistentemente más pequeños después de la pandemia.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Sigue siendo esencial una cooperación multilateral sólida en múltiples ámbitos. Se necesita con urgencia liquidez de respaldo para los países que enfrentan crisis sanitarias y déficits de financiamiento externo; por ejemplo, mediante alivio de la deuda y financiamiento a través de la red mundial de seguridad financiera. Una vez superada la pandemia, las autoridades deberán cooperar para resolver las tensiones comerciales y tecnológicas que hacen peligrar la recuperación final de la crisis de COVID-19. Además, aprovechando la disminución sin precedentes de las emisiones de gases de efecto invernadero durante la pandemia, las autoridades deberían poner en práctica sus compromisos de mitigación del cambio climático y, a la vez, colaborar para ampliar la aplicación de impuestos diseñados según criterios de equidad que graven las emisiones de carbono o sistemas equivalentes. La comunidad internacional debe actuar sin demora para evitar una repetición de esta catástrofe, organizando reservas internacionales de suministros y equipos de protección esenciales, financiando la investigación y apuntalando los sistemas sanitarios públicos, y estableciendo modalidades eficaces para llevar alivio a los más necesitados.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Entre las economías de mercados emergentes y en desarrollo, el impacto que los trastornos internos asestarán a la actividad sería más parecido al escenario a la baja contemplado en abril, contrarrestando holgadamente la mejora del ánimo de los mercados financieros. La revisión a la baja refleja también la agudización de los efectos de derrame producidos por el debilitamiento de la demanda externa. La revisión a la baja de las perspectivas de crecimiento de las economías de mercados emergentes y en desarrollo en 2020-21 (2.8 puntos porcentuales) supera la revisión de las economías avanzadas (1.8 puntos porcentuales). Con la exclusión de China, la revisión a la baja del grupo en 2020-21 es de 3.6 puntos porcentuales.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A nivel general, el crecimiento del grupo de economías de mercados emergentes y en desarrollo está proyectado en -3.0% in 2020; es decir, 2 puntos porcentuales por debajo de la proyección presentada en el informe WEO de abril de 2020. Entre las economías en desarrollo de bajo ingreso, el crecimiento está proyectado en -1.0% en 2020, alrededor de 1.4 puntos porcentuales por debajo del pronóstico presentado en el informe WEO de abril de 2020, aunque con diferencias entre un país y otro. Con exclusión de algunas economías preemergentes grandes, se prevé que el grupo restante de países en desarrollo de bajo ingreso sufrirá una contracción de -2.2% en 2020.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Por vez primera, se proyecta un crecimiento negativo para todas las regiones en 2020. Pero aun así se observan importantes diferencias entre las economías a escala individual, en función de la evolución de la pandemia y la eficacia de las estrategias de contención; las diversas estructuras económicas (por ejemplo, dependencia de los sectores gravemente afectados, como turismo y petróleo); el uso de flujos financieros externos, incluidas las remesas; y las tendencias del crecimiento previas a la crisis. In China, donde está en marcha la recuperación tras la fuerte contracción registrada en el primer trimestre, se proyecta un crecimiento de 1.0% en 2020, apoyado en parte por políticas de estímulo. Se proyecta que la economía de India se contraiga 4.5% tras un período de confinamiento más largo y una recuperación más lenta de lo previsto en abril.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América Latina, donde la mayoría de los países aún están luchando para contener las infecciones, se proyecta que las dos economías más grandes, Brasil y México, sufran contracciones de 9.1% y 10.5%, respectivamente, en 2020. Las perturbaciones provocadas por la pandemia, así como la considerable merma del ingreso disponible de los países exportadores de petróleo tras el drástico descenso de los precios de los combustibles, implican fuertes recesiones en Rusia (-6.6%), Arabia Saudita (-6.8%) y Nigeria (-5.4%), mientras que el desempeño de Sudáfrica (-8.0%) se verá gravemente afectado por la crisis sanitaria.</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En el ámbito nacional, el crecimiento de la actividad económica registró una ligera caída en el cuarto trimestre de 2019 y una importante contracción en el primer trimestre de 2020. Por el lado de la demanda agregada, en el cuarto trimestre de 2019 el nivel del consumo privado fue similar al del trimestre previo, mientras que las exportaciones netas y la formación bruta de capital fijo se contrajeron. Con respecto a 2020, el consumo privado y la inversión fija bruta mantuvieron una trayectoria decreciente en marzo, mientras que las exportaciones netas cayeron significativamente en abril.</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cuanto a la brecha del producto, esta fue más negativa en el cuarto trimestre de 2019 que en el trimestre anterior. En el primer trimestre de 2020, esta fue más negativa que la de finales de 2019. Con relación a la variación de los precios, la inflación general anual promedio del cuarto trimestre de 2019 fue de 2.94%, continuando con su tendencia a la baja respecto a los niveles de 2017. No obstante, en el primer trimestre de 2020 este indicador se ubicó en 3.39% revirtiéndose su anterior tendencia. Este repunte se asoció principalmente a un incremento en la inflación no subyacente a principios del año y al efecto del aumento del IEPS a cigarrillos y bebidas azucaradas en la subyacente. Si bien en abril, la inflación general descendió a 2.15%, en la primera quincena de mayo tuvo un repunte ubicándose en 2.83%.</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Así, las proyecciones del Banco de México para la inflación general al cierre de 2020, publicadas en el Informe Trimestral enero-marzo 2020, se ubicaron en 3.5%. La mediana para las expectativas de la inflación general en la Encuesta sobre las Expectativas de los Especialistas en Economía del Sector Privado de mayo de 2020 fue 3.07% para el cierre de este año y 3.45% para el cierre de 2021, mostrando un aumento y una disminución, respectivamente, respecto a la encuesta de abril. Por su parte, la mediana de las expectativas de mediano y largo plazo se mantuvieron en 3.50%</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términos de política monetaria, en el periodo que va de febrero a mayo de 2020, la Junta de Gobierno disminuyó en 175 puntos base la tasa de referencia. En su reunión de febrero, la Junta de Gobierno decidió recortar la tasa de referencia en 25 puntos base, tomando en cuenta: los niveles alcanzados por la inflación general, las perspectivas para esta en el horizonte en que opera la política monetaria, la amplitud mayor a la esperada de las condiciones de holgura de la economía y el comportamiento de las curvas de rendimiento externas e internas. Posteriormente, considerando los riesgos para la inflación, la actividad económica y los mercados financieros derivados de la pandemia de COVID-19, la Junta de Gobierno adelantó del 26 al 20 de marzo su decisión de política monetaria, tomó una decisión de política monetaria extraordinaria en abril y otra ordinaria en mayo. En las tres ocasiones, disminuyó en 50 puntos base el objetivo para la Tasa de Interés Interbancaria ubicándola actualmente en 5.5%. En las decisiones de política monetaria de marzo y abril, además, el Banco de México anunció una serie de medidas para promover el funcionamiento ordenado de los mercados financieros nacionales y proveer liquidez. En este contexto, perseverar en fortalecer los fundamentos macroeconómicos y adoptar las acciones necesarias, tanto en el ámbito monetario como fiscal, contribuirá a un mejor ajuste de los mercados financieros nacionales y de la economía en su conjunto.</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desarrollado e iniciado oportunamente la ejecución de una serie de medidas, las cuales persiguen tres objetivos: </w:t>
      </w:r>
    </w:p>
    <w:p w:rsidR="005A1079" w:rsidRPr="002F346F" w:rsidRDefault="005A1079" w:rsidP="005A1079">
      <w:pPr>
        <w:pStyle w:val="Prrafodelista"/>
        <w:numPr>
          <w:ilvl w:val="0"/>
          <w:numId w:val="23"/>
        </w:numPr>
        <w:tabs>
          <w:tab w:val="left" w:pos="284"/>
        </w:tabs>
        <w:ind w:left="567"/>
        <w:jc w:val="both"/>
        <w:rPr>
          <w:rFonts w:ascii="Arial" w:hAnsi="Arial" w:cs="Arial"/>
          <w:sz w:val="18"/>
          <w:szCs w:val="18"/>
        </w:rPr>
      </w:pPr>
      <w:r w:rsidRPr="002F346F">
        <w:rPr>
          <w:rFonts w:ascii="Arial" w:hAnsi="Arial" w:cs="Arial"/>
          <w:sz w:val="18"/>
          <w:szCs w:val="18"/>
        </w:rPr>
        <w:t xml:space="preserve">Evitar la propagación del COVID-19 y contener sus efectos sobre la salud de las mexicanas y los mexicanos; </w:t>
      </w:r>
    </w:p>
    <w:p w:rsidR="005A1079" w:rsidRPr="002F346F" w:rsidRDefault="005A1079" w:rsidP="005A1079">
      <w:pPr>
        <w:pStyle w:val="Prrafodelista"/>
        <w:numPr>
          <w:ilvl w:val="0"/>
          <w:numId w:val="23"/>
        </w:numPr>
        <w:tabs>
          <w:tab w:val="left" w:pos="284"/>
        </w:tabs>
        <w:ind w:left="567"/>
        <w:jc w:val="both"/>
        <w:rPr>
          <w:rFonts w:ascii="Arial" w:hAnsi="Arial" w:cs="Arial"/>
          <w:sz w:val="18"/>
          <w:szCs w:val="18"/>
        </w:rPr>
      </w:pPr>
      <w:r w:rsidRPr="002F346F">
        <w:rPr>
          <w:rFonts w:ascii="Arial" w:hAnsi="Arial" w:cs="Arial"/>
          <w:sz w:val="18"/>
          <w:szCs w:val="18"/>
        </w:rPr>
        <w:t xml:space="preserve">Mitigar rápida y efectivamente los impactos económicos sobre hogares, trabajadores y empresas de la suspensión de actividades no esenciales; y </w:t>
      </w:r>
    </w:p>
    <w:p w:rsidR="005A1079" w:rsidRPr="002F346F" w:rsidRDefault="005A1079" w:rsidP="005A1079">
      <w:pPr>
        <w:pStyle w:val="Prrafodelista"/>
        <w:numPr>
          <w:ilvl w:val="0"/>
          <w:numId w:val="23"/>
        </w:numPr>
        <w:tabs>
          <w:tab w:val="left" w:pos="284"/>
        </w:tabs>
        <w:ind w:left="567"/>
        <w:jc w:val="both"/>
        <w:rPr>
          <w:rFonts w:ascii="Arial" w:hAnsi="Arial" w:cs="Arial"/>
          <w:sz w:val="18"/>
          <w:szCs w:val="18"/>
        </w:rPr>
      </w:pPr>
      <w:r w:rsidRPr="002F346F">
        <w:rPr>
          <w:rFonts w:ascii="Arial" w:hAnsi="Arial" w:cs="Arial"/>
          <w:sz w:val="18"/>
          <w:szCs w:val="18"/>
        </w:rPr>
        <w:t xml:space="preserve">Promover una recuperación económica acelerada y sostenida.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La selección del primer conjunto de acciones privilegia una implementación rápida, para contener oportunamente los impactos sanitarios y económicos; una focalización en los sectores más vulnerables, que disponen de menos amortiguadores y acceso a mecanismos de mercado para hacer frente a emergencias; y un manejo responsable de las finanzas públicas, que prioriza el uso de fuentes existentes de recursos sobre el endeudamiento, a fin de reducir los impactos sobre generaciones futuras de medidas tomadas en el presente. Asimismo, la selección toma en cuenta los distintos riesgos que enfrenta nuestro país en los escenarios sanitarios y económicos previstos, y considera que en el escenario central nuestra economía se verá beneficiada por la reapertura coordinada de sectores clave con Canadá y Estados Unidos, a partir de las próximas semanas; la ratificación del T-MEC en julio; la sincronización del inicio de nuestra recuperación económica con la de nuestros socios comerciales que estará en una fase más avanzada que la nuestra; y, la mayor actividad económica que se anticipa para nuestro principal socio comercial durante el segundo semestre.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El Gobierno de México da seguimiento puntual a la evolución de la curva epidemiológica, de los indicadores económicos y de los distintos riesgos que enfrenta nuestro país, y dispone de un abanico de opciones de política pública para atender con rapidez una potencial profundización de la emergencia. Prevención y atención inmediata de la contingencia sanitaria con la finalidad de enfrentar la contingencia sanitaria, el sistema de salud mexicano ha tomado diversas medidas para atender a la población infectada, entre las que destacan la reconversión de infraestructura hospitalaria y la adquisición del equipo y materiales necesarios. Adicionalmente, el Instituto Mexicano del Seguro Social (IMSS) ejecuta su Plan Estratégico para la Atención de la Contingencia COVID-19 que, entre otros elementos, define una red de 70 hospitales de referencia para atender pacientes y 20 hospitales adicionales de reconversión donde se concentrará la atención en la etapa más crítica. Asimismo, se destinaron 4.5 mmp a las secretarías de la Defensa Nacional y de Marina para la activación del Plan DN-III y el Plan Marina, respectivamente. Por último, destaca que la Secretaría de Salud en conjunto con el Instituto de Salud para el Bienestar (INSABI) ejercieron 3.2 mmp para la compra de material de curación, medicamentos y equipamiento. Aunado a lo anterior, el Gobierno de México también ha impulsado una serie de medidas de mitigación, entre las que destacan: i) la contratación de 43 mil personas trabajadoras de la salud para hacer frente a la contingencia sanitaria; ii) el convenio del Sector Salud con 146 hospitales privados para atender hasta 12.5 mil pacientes en 27 entidades de la República y; iii) las medidas de distanciamiento social, que incluye la suspensión de clases y de las actividades no esenciales.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A fin de apoyar a la población afectada por el cierre de sus negocios, se otorgarán 1 millón 355 mil créditos de hasta 25 mil pesos a microempresarios familiares, así como 645 mil créditos a la palabra del IMSS y 1 millón adicional para microempresarios del sector informal. Así, se ayuda a las empresas que tienen menos recursos y acceso a los canales tradicionales de crédito a cubrir sus costos fijos y a conservar la relación laboral con sus empleados durante la etapa de contingencia sanitaria, lo cual les permitirá tanto sortear esta última como reactivarse más rápidamente una vez superada. Con el objetivo de apoyar a uno de los segmentos de la población más vulnerables en la emergencia, se adelantó un bimestre la entrega de la pensión de adultos mayores, para que puedan enfrentar los gastos extraordinarios derivados de la coyuntura. Asimismo, se destinarán 25 mil millones de pesos al Programa de Mejoramiento Urbano para introducir agua, drenaje, pavimento y alumbrado público en 50 municipios del país, lo que generará empleos y ayudará a reactivar la industria de la construcción. Para apoyar a las personas derechohabientes que perdieron su relación laboral durante la contingencia del COVID-19, el Fondo Nacional de la Vivienda para los Trabajadores (Infonavit) cubrirá hasta tres mensualidades del crédito correspondiente de quienes pierdan su relación laboral y aplicará hasta seis meses de prórroga, sin cargos moratorios, entre otros beneficios que en conjunto suman, aproximadamente, 20 mil millones de pesos. Para proteger el empleo formal, el Infonavit ofrece a las MiPyMEs prórrogas en el pago de las aportaciones correspondientes a trabajadores sin crédito vigente. Con el fin de proteger el gasto familiar, la CFE no reclasificará como Tarifa Doméstica de Alto Consumo el aumento del uso de energía en los hogares durante la contingencia. Con esta medida, se busca mitigar parte del gasto en pago de servicios por un incremento en el consumo de energía eléctrica, dado el confinamiento.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llevado a cabo un conjunto de medidas para garantizar el adecuado funcionamiento de los mercados financieros nacionales y fortalecer la liquidez en el sistema financiero. La Comisión Nacional Bancaria y de Valores (CNBV) flexibilizó la norma contable de la banca, a fin de permitirle diferir total o parcialmente los pagos de capital y/o intereses hasta por 6 meses de créditos comerciales, hipotecarios, personales, de nómina y para automóviles. Esto alivia presiones de liquidez de personas y negocios deudores que podrían haberse visto afectadas durante la suspensión de actividades.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Análogamente, la Comisión Nacional de Seguros y Fianzas que las instituciones de seguros modifiquen sus productos para ampliar los plazos del pago de primas y favorecer a asegurados que enfrenten emergencias durante la contingencia sanitaria. La Comisión de Cambios ha tomado medidas para aumentar la liquidez del mercado cambiario y reducir su volatilidad: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Incrementó el programa de coberturas cambiarias de 20 a 30 mil millones de dólares, con el objetivo de propiciar mejores condiciones de liquidez, un mejor descubrimiento de precios y un funcionamiento ordenado del mercado de cambios.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Anunció que a partir del 1 de abril realizará subastas de crédito en dólares por un monto de hasta 5 mil millones de dólares y con un plazo de vencimiento de 84 días. Además el Banco de México podrá operar coberturas cambiarias en horarios en los que los mercados nacionales están cerrados.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La Secretaría de Hacienda y Crédito Público mantiene una estrecha y productiva colaboración con el Banco de México, a fin de fortalecer el Programa de Formadores de Mercado de Deuda Gubernamental, para mejorar el funcionamiento de dicho mercado. Asimismo, se realizarán operaciones de permuta de valores gubernamentales, mediante las cuales el banco central recibirá títulos de largo plazo, y se tendrá la posibilidad de adquirir valores gubernamentales en reporto a plazos mayores que los que regularmente se utilizan en las operaciones de mercado abierto. Por último, el Banco de México ha implementado un conjunto de acciones encaminadas a asegurar la liquidez interna y externa, así como para reducir los costos de financiamiento. Destacan la disminución en el monto del Depósito de Regulación Monetaria, para liberar recursos a la banca comercial y que esté en mejores condiciones de otorgar créditos; el establecimiento de subastas de crédito en dólares financiadas con una línea “swap” por 60 mil millones de dólares con la Reserva Federal de Estados Unidos; la oportunidad de financiamiento a plazo de entre 18 y 24 meses a la banca y la facilidad de financiamiento garantizado con créditos a empresas que emiten deuda bursátil; y la reducción de la tasa de interés de la Facilidad de Liquidez Adicional Ordinaria (FLAO), de 2.2 a 1.1 veces su tasa de interés objetivo, para elevar la capacidad de otorgamiento de crédito de la banca. Cabe señalar que en una reunión extraordinaria el 21 de abril, posterior al periodo que cubre este informe, el Banco de México decidió recortar 50 puntos base adicionales su tasa objetivo, para llegar a un nivel de 6%.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Con la intención de que los gobiernos subnacionales cuenten con los recursos suficientes para hacer frente a la situación, se adelantaron las transferencias del Gobierno Federal de abril y mayo por un total de 18.9 mmp para las Secretarías de Salud de los estados. Adicionalmente y en línea con el objetivo de proteger las finanzas del Gobierno de México, se diseñan mejoras normativas para permitir a las entidades que cuentan con una posición financiera sólida un mayor acceso a los mercados de financiamiento, así como el diseño de mecanismos financieros para potenciar los recursos con que cuentan los gobiernos locales en distintos fondos.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5A1079" w:rsidRPr="00207C3D" w:rsidRDefault="005A1079" w:rsidP="005A1079">
      <w:pPr>
        <w:pStyle w:val="PRIMERAPLANA"/>
        <w:spacing w:line="360" w:lineRule="auto"/>
        <w:jc w:val="center"/>
        <w:rPr>
          <w:rFonts w:cs="Arial"/>
          <w:sz w:val="18"/>
          <w:szCs w:val="18"/>
          <w:lang w:val="es-ES"/>
        </w:rPr>
      </w:pPr>
      <w:r w:rsidRPr="00207C3D">
        <w:rPr>
          <w:noProof/>
          <w:sz w:val="18"/>
          <w:szCs w:val="18"/>
          <w:lang w:val="es-MX" w:eastAsia="es-MX"/>
        </w:rPr>
        <w:lastRenderedPageBreak/>
        <w:drawing>
          <wp:inline distT="0" distB="0" distL="0" distR="0" wp14:anchorId="546A639F" wp14:editId="107CA44E">
            <wp:extent cx="2562225" cy="3554095"/>
            <wp:effectExtent l="0" t="0" r="952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2225" cy="3554095"/>
                    </a:xfrm>
                    <a:prstGeom prst="rect">
                      <a:avLst/>
                    </a:prstGeom>
                    <a:noFill/>
                    <a:ln>
                      <a:noFill/>
                    </a:ln>
                  </pic:spPr>
                </pic:pic>
              </a:graphicData>
            </a:graphic>
          </wp:inline>
        </w:drawing>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tercer trimestre de 2019, Tlaxcala ha recibido flujos de inversión acumulados por 3 mil 200 millones de dólares (mdd) equivalentes al 1% del total de flujos captados por el país de acuerdo a la Secretaría de Economía al 3er Trimestre de 2019, la entidad pasó a ocupar la posición 28 como receptor de inversión externa en el país, una mejora de dos lugares con respecto al año 2018.</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Al mes de mayo de 2020 la tasa de ocupación reflejó una participación del 1.1 % al total nacional, representando un decremento de 2,498 puestos de trabajo respecto a diciembre de 2019. Al mes de mayo de 2020, se tienen registrados 99,775 trabajadores asegurados en el IMSS, tal y como se muestra en los siguientes cuadros:</w:t>
      </w:r>
    </w:p>
    <w:p w:rsidR="005A1079" w:rsidRDefault="005A1079" w:rsidP="005A1079">
      <w:pPr>
        <w:pStyle w:val="PRIMERAPLANA"/>
        <w:spacing w:line="360" w:lineRule="auto"/>
        <w:jc w:val="center"/>
        <w:rPr>
          <w:sz w:val="18"/>
          <w:szCs w:val="18"/>
        </w:rPr>
      </w:pPr>
      <w:r w:rsidRPr="002839E2">
        <w:rPr>
          <w:noProof/>
          <w:lang w:val="es-MX" w:eastAsia="es-MX"/>
        </w:rPr>
        <w:drawing>
          <wp:inline distT="0" distB="0" distL="0" distR="0" wp14:anchorId="18B7FA23" wp14:editId="6503D439">
            <wp:extent cx="6034393" cy="383875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8311" t="16780" r="12215" b="12305"/>
                    <a:stretch>
                      <a:fillRect/>
                    </a:stretch>
                  </pic:blipFill>
                  <pic:spPr bwMode="auto">
                    <a:xfrm>
                      <a:off x="0" y="0"/>
                      <a:ext cx="6034393" cy="3838755"/>
                    </a:xfrm>
                    <a:prstGeom prst="rect">
                      <a:avLst/>
                    </a:prstGeom>
                    <a:noFill/>
                    <a:ln>
                      <a:noFill/>
                    </a:ln>
                  </pic:spPr>
                </pic:pic>
              </a:graphicData>
            </a:graphic>
          </wp:inline>
        </w:drawing>
      </w:r>
    </w:p>
    <w:p w:rsidR="005A1079" w:rsidRDefault="005A1079" w:rsidP="005A1079">
      <w:pPr>
        <w:pStyle w:val="PRIMERAPLANA"/>
        <w:spacing w:line="360" w:lineRule="auto"/>
        <w:rPr>
          <w:sz w:val="18"/>
          <w:szCs w:val="18"/>
        </w:rPr>
      </w:pPr>
      <w:r w:rsidRPr="002839E2">
        <w:rPr>
          <w:noProof/>
          <w:lang w:val="es-MX" w:eastAsia="es-MX"/>
        </w:rPr>
        <w:lastRenderedPageBreak/>
        <w:drawing>
          <wp:inline distT="0" distB="0" distL="0" distR="0" wp14:anchorId="5EF181CC" wp14:editId="720D48F2">
            <wp:extent cx="8566150" cy="59953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0366" t="17662" r="23550" b="10744"/>
                    <a:stretch>
                      <a:fillRect/>
                    </a:stretch>
                  </pic:blipFill>
                  <pic:spPr bwMode="auto">
                    <a:xfrm>
                      <a:off x="0" y="0"/>
                      <a:ext cx="8572579" cy="5999857"/>
                    </a:xfrm>
                    <a:prstGeom prst="rect">
                      <a:avLst/>
                    </a:prstGeom>
                    <a:noFill/>
                    <a:ln>
                      <a:noFill/>
                    </a:ln>
                  </pic:spPr>
                </pic:pic>
              </a:graphicData>
            </a:graphic>
          </wp:inline>
        </w:drawing>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5A1079" w:rsidRPr="002F346F" w:rsidRDefault="005A1079" w:rsidP="005A1079">
      <w:pPr>
        <w:tabs>
          <w:tab w:val="left" w:pos="284"/>
        </w:tabs>
        <w:ind w:left="284"/>
        <w:jc w:val="center"/>
        <w:rPr>
          <w:rFonts w:ascii="Arial" w:hAnsi="Arial" w:cs="Arial"/>
          <w:sz w:val="18"/>
          <w:szCs w:val="18"/>
        </w:rPr>
      </w:pPr>
      <w:r w:rsidRPr="002F346F">
        <w:rPr>
          <w:rFonts w:ascii="Arial" w:hAnsi="Arial" w:cs="Arial"/>
          <w:noProof/>
          <w:sz w:val="18"/>
          <w:szCs w:val="18"/>
          <w:lang w:eastAsia="es-MX"/>
        </w:rPr>
        <w:drawing>
          <wp:inline distT="0" distB="0" distL="0" distR="0" wp14:anchorId="02B463F4" wp14:editId="5D6B3AD1">
            <wp:extent cx="6313668" cy="3669654"/>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059" t="17435" r="25847" b="15431"/>
                    <a:stretch>
                      <a:fillRect/>
                    </a:stretch>
                  </pic:blipFill>
                  <pic:spPr bwMode="auto">
                    <a:xfrm>
                      <a:off x="0" y="0"/>
                      <a:ext cx="6362310" cy="3697926"/>
                    </a:xfrm>
                    <a:prstGeom prst="rect">
                      <a:avLst/>
                    </a:prstGeom>
                    <a:noFill/>
                    <a:ln>
                      <a:noFill/>
                    </a:ln>
                  </pic:spPr>
                </pic:pic>
              </a:graphicData>
            </a:graphic>
          </wp:inline>
        </w:drawing>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5A1079" w:rsidRPr="002F346F" w:rsidRDefault="005A1079" w:rsidP="005A1079">
      <w:pPr>
        <w:tabs>
          <w:tab w:val="left" w:pos="284"/>
        </w:tabs>
        <w:ind w:left="284"/>
        <w:jc w:val="both"/>
        <w:rPr>
          <w:rFonts w:ascii="Arial" w:hAnsi="Arial" w:cs="Arial"/>
          <w:sz w:val="18"/>
          <w:szCs w:val="18"/>
        </w:rPr>
      </w:pPr>
    </w:p>
    <w:p w:rsidR="005A1079" w:rsidRDefault="005A1079" w:rsidP="005A1079">
      <w:pPr>
        <w:pStyle w:val="PRIMERAPLANA"/>
        <w:spacing w:line="360" w:lineRule="auto"/>
        <w:jc w:val="center"/>
        <w:rPr>
          <w:rFonts w:cs="Arial"/>
          <w:sz w:val="18"/>
          <w:szCs w:val="18"/>
          <w:lang w:val="es-ES"/>
        </w:rPr>
      </w:pPr>
      <w:r w:rsidRPr="00F43017">
        <w:rPr>
          <w:noProof/>
          <w:lang w:val="es-MX" w:eastAsia="es-MX"/>
        </w:rPr>
        <w:lastRenderedPageBreak/>
        <w:drawing>
          <wp:inline distT="0" distB="0" distL="0" distR="0" wp14:anchorId="75BC4016" wp14:editId="51F38CDE">
            <wp:extent cx="8450339" cy="5693434"/>
            <wp:effectExtent l="0" t="0" r="825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9038" cy="5699295"/>
                    </a:xfrm>
                    <a:prstGeom prst="rect">
                      <a:avLst/>
                    </a:prstGeom>
                    <a:noFill/>
                    <a:ln>
                      <a:noFill/>
                    </a:ln>
                  </pic:spPr>
                </pic:pic>
              </a:graphicData>
            </a:graphic>
          </wp:inline>
        </w:drawing>
      </w:r>
    </w:p>
    <w:p w:rsidR="005A1079" w:rsidRDefault="005A1079" w:rsidP="005A1079">
      <w:pPr>
        <w:pStyle w:val="PRIMERAPLANA"/>
        <w:spacing w:line="360" w:lineRule="auto"/>
        <w:rPr>
          <w:rFonts w:cs="Arial"/>
          <w:sz w:val="18"/>
          <w:szCs w:val="18"/>
          <w:lang w:val="es-ES"/>
        </w:rPr>
      </w:pP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14:anchorId="07700AAD" wp14:editId="70564325">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B6522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F346F">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6D2635" w:rsidRDefault="006D263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6D2635" w:rsidRDefault="006D2635"/>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6D2635" w:rsidRDefault="006D2635"/>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6D2635" w:rsidRDefault="006D2635">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6D2635" w:rsidRDefault="006D2635">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6D2635" w:rsidRDefault="006D263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6D2635" w:rsidRDefault="006D2635">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E4" w:rsidRDefault="00F148E4" w:rsidP="00EA5418">
      <w:pPr>
        <w:spacing w:after="0" w:line="240" w:lineRule="auto"/>
      </w:pPr>
      <w:r>
        <w:separator/>
      </w:r>
    </w:p>
  </w:endnote>
  <w:endnote w:type="continuationSeparator" w:id="0">
    <w:p w:rsidR="00F148E4" w:rsidRDefault="00F148E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Pr="004E3EA4" w:rsidRDefault="006D263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D0675" w:rsidRPr="008D0675">
          <w:rPr>
            <w:rFonts w:ascii="Arial" w:hAnsi="Arial" w:cs="Arial"/>
            <w:noProof/>
            <w:sz w:val="20"/>
            <w:lang w:val="es-ES"/>
          </w:rPr>
          <w:t>20</w:t>
        </w:r>
        <w:r w:rsidRPr="004E3EA4">
          <w:rPr>
            <w:rFonts w:ascii="Arial" w:hAnsi="Arial" w:cs="Arial"/>
            <w:sz w:val="20"/>
          </w:rPr>
          <w:fldChar w:fldCharType="end"/>
        </w:r>
      </w:sdtContent>
    </w:sdt>
  </w:p>
  <w:p w:rsidR="006D2635" w:rsidRDefault="006D26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Pr="003527CD" w:rsidRDefault="006D263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D0675" w:rsidRPr="008D0675">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E4" w:rsidRDefault="00F148E4" w:rsidP="00EA5418">
      <w:pPr>
        <w:spacing w:after="0" w:line="240" w:lineRule="auto"/>
      </w:pPr>
      <w:r>
        <w:separator/>
      </w:r>
    </w:p>
  </w:footnote>
  <w:footnote w:type="continuationSeparator" w:id="0">
    <w:p w:rsidR="00F148E4" w:rsidRDefault="00F148E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Default="00AA6A22">
    <w:pPr>
      <w:pStyle w:val="Encabezado"/>
    </w:pPr>
    <w:r>
      <w:rPr>
        <w:noProof/>
        <w:lang w:eastAsia="es-MX"/>
      </w:rPr>
      <mc:AlternateContent>
        <mc:Choice Requires="wps">
          <w:drawing>
            <wp:anchor distT="0" distB="0" distL="114300" distR="114300" simplePos="0" relativeHeight="251668480" behindDoc="0" locked="0" layoutInCell="1" allowOverlap="1" wp14:anchorId="3443FF57" wp14:editId="2FA78087">
              <wp:simplePos x="0" y="0"/>
              <wp:positionH relativeFrom="column">
                <wp:posOffset>1971675</wp:posOffset>
              </wp:positionH>
              <wp:positionV relativeFrom="paragraph">
                <wp:posOffset>-265678</wp:posOffset>
              </wp:positionV>
              <wp:extent cx="3648075" cy="5715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D2635" w:rsidRDefault="006D263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D2635" w:rsidRPr="00275FC6" w:rsidRDefault="006D263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3FF57" id="_x0000_t202" coordsize="21600,21600" o:spt="202" path="m,l,21600r21600,l21600,xe">
              <v:stroke joinstyle="miter"/>
              <v:path gradientshapeok="t" o:connecttype="rect"/>
            </v:shapetype>
            <v:shape id="Cuadro de texto 5" o:spid="_x0000_s1102" type="#_x0000_t202" style="position:absolute;margin-left:155.25pt;margin-top:-20.9pt;width:287.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" filled="f" stroked="f">
              <v:textbox>
                <w:txbxContent>
                  <w:p w:rsidR="006D2635" w:rsidRDefault="006D263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D2635" w:rsidRDefault="006D263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D2635" w:rsidRPr="00275FC6" w:rsidRDefault="006D2635" w:rsidP="00040466">
                    <w:pPr>
                      <w:jc w:val="right"/>
                      <w:rPr>
                        <w:rFonts w:ascii="Soberana Titular" w:hAnsi="Soberana Titular" w:cs="Arial"/>
                        <w:color w:val="808080" w:themeColor="background1" w:themeShade="80"/>
                        <w:sz w:val="20"/>
                        <w:szCs w:val="20"/>
                      </w:rPr>
                    </w:pPr>
                  </w:p>
                </w:txbxContent>
              </v:textbox>
            </v:shape>
          </w:pict>
        </mc:Fallback>
      </mc:AlternateContent>
    </w:r>
    <w:r w:rsidR="006D2635">
      <w:rPr>
        <w:noProof/>
        <w:lang w:eastAsia="es-MX"/>
      </w:rPr>
      <mc:AlternateContent>
        <mc:Choice Requires="wpg">
          <w:drawing>
            <wp:anchor distT="0" distB="0" distL="114300" distR="114300" simplePos="0" relativeHeight="251669504" behindDoc="0" locked="0" layoutInCell="1" allowOverlap="1" wp14:anchorId="3ED6CD59" wp14:editId="51909F8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635" w:rsidRPr="00DE4269" w:rsidRDefault="006D263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6CD59"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6D2635" w:rsidRPr="00DE4269" w:rsidRDefault="006D263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6D2635">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B3167CE" wp14:editId="116827A6">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Pr="003527CD" w:rsidRDefault="006D263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8F0634"/>
    <w:multiLevelType w:val="hybridMultilevel"/>
    <w:tmpl w:val="65B437D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9"/>
  </w:num>
  <w:num w:numId="8">
    <w:abstractNumId w:val="16"/>
  </w:num>
  <w:num w:numId="9">
    <w:abstractNumId w:val="8"/>
  </w:num>
  <w:num w:numId="10">
    <w:abstractNumId w:val="3"/>
  </w:num>
  <w:num w:numId="11">
    <w:abstractNumId w:val="0"/>
  </w:num>
  <w:num w:numId="12">
    <w:abstractNumId w:val="6"/>
  </w:num>
  <w:num w:numId="13">
    <w:abstractNumId w:val="20"/>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3E9F"/>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227A"/>
    <w:rsid w:val="00223CE1"/>
    <w:rsid w:val="0022440F"/>
    <w:rsid w:val="00227B93"/>
    <w:rsid w:val="00230B71"/>
    <w:rsid w:val="00236748"/>
    <w:rsid w:val="002431DD"/>
    <w:rsid w:val="00244A7B"/>
    <w:rsid w:val="00245E54"/>
    <w:rsid w:val="00247AD7"/>
    <w:rsid w:val="00251F0D"/>
    <w:rsid w:val="00255476"/>
    <w:rsid w:val="0025735F"/>
    <w:rsid w:val="00261B45"/>
    <w:rsid w:val="0026333F"/>
    <w:rsid w:val="00264426"/>
    <w:rsid w:val="002705C0"/>
    <w:rsid w:val="00270EC8"/>
    <w:rsid w:val="00272820"/>
    <w:rsid w:val="00272E20"/>
    <w:rsid w:val="0027627B"/>
    <w:rsid w:val="00280CD3"/>
    <w:rsid w:val="002858C7"/>
    <w:rsid w:val="00287D90"/>
    <w:rsid w:val="00290A24"/>
    <w:rsid w:val="00295D09"/>
    <w:rsid w:val="00295FCC"/>
    <w:rsid w:val="002A2013"/>
    <w:rsid w:val="002A70B3"/>
    <w:rsid w:val="002A728F"/>
    <w:rsid w:val="002A7FC3"/>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E3C2E"/>
    <w:rsid w:val="002E4A3B"/>
    <w:rsid w:val="002E52F9"/>
    <w:rsid w:val="002F546C"/>
    <w:rsid w:val="00300EF3"/>
    <w:rsid w:val="0030292A"/>
    <w:rsid w:val="00302E39"/>
    <w:rsid w:val="00304C38"/>
    <w:rsid w:val="00311255"/>
    <w:rsid w:val="0031194C"/>
    <w:rsid w:val="00312040"/>
    <w:rsid w:val="003156F1"/>
    <w:rsid w:val="003171B4"/>
    <w:rsid w:val="0032152C"/>
    <w:rsid w:val="0032384C"/>
    <w:rsid w:val="00323D16"/>
    <w:rsid w:val="00324311"/>
    <w:rsid w:val="00327048"/>
    <w:rsid w:val="00327701"/>
    <w:rsid w:val="00327740"/>
    <w:rsid w:val="00331185"/>
    <w:rsid w:val="00332091"/>
    <w:rsid w:val="00333309"/>
    <w:rsid w:val="0033398C"/>
    <w:rsid w:val="00336B8F"/>
    <w:rsid w:val="00351921"/>
    <w:rsid w:val="003527CD"/>
    <w:rsid w:val="003530FB"/>
    <w:rsid w:val="00354047"/>
    <w:rsid w:val="0035405F"/>
    <w:rsid w:val="0035468F"/>
    <w:rsid w:val="00356170"/>
    <w:rsid w:val="003612CA"/>
    <w:rsid w:val="00365BA0"/>
    <w:rsid w:val="00370FF6"/>
    <w:rsid w:val="00372F40"/>
    <w:rsid w:val="00374E36"/>
    <w:rsid w:val="00375F89"/>
    <w:rsid w:val="00377DF5"/>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D60B3"/>
    <w:rsid w:val="003E24FE"/>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4D1"/>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0CCD"/>
    <w:rsid w:val="005A1079"/>
    <w:rsid w:val="005A1296"/>
    <w:rsid w:val="005A3CCB"/>
    <w:rsid w:val="005A53BA"/>
    <w:rsid w:val="005A57AD"/>
    <w:rsid w:val="005B048C"/>
    <w:rsid w:val="005B0F75"/>
    <w:rsid w:val="005B1C69"/>
    <w:rsid w:val="005C02A4"/>
    <w:rsid w:val="005C0F25"/>
    <w:rsid w:val="005C1613"/>
    <w:rsid w:val="005C1E73"/>
    <w:rsid w:val="005C36E3"/>
    <w:rsid w:val="005C4BC3"/>
    <w:rsid w:val="005D3D25"/>
    <w:rsid w:val="005D5223"/>
    <w:rsid w:val="005D568E"/>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07E7E"/>
    <w:rsid w:val="00612203"/>
    <w:rsid w:val="00612216"/>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2DC6"/>
    <w:rsid w:val="006C2C92"/>
    <w:rsid w:val="006C54B8"/>
    <w:rsid w:val="006D2166"/>
    <w:rsid w:val="006D2635"/>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3019"/>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0B5D"/>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675"/>
    <w:rsid w:val="008D0B37"/>
    <w:rsid w:val="008D64D4"/>
    <w:rsid w:val="008D7129"/>
    <w:rsid w:val="008E3652"/>
    <w:rsid w:val="008E3672"/>
    <w:rsid w:val="008E380D"/>
    <w:rsid w:val="008E49AB"/>
    <w:rsid w:val="008E5316"/>
    <w:rsid w:val="008F056B"/>
    <w:rsid w:val="008F0CF5"/>
    <w:rsid w:val="008F45AC"/>
    <w:rsid w:val="008F4733"/>
    <w:rsid w:val="008F4EF3"/>
    <w:rsid w:val="008F5430"/>
    <w:rsid w:val="008F6D58"/>
    <w:rsid w:val="008F6EFE"/>
    <w:rsid w:val="008F708E"/>
    <w:rsid w:val="0090030B"/>
    <w:rsid w:val="00902118"/>
    <w:rsid w:val="00906016"/>
    <w:rsid w:val="00910949"/>
    <w:rsid w:val="0091195E"/>
    <w:rsid w:val="0091566D"/>
    <w:rsid w:val="0091612C"/>
    <w:rsid w:val="00916652"/>
    <w:rsid w:val="00917A1B"/>
    <w:rsid w:val="00917AC1"/>
    <w:rsid w:val="00917FE3"/>
    <w:rsid w:val="00922515"/>
    <w:rsid w:val="00923251"/>
    <w:rsid w:val="00923720"/>
    <w:rsid w:val="00923D9A"/>
    <w:rsid w:val="009244C1"/>
    <w:rsid w:val="0092487E"/>
    <w:rsid w:val="0092553A"/>
    <w:rsid w:val="00927BA4"/>
    <w:rsid w:val="00932300"/>
    <w:rsid w:val="0093492C"/>
    <w:rsid w:val="009364B7"/>
    <w:rsid w:val="00940901"/>
    <w:rsid w:val="0094113D"/>
    <w:rsid w:val="009418D0"/>
    <w:rsid w:val="00941FB8"/>
    <w:rsid w:val="009437BD"/>
    <w:rsid w:val="009458FF"/>
    <w:rsid w:val="0095031E"/>
    <w:rsid w:val="009520C0"/>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05D3"/>
    <w:rsid w:val="00A33146"/>
    <w:rsid w:val="00A344CA"/>
    <w:rsid w:val="00A35A05"/>
    <w:rsid w:val="00A363B6"/>
    <w:rsid w:val="00A365A1"/>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A6A22"/>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1520"/>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29D2"/>
    <w:rsid w:val="00D13E7D"/>
    <w:rsid w:val="00D14208"/>
    <w:rsid w:val="00D1757C"/>
    <w:rsid w:val="00D234B6"/>
    <w:rsid w:val="00D254F0"/>
    <w:rsid w:val="00D31562"/>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5237"/>
    <w:rsid w:val="00DA68FB"/>
    <w:rsid w:val="00DA6BE0"/>
    <w:rsid w:val="00DB3AF6"/>
    <w:rsid w:val="00DB4C18"/>
    <w:rsid w:val="00DB53FB"/>
    <w:rsid w:val="00DC4EE2"/>
    <w:rsid w:val="00DC7D7B"/>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41E"/>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3AA9"/>
    <w:rsid w:val="00EF5CC7"/>
    <w:rsid w:val="00EF62F8"/>
    <w:rsid w:val="00F011BD"/>
    <w:rsid w:val="00F016BA"/>
    <w:rsid w:val="00F01B31"/>
    <w:rsid w:val="00F03C78"/>
    <w:rsid w:val="00F07DB8"/>
    <w:rsid w:val="00F148E4"/>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097E1-42B9-4EAC-98D1-4190B77FE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9928</Words>
  <Characters>54606</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2020-04-08T16:49:00Z</cp:lastPrinted>
  <dcterms:created xsi:type="dcterms:W3CDTF">2020-09-22T19:04:00Z</dcterms:created>
  <dcterms:modified xsi:type="dcterms:W3CDTF">2020-09-22T19:04:00Z</dcterms:modified>
</cp:coreProperties>
</file>