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8ED57" w14:textId="2EAF69A2" w:rsidR="00160AC7" w:rsidRDefault="00D34F25" w:rsidP="003367AD">
      <w:pPr>
        <w:jc w:val="center"/>
      </w:pPr>
      <w:r w:rsidRPr="00D34F25">
        <w:rPr>
          <w:noProof/>
        </w:rPr>
        <w:drawing>
          <wp:inline distT="0" distB="0" distL="0" distR="0" wp14:anchorId="1632D164" wp14:editId="388DB040">
            <wp:extent cx="8468995" cy="5943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8995" cy="5943600"/>
                    </a:xfrm>
                    <a:prstGeom prst="rect">
                      <a:avLst/>
                    </a:prstGeom>
                    <a:noFill/>
                    <a:ln>
                      <a:noFill/>
                    </a:ln>
                  </pic:spPr>
                </pic:pic>
              </a:graphicData>
            </a:graphic>
          </wp:inline>
        </w:drawing>
      </w:r>
      <w:r w:rsidR="00160AC7">
        <w:br w:type="page"/>
      </w:r>
    </w:p>
    <w:p w14:paraId="6F5610BF" w14:textId="467BB3F6" w:rsidR="004A4059" w:rsidRDefault="00D34F25" w:rsidP="003D39F7">
      <w:pPr>
        <w:jc w:val="center"/>
      </w:pPr>
      <w:r w:rsidRPr="00D34F25">
        <w:rPr>
          <w:noProof/>
        </w:rPr>
        <w:lastRenderedPageBreak/>
        <w:drawing>
          <wp:inline distT="0" distB="0" distL="0" distR="0" wp14:anchorId="2F220244" wp14:editId="4D0B52FE">
            <wp:extent cx="7696835" cy="5943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835" cy="5943600"/>
                    </a:xfrm>
                    <a:prstGeom prst="rect">
                      <a:avLst/>
                    </a:prstGeom>
                    <a:noFill/>
                    <a:ln>
                      <a:noFill/>
                    </a:ln>
                  </pic:spPr>
                </pic:pic>
              </a:graphicData>
            </a:graphic>
          </wp:inline>
        </w:drawing>
      </w:r>
      <w:r w:rsidR="004A4059">
        <w:br w:type="page"/>
      </w:r>
    </w:p>
    <w:p w14:paraId="53CD7030" w14:textId="6E9702F6" w:rsidR="00A50FBF" w:rsidRDefault="0051669E" w:rsidP="00A50FBF">
      <w:pPr>
        <w:jc w:val="center"/>
      </w:pPr>
      <w:r w:rsidRPr="0051669E">
        <w:rPr>
          <w:noProof/>
        </w:rPr>
        <w:lastRenderedPageBreak/>
        <w:drawing>
          <wp:inline distT="0" distB="0" distL="0" distR="0" wp14:anchorId="0BC62078" wp14:editId="5FC04800">
            <wp:extent cx="7401560" cy="5943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1560" cy="5943600"/>
                    </a:xfrm>
                    <a:prstGeom prst="rect">
                      <a:avLst/>
                    </a:prstGeom>
                    <a:noFill/>
                    <a:ln>
                      <a:noFill/>
                    </a:ln>
                  </pic:spPr>
                </pic:pic>
              </a:graphicData>
            </a:graphic>
          </wp:inline>
        </w:drawing>
      </w:r>
      <w:r w:rsidR="00A50FBF">
        <w:br w:type="page"/>
      </w:r>
    </w:p>
    <w:p w14:paraId="0B55C492" w14:textId="600CF2D9" w:rsidR="00372F40" w:rsidRDefault="00D34F25" w:rsidP="001A340E">
      <w:pPr>
        <w:jc w:val="center"/>
      </w:pPr>
      <w:r w:rsidRPr="00D34F25">
        <w:rPr>
          <w:noProof/>
        </w:rPr>
        <w:lastRenderedPageBreak/>
        <w:drawing>
          <wp:inline distT="0" distB="0" distL="0" distR="0" wp14:anchorId="7FA6580D" wp14:editId="329A2F14">
            <wp:extent cx="8135620" cy="5943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35620" cy="5943600"/>
                    </a:xfrm>
                    <a:prstGeom prst="rect">
                      <a:avLst/>
                    </a:prstGeom>
                    <a:noFill/>
                    <a:ln>
                      <a:noFill/>
                    </a:ln>
                  </pic:spPr>
                </pic:pic>
              </a:graphicData>
            </a:graphic>
          </wp:inline>
        </w:drawing>
      </w:r>
      <w:r w:rsidR="001A340E">
        <w:br w:type="page"/>
      </w:r>
    </w:p>
    <w:p w14:paraId="7462D46D" w14:textId="1390471C" w:rsidR="00A50FBF" w:rsidRDefault="00F7782D" w:rsidP="00A50FBF">
      <w:pPr>
        <w:tabs>
          <w:tab w:val="left" w:pos="2430"/>
        </w:tabs>
        <w:jc w:val="center"/>
      </w:pPr>
      <w:r w:rsidRPr="00F7782D">
        <w:rPr>
          <w:noProof/>
        </w:rPr>
        <w:lastRenderedPageBreak/>
        <w:drawing>
          <wp:inline distT="0" distB="0" distL="0" distR="0" wp14:anchorId="1B13912A" wp14:editId="275F7174">
            <wp:extent cx="6285865" cy="5943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865" cy="5943600"/>
                    </a:xfrm>
                    <a:prstGeom prst="rect">
                      <a:avLst/>
                    </a:prstGeom>
                    <a:noFill/>
                    <a:ln>
                      <a:noFill/>
                    </a:ln>
                  </pic:spPr>
                </pic:pic>
              </a:graphicData>
            </a:graphic>
          </wp:inline>
        </w:drawing>
      </w:r>
      <w:r w:rsidR="00A50FBF">
        <w:br w:type="page"/>
      </w:r>
    </w:p>
    <w:p w14:paraId="0E7C4D11" w14:textId="1363573F" w:rsidR="00EC4810" w:rsidRDefault="00F7782D" w:rsidP="00EC4810">
      <w:pPr>
        <w:jc w:val="center"/>
      </w:pPr>
      <w:r w:rsidRPr="00F7782D">
        <w:rPr>
          <w:noProof/>
        </w:rPr>
        <w:lastRenderedPageBreak/>
        <w:drawing>
          <wp:inline distT="0" distB="0" distL="0" distR="0" wp14:anchorId="461BC9A2" wp14:editId="1B7FDD8E">
            <wp:extent cx="6617970" cy="5943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7970" cy="5943600"/>
                    </a:xfrm>
                    <a:prstGeom prst="rect">
                      <a:avLst/>
                    </a:prstGeom>
                    <a:noFill/>
                    <a:ln>
                      <a:noFill/>
                    </a:ln>
                  </pic:spPr>
                </pic:pic>
              </a:graphicData>
            </a:graphic>
          </wp:inline>
        </w:drawing>
      </w:r>
      <w:r w:rsidR="00EC4810">
        <w:br w:type="page"/>
      </w:r>
    </w:p>
    <w:p w14:paraId="51A53534" w14:textId="476894E2" w:rsidR="000B30A9" w:rsidRDefault="00F7782D" w:rsidP="000B30A9">
      <w:pPr>
        <w:jc w:val="center"/>
      </w:pPr>
      <w:r w:rsidRPr="00F7782D">
        <w:rPr>
          <w:noProof/>
        </w:rPr>
        <w:lastRenderedPageBreak/>
        <w:drawing>
          <wp:inline distT="0" distB="0" distL="0" distR="0" wp14:anchorId="77BBAFAB" wp14:editId="5382439C">
            <wp:extent cx="8590280" cy="5943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90280" cy="5943600"/>
                    </a:xfrm>
                    <a:prstGeom prst="rect">
                      <a:avLst/>
                    </a:prstGeom>
                    <a:noFill/>
                    <a:ln>
                      <a:noFill/>
                    </a:ln>
                  </pic:spPr>
                </pic:pic>
              </a:graphicData>
            </a:graphic>
          </wp:inline>
        </w:drawing>
      </w:r>
      <w:r w:rsidR="000B30A9">
        <w:br w:type="page"/>
      </w:r>
    </w:p>
    <w:bookmarkStart w:id="0" w:name="_MON_1615728351"/>
    <w:bookmarkEnd w:id="0"/>
    <w:p w14:paraId="49F6F64A" w14:textId="45D984D4" w:rsidR="00721501" w:rsidRDefault="00775806" w:rsidP="00A05A44">
      <w:pPr>
        <w:jc w:val="center"/>
        <w:rPr>
          <w:rFonts w:ascii="Soberana Sans Light" w:hAnsi="Soberana Sans Light"/>
        </w:rPr>
      </w:pPr>
      <w:r>
        <w:rPr>
          <w:rFonts w:ascii="Soberana Sans Light" w:hAnsi="Soberana Sans Light"/>
        </w:rPr>
        <w:object w:dxaOrig="13584" w:dyaOrig="7198" w14:anchorId="73927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1.75pt;height:330pt" o:ole="">
            <v:imagedata r:id="rId15" o:title=""/>
          </v:shape>
          <o:OLEObject Type="Embed" ProgID="Excel.Sheet.8" ShapeID="_x0000_i1030" DrawAspect="Content" ObjectID="_1647765144" r:id="rId16"/>
        </w:object>
      </w:r>
      <w:r w:rsidR="00721501">
        <w:rPr>
          <w:rFonts w:ascii="Soberana Sans Light" w:hAnsi="Soberana Sans Light"/>
        </w:rPr>
        <w:br w:type="page"/>
      </w:r>
    </w:p>
    <w:p w14:paraId="22534C07" w14:textId="77777777" w:rsidR="00721501" w:rsidRDefault="00721501" w:rsidP="00721501">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70986588" w14:textId="77777777" w:rsidR="00721501" w:rsidRDefault="00970359" w:rsidP="00721501">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a) NOTAS DE DESGLOSE</w:t>
      </w:r>
    </w:p>
    <w:p w14:paraId="217C0D11" w14:textId="77777777" w:rsidR="00721501" w:rsidRPr="007E42D2" w:rsidRDefault="00721501" w:rsidP="00721501">
      <w:pPr>
        <w:pStyle w:val="INCISO"/>
        <w:spacing w:after="0" w:line="240" w:lineRule="exact"/>
        <w:ind w:left="648"/>
        <w:rPr>
          <w:rFonts w:ascii="Soberana Sans Light" w:hAnsi="Soberana Sans Light"/>
          <w:b/>
          <w:smallCaps/>
        </w:rPr>
      </w:pPr>
      <w:r w:rsidRPr="007E42D2">
        <w:rPr>
          <w:rFonts w:ascii="Soberana Sans Light" w:hAnsi="Soberana Sans Light"/>
          <w:b/>
          <w:smallCaps/>
        </w:rPr>
        <w:t>I)</w:t>
      </w:r>
      <w:r w:rsidRPr="007E42D2">
        <w:rPr>
          <w:rFonts w:ascii="Soberana Sans Light" w:hAnsi="Soberana Sans Light"/>
          <w:b/>
          <w:smallCaps/>
        </w:rPr>
        <w:tab/>
        <w:t>Notas al Estado de Situación Financiera</w:t>
      </w:r>
    </w:p>
    <w:p w14:paraId="2F0E05FD" w14:textId="77777777" w:rsidR="00721501" w:rsidRPr="007E42D2" w:rsidRDefault="00721501" w:rsidP="00721501">
      <w:pPr>
        <w:pStyle w:val="Texto"/>
        <w:spacing w:after="0" w:line="276" w:lineRule="auto"/>
        <w:rPr>
          <w:b/>
          <w:szCs w:val="18"/>
          <w:lang w:val="es-MX"/>
        </w:rPr>
      </w:pPr>
      <w:r w:rsidRPr="007E42D2">
        <w:rPr>
          <w:b/>
          <w:szCs w:val="18"/>
          <w:lang w:val="es-MX"/>
        </w:rPr>
        <w:t>Activo</w:t>
      </w:r>
    </w:p>
    <w:p w14:paraId="48089952" w14:textId="77777777"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Efectivo y Equivalentes</w:t>
      </w:r>
    </w:p>
    <w:p w14:paraId="0CEEB389" w14:textId="77777777" w:rsidR="00721501" w:rsidRPr="007E42D2" w:rsidRDefault="00721501" w:rsidP="00721501">
      <w:pPr>
        <w:autoSpaceDE w:val="0"/>
        <w:autoSpaceDN w:val="0"/>
        <w:adjustRightInd w:val="0"/>
        <w:spacing w:before="80"/>
        <w:ind w:left="993"/>
        <w:jc w:val="both"/>
        <w:rPr>
          <w:rFonts w:ascii="Arial" w:hAnsi="Arial" w:cs="Arial"/>
          <w:sz w:val="18"/>
          <w:szCs w:val="18"/>
        </w:rPr>
      </w:pPr>
      <w:r w:rsidRPr="007E42D2">
        <w:rPr>
          <w:rFonts w:ascii="Arial" w:hAnsi="Arial" w:cs="Arial"/>
          <w:sz w:val="18"/>
          <w:szCs w:val="18"/>
        </w:rPr>
        <w:t xml:space="preserve">En este rubro se integran los recursos monetarios que maneja el Instituto Tlaxcalteca para la Educación de los Adultos ITEA, en cuentas bancarias en moneda nacional. A </w:t>
      </w:r>
      <w:r w:rsidR="000C457F" w:rsidRPr="007E42D2">
        <w:rPr>
          <w:rFonts w:ascii="Arial" w:hAnsi="Arial" w:cs="Arial"/>
          <w:sz w:val="18"/>
          <w:szCs w:val="18"/>
        </w:rPr>
        <w:t>continuación,</w:t>
      </w:r>
      <w:r w:rsidRPr="007E42D2">
        <w:rPr>
          <w:rFonts w:ascii="Arial" w:hAnsi="Arial" w:cs="Arial"/>
          <w:sz w:val="18"/>
          <w:szCs w:val="18"/>
        </w:rPr>
        <w:t xml:space="preserve"> se presenta la integración de este rubro:</w:t>
      </w:r>
    </w:p>
    <w:p w14:paraId="3C6A52F4" w14:textId="77777777"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2963"/>
        <w:gridCol w:w="1715"/>
      </w:tblGrid>
      <w:tr w:rsidR="00721501" w:rsidRPr="007E42D2" w14:paraId="75689C0B" w14:textId="77777777" w:rsidTr="00AD44D4">
        <w:trPr>
          <w:trHeight w:val="60"/>
          <w:jc w:val="center"/>
        </w:trPr>
        <w:tc>
          <w:tcPr>
            <w:tcW w:w="2963" w:type="dxa"/>
            <w:shd w:val="clear" w:color="auto" w:fill="632423" w:themeFill="accent2" w:themeFillShade="80"/>
          </w:tcPr>
          <w:p w14:paraId="55FD3FB8" w14:textId="77777777" w:rsidR="00721501" w:rsidRPr="007E42D2" w:rsidRDefault="006D3398" w:rsidP="00721501">
            <w:pPr>
              <w:pStyle w:val="Texto"/>
              <w:spacing w:after="0" w:line="276" w:lineRule="auto"/>
              <w:ind w:firstLine="0"/>
              <w:jc w:val="center"/>
              <w:rPr>
                <w:b/>
                <w:color w:val="FFFFFF" w:themeColor="background1"/>
                <w:szCs w:val="18"/>
                <w:lang w:val="es-MX"/>
              </w:rPr>
            </w:pPr>
            <w:r>
              <w:rPr>
                <w:b/>
                <w:color w:val="FFFFFF" w:themeColor="background1"/>
                <w:szCs w:val="18"/>
                <w:lang w:val="es-MX"/>
              </w:rPr>
              <w:t>Por Fuente de Financiamiento</w:t>
            </w:r>
          </w:p>
        </w:tc>
        <w:tc>
          <w:tcPr>
            <w:tcW w:w="1715" w:type="dxa"/>
            <w:shd w:val="clear" w:color="auto" w:fill="632423" w:themeFill="accent2" w:themeFillShade="80"/>
          </w:tcPr>
          <w:p w14:paraId="6F8250F4" w14:textId="0DDA220F" w:rsidR="00721501" w:rsidRPr="007E42D2" w:rsidRDefault="006D3398" w:rsidP="005F042F">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6C2339">
              <w:rPr>
                <w:b/>
                <w:color w:val="FFFFFF" w:themeColor="background1"/>
                <w:szCs w:val="18"/>
                <w:lang w:val="es-MX"/>
              </w:rPr>
              <w:t xml:space="preserve">31 </w:t>
            </w:r>
            <w:r w:rsidR="007D4895">
              <w:rPr>
                <w:b/>
                <w:color w:val="FFFFFF" w:themeColor="background1"/>
                <w:szCs w:val="18"/>
                <w:lang w:val="es-MX"/>
              </w:rPr>
              <w:t>Mar. 2020</w:t>
            </w:r>
          </w:p>
        </w:tc>
      </w:tr>
      <w:tr w:rsidR="00721501" w:rsidRPr="007E42D2" w14:paraId="2C1E5C9B" w14:textId="77777777" w:rsidTr="00721501">
        <w:trPr>
          <w:trHeight w:val="60"/>
          <w:jc w:val="center"/>
        </w:trPr>
        <w:tc>
          <w:tcPr>
            <w:tcW w:w="2963" w:type="dxa"/>
            <w:shd w:val="clear" w:color="auto" w:fill="auto"/>
          </w:tcPr>
          <w:p w14:paraId="4937587E" w14:textId="77777777" w:rsidR="00721501" w:rsidRPr="007E42D2" w:rsidRDefault="00721501" w:rsidP="00721501">
            <w:pPr>
              <w:pStyle w:val="Texto"/>
              <w:spacing w:after="0" w:line="276" w:lineRule="auto"/>
              <w:ind w:firstLine="0"/>
              <w:jc w:val="left"/>
              <w:rPr>
                <w:szCs w:val="18"/>
                <w:lang w:val="es-MX"/>
              </w:rPr>
            </w:pPr>
            <w:r w:rsidRPr="007E42D2">
              <w:rPr>
                <w:szCs w:val="18"/>
                <w:lang w:val="es-MX"/>
              </w:rPr>
              <w:t>Ramo 33 FAETA</w:t>
            </w:r>
          </w:p>
        </w:tc>
        <w:tc>
          <w:tcPr>
            <w:tcW w:w="1715" w:type="dxa"/>
            <w:shd w:val="clear" w:color="auto" w:fill="auto"/>
          </w:tcPr>
          <w:p w14:paraId="6B4AB569" w14:textId="1FC14254" w:rsidR="00721501" w:rsidRPr="007E42D2" w:rsidRDefault="007D4895" w:rsidP="005C0433">
            <w:pPr>
              <w:pStyle w:val="Texto"/>
              <w:spacing w:after="0" w:line="276" w:lineRule="auto"/>
              <w:ind w:firstLine="0"/>
              <w:jc w:val="right"/>
              <w:rPr>
                <w:szCs w:val="18"/>
                <w:lang w:val="es-MX"/>
              </w:rPr>
            </w:pPr>
            <w:r>
              <w:rPr>
                <w:szCs w:val="18"/>
                <w:lang w:val="es-MX"/>
              </w:rPr>
              <w:t>2,722,580.94</w:t>
            </w:r>
          </w:p>
        </w:tc>
      </w:tr>
      <w:tr w:rsidR="00721501" w:rsidRPr="007E42D2" w14:paraId="3C562183" w14:textId="77777777" w:rsidTr="00721501">
        <w:trPr>
          <w:trHeight w:val="60"/>
          <w:jc w:val="center"/>
        </w:trPr>
        <w:tc>
          <w:tcPr>
            <w:tcW w:w="2963" w:type="dxa"/>
            <w:shd w:val="clear" w:color="auto" w:fill="auto"/>
          </w:tcPr>
          <w:p w14:paraId="23D369AC" w14:textId="77777777" w:rsidR="00721501" w:rsidRPr="007E42D2" w:rsidRDefault="00721501" w:rsidP="00721501">
            <w:pPr>
              <w:pStyle w:val="Texto"/>
              <w:spacing w:after="0" w:line="276" w:lineRule="auto"/>
              <w:ind w:firstLine="0"/>
              <w:jc w:val="left"/>
              <w:rPr>
                <w:szCs w:val="18"/>
                <w:lang w:val="es-MX"/>
              </w:rPr>
            </w:pPr>
            <w:r w:rsidRPr="007E42D2">
              <w:rPr>
                <w:szCs w:val="18"/>
                <w:lang w:val="es-MX"/>
              </w:rPr>
              <w:t>Ramo 11</w:t>
            </w:r>
          </w:p>
        </w:tc>
        <w:tc>
          <w:tcPr>
            <w:tcW w:w="1715" w:type="dxa"/>
            <w:shd w:val="clear" w:color="auto" w:fill="auto"/>
          </w:tcPr>
          <w:p w14:paraId="0089AA47" w14:textId="133B6492" w:rsidR="001F3DD1" w:rsidRPr="007E42D2" w:rsidRDefault="007D4895" w:rsidP="00C76024">
            <w:pPr>
              <w:pStyle w:val="Texto"/>
              <w:spacing w:after="0" w:line="276" w:lineRule="auto"/>
              <w:ind w:firstLine="0"/>
              <w:jc w:val="right"/>
              <w:rPr>
                <w:szCs w:val="18"/>
                <w:lang w:val="es-MX"/>
              </w:rPr>
            </w:pPr>
            <w:r>
              <w:rPr>
                <w:szCs w:val="18"/>
                <w:lang w:val="es-MX"/>
              </w:rPr>
              <w:t>1,142,068.92</w:t>
            </w:r>
          </w:p>
        </w:tc>
      </w:tr>
      <w:tr w:rsidR="00721501" w:rsidRPr="007E42D2" w14:paraId="43FAE477" w14:textId="77777777" w:rsidTr="00721501">
        <w:trPr>
          <w:trHeight w:val="60"/>
          <w:jc w:val="center"/>
        </w:trPr>
        <w:tc>
          <w:tcPr>
            <w:tcW w:w="2963" w:type="dxa"/>
            <w:shd w:val="clear" w:color="auto" w:fill="auto"/>
          </w:tcPr>
          <w:p w14:paraId="4F506F83" w14:textId="77777777" w:rsidR="00721501" w:rsidRPr="007E42D2" w:rsidRDefault="00721501" w:rsidP="00721501">
            <w:pPr>
              <w:pStyle w:val="Texto"/>
              <w:spacing w:after="0" w:line="276" w:lineRule="auto"/>
              <w:ind w:firstLine="0"/>
              <w:jc w:val="left"/>
              <w:rPr>
                <w:szCs w:val="18"/>
                <w:lang w:val="es-MX"/>
              </w:rPr>
            </w:pPr>
            <w:r w:rsidRPr="007E42D2">
              <w:rPr>
                <w:szCs w:val="18"/>
                <w:lang w:val="es-MX"/>
              </w:rPr>
              <w:t>Estatal</w:t>
            </w:r>
          </w:p>
        </w:tc>
        <w:tc>
          <w:tcPr>
            <w:tcW w:w="1715" w:type="dxa"/>
            <w:shd w:val="clear" w:color="auto" w:fill="auto"/>
          </w:tcPr>
          <w:p w14:paraId="5BD2E07C" w14:textId="4BAF08ED" w:rsidR="00721501" w:rsidRPr="007E42D2" w:rsidRDefault="007D4895" w:rsidP="00B40B47">
            <w:pPr>
              <w:pStyle w:val="Texto"/>
              <w:spacing w:after="0" w:line="276" w:lineRule="auto"/>
              <w:ind w:firstLine="0"/>
              <w:jc w:val="right"/>
              <w:rPr>
                <w:szCs w:val="18"/>
                <w:lang w:val="es-MX"/>
              </w:rPr>
            </w:pPr>
            <w:r>
              <w:rPr>
                <w:szCs w:val="18"/>
                <w:lang w:val="es-MX"/>
              </w:rPr>
              <w:t>986,116.55</w:t>
            </w:r>
          </w:p>
        </w:tc>
      </w:tr>
      <w:tr w:rsidR="00721501" w:rsidRPr="007E42D2" w14:paraId="7AA7D86D" w14:textId="77777777" w:rsidTr="00721501">
        <w:trPr>
          <w:trHeight w:val="60"/>
          <w:jc w:val="center"/>
        </w:trPr>
        <w:tc>
          <w:tcPr>
            <w:tcW w:w="2963" w:type="dxa"/>
            <w:shd w:val="clear" w:color="auto" w:fill="auto"/>
          </w:tcPr>
          <w:p w14:paraId="0B1B86E5" w14:textId="77777777" w:rsidR="00721501" w:rsidRPr="000C457F" w:rsidRDefault="00E81F5F" w:rsidP="00B40B47">
            <w:pPr>
              <w:pStyle w:val="Texto"/>
              <w:spacing w:after="0" w:line="276" w:lineRule="auto"/>
              <w:ind w:firstLine="0"/>
              <w:jc w:val="right"/>
              <w:rPr>
                <w:b/>
                <w:szCs w:val="18"/>
                <w:lang w:val="es-MX"/>
              </w:rPr>
            </w:pPr>
            <w:r w:rsidRPr="000C457F">
              <w:rPr>
                <w:b/>
                <w:szCs w:val="18"/>
                <w:lang w:val="es-MX"/>
              </w:rPr>
              <w:t>S</w:t>
            </w:r>
            <w:r w:rsidR="00721501" w:rsidRPr="000C457F">
              <w:rPr>
                <w:b/>
                <w:szCs w:val="18"/>
                <w:lang w:val="es-MX"/>
              </w:rPr>
              <w:t>uma</w:t>
            </w:r>
            <w:r w:rsidR="00EF7F06" w:rsidRPr="000C457F">
              <w:rPr>
                <w:b/>
                <w:szCs w:val="18"/>
                <w:lang w:val="es-MX"/>
              </w:rPr>
              <w:t>:</w:t>
            </w:r>
          </w:p>
        </w:tc>
        <w:tc>
          <w:tcPr>
            <w:tcW w:w="1715" w:type="dxa"/>
            <w:shd w:val="clear" w:color="auto" w:fill="auto"/>
          </w:tcPr>
          <w:p w14:paraId="3A12B49E" w14:textId="5B38666D" w:rsidR="00721501" w:rsidRPr="000C457F" w:rsidRDefault="00E47902" w:rsidP="009E2AB5">
            <w:pPr>
              <w:pStyle w:val="Texto"/>
              <w:spacing w:after="0" w:line="276" w:lineRule="auto"/>
              <w:ind w:firstLine="0"/>
              <w:jc w:val="right"/>
              <w:rPr>
                <w:b/>
                <w:szCs w:val="18"/>
                <w:lang w:val="es-MX"/>
              </w:rPr>
            </w:pPr>
            <w:r w:rsidRPr="000C457F">
              <w:rPr>
                <w:b/>
                <w:szCs w:val="18"/>
                <w:lang w:val="es-MX"/>
              </w:rPr>
              <w:fldChar w:fldCharType="begin"/>
            </w:r>
            <w:r w:rsidR="006D3398" w:rsidRPr="000C457F">
              <w:rPr>
                <w:b/>
                <w:szCs w:val="18"/>
                <w:lang w:val="es-MX"/>
              </w:rPr>
              <w:instrText xml:space="preserve"> =SUM(ABOVE) \# "$#,##0.00;($#,##0.00)" </w:instrText>
            </w:r>
            <w:r w:rsidRPr="000C457F">
              <w:rPr>
                <w:b/>
                <w:szCs w:val="18"/>
                <w:lang w:val="es-MX"/>
              </w:rPr>
              <w:fldChar w:fldCharType="separate"/>
            </w:r>
            <w:r w:rsidR="007D4895" w:rsidRPr="000C457F">
              <w:rPr>
                <w:b/>
                <w:noProof/>
                <w:szCs w:val="18"/>
                <w:lang w:val="es-MX"/>
              </w:rPr>
              <w:t>$</w:t>
            </w:r>
            <w:r w:rsidR="007D4895">
              <w:rPr>
                <w:b/>
                <w:noProof/>
                <w:szCs w:val="18"/>
                <w:lang w:val="es-MX"/>
              </w:rPr>
              <w:t xml:space="preserve">   4,850,766.41</w:t>
            </w:r>
            <w:r w:rsidRPr="000C457F">
              <w:rPr>
                <w:b/>
                <w:szCs w:val="18"/>
                <w:lang w:val="es-MX"/>
              </w:rPr>
              <w:fldChar w:fldCharType="end"/>
            </w:r>
          </w:p>
        </w:tc>
      </w:tr>
    </w:tbl>
    <w:p w14:paraId="1426D54C" w14:textId="77777777" w:rsidR="00721501" w:rsidRPr="00A76237" w:rsidRDefault="00721501" w:rsidP="00A76237">
      <w:pPr>
        <w:autoSpaceDE w:val="0"/>
        <w:autoSpaceDN w:val="0"/>
        <w:adjustRightInd w:val="0"/>
        <w:spacing w:before="80"/>
        <w:ind w:left="993"/>
        <w:jc w:val="both"/>
        <w:rPr>
          <w:rFonts w:ascii="Arial" w:hAnsi="Arial" w:cs="Arial"/>
          <w:sz w:val="18"/>
          <w:szCs w:val="18"/>
        </w:rPr>
      </w:pPr>
    </w:p>
    <w:p w14:paraId="30D1764A" w14:textId="77777777" w:rsidR="00A76237" w:rsidRPr="007E42D2" w:rsidRDefault="00A76237" w:rsidP="00721501">
      <w:pPr>
        <w:pStyle w:val="ROMANOS"/>
        <w:spacing w:after="0" w:line="276" w:lineRule="auto"/>
        <w:rPr>
          <w:lang w:val="es-MX"/>
        </w:rPr>
      </w:pPr>
    </w:p>
    <w:p w14:paraId="6EB3B8C4" w14:textId="77777777"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Derechos a recibir Efectivo o Equivalentes</w:t>
      </w:r>
    </w:p>
    <w:p w14:paraId="7FC426C5" w14:textId="77777777" w:rsidR="00721501" w:rsidRPr="007E42D2" w:rsidRDefault="005F042F" w:rsidP="00721501">
      <w:pPr>
        <w:autoSpaceDE w:val="0"/>
        <w:autoSpaceDN w:val="0"/>
        <w:adjustRightInd w:val="0"/>
        <w:spacing w:before="80"/>
        <w:ind w:left="993"/>
        <w:jc w:val="both"/>
        <w:rPr>
          <w:rFonts w:ascii="Arial" w:hAnsi="Arial" w:cs="Arial"/>
          <w:sz w:val="18"/>
          <w:szCs w:val="18"/>
        </w:rPr>
      </w:pPr>
      <w:r>
        <w:rPr>
          <w:rFonts w:ascii="Arial" w:hAnsi="Arial" w:cs="Arial"/>
          <w:sz w:val="18"/>
          <w:szCs w:val="18"/>
        </w:rPr>
        <w:t>S</w:t>
      </w:r>
      <w:r w:rsidR="00721501" w:rsidRPr="007E42D2">
        <w:rPr>
          <w:rFonts w:ascii="Arial" w:hAnsi="Arial" w:cs="Arial"/>
          <w:sz w:val="18"/>
          <w:szCs w:val="18"/>
        </w:rPr>
        <w:t>e presenta la integración de este rubro:</w:t>
      </w:r>
    </w:p>
    <w:p w14:paraId="23103F3E" w14:textId="77777777"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5435"/>
        <w:gridCol w:w="2742"/>
      </w:tblGrid>
      <w:tr w:rsidR="00721501" w:rsidRPr="007E42D2" w14:paraId="74E858C7" w14:textId="77777777" w:rsidTr="00AD44D4">
        <w:trPr>
          <w:trHeight w:val="60"/>
          <w:jc w:val="center"/>
        </w:trPr>
        <w:tc>
          <w:tcPr>
            <w:tcW w:w="5435" w:type="dxa"/>
            <w:shd w:val="clear" w:color="auto" w:fill="632423" w:themeFill="accent2" w:themeFillShade="80"/>
          </w:tcPr>
          <w:p w14:paraId="4156E1C0" w14:textId="77777777"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742" w:type="dxa"/>
            <w:shd w:val="clear" w:color="auto" w:fill="632423" w:themeFill="accent2" w:themeFillShade="80"/>
          </w:tcPr>
          <w:p w14:paraId="3D1F4D61" w14:textId="6F1746B8" w:rsidR="00721501" w:rsidRPr="007E42D2" w:rsidRDefault="00EF7F06" w:rsidP="005F042F">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6C2339">
              <w:rPr>
                <w:b/>
                <w:color w:val="FFFFFF" w:themeColor="background1"/>
                <w:szCs w:val="18"/>
                <w:lang w:val="es-MX"/>
              </w:rPr>
              <w:t xml:space="preserve">31 </w:t>
            </w:r>
            <w:r w:rsidR="007D4895">
              <w:rPr>
                <w:b/>
                <w:color w:val="FFFFFF" w:themeColor="background1"/>
                <w:szCs w:val="18"/>
                <w:lang w:val="es-MX"/>
              </w:rPr>
              <w:t>Mar. 2020</w:t>
            </w:r>
          </w:p>
        </w:tc>
      </w:tr>
      <w:tr w:rsidR="00160612" w:rsidRPr="00EF7F06" w14:paraId="6A0A9ECF" w14:textId="77777777" w:rsidTr="00EF7F06">
        <w:trPr>
          <w:trHeight w:val="60"/>
          <w:jc w:val="center"/>
        </w:trPr>
        <w:tc>
          <w:tcPr>
            <w:tcW w:w="5435" w:type="dxa"/>
            <w:shd w:val="clear" w:color="auto" w:fill="auto"/>
          </w:tcPr>
          <w:p w14:paraId="10A2C2A2" w14:textId="77777777" w:rsidR="00160612" w:rsidRDefault="00160612" w:rsidP="00EF7F06">
            <w:pPr>
              <w:pStyle w:val="Texto"/>
              <w:spacing w:after="0" w:line="276" w:lineRule="auto"/>
              <w:ind w:firstLine="0"/>
              <w:jc w:val="left"/>
              <w:rPr>
                <w:szCs w:val="18"/>
                <w:lang w:val="es-MX"/>
              </w:rPr>
            </w:pPr>
            <w:r>
              <w:rPr>
                <w:szCs w:val="18"/>
                <w:lang w:val="es-MX"/>
              </w:rPr>
              <w:t>Cuentas por Cobrar a Corto Plazo</w:t>
            </w:r>
          </w:p>
        </w:tc>
        <w:tc>
          <w:tcPr>
            <w:tcW w:w="2742" w:type="dxa"/>
            <w:shd w:val="clear" w:color="auto" w:fill="auto"/>
          </w:tcPr>
          <w:p w14:paraId="4F116989" w14:textId="29B2D7EF" w:rsidR="00160612" w:rsidRDefault="007D4895" w:rsidP="00EF7F06">
            <w:pPr>
              <w:jc w:val="right"/>
              <w:rPr>
                <w:rFonts w:ascii="Arial" w:hAnsi="Arial" w:cs="Arial"/>
                <w:sz w:val="18"/>
                <w:szCs w:val="16"/>
              </w:rPr>
            </w:pPr>
            <w:r>
              <w:rPr>
                <w:rFonts w:ascii="Arial" w:hAnsi="Arial" w:cs="Arial"/>
                <w:sz w:val="18"/>
                <w:szCs w:val="16"/>
              </w:rPr>
              <w:t>387,086.87</w:t>
            </w:r>
          </w:p>
        </w:tc>
      </w:tr>
      <w:tr w:rsidR="00EF7F06" w:rsidRPr="00EF7F06" w14:paraId="0D68EE25" w14:textId="77777777" w:rsidTr="00EF7F06">
        <w:trPr>
          <w:trHeight w:val="60"/>
          <w:jc w:val="center"/>
        </w:trPr>
        <w:tc>
          <w:tcPr>
            <w:tcW w:w="5435" w:type="dxa"/>
            <w:shd w:val="clear" w:color="auto" w:fill="auto"/>
          </w:tcPr>
          <w:p w14:paraId="347B5693" w14:textId="77777777" w:rsidR="00EF7F06" w:rsidRPr="007E42D2" w:rsidRDefault="00EF7F06" w:rsidP="00EF7F06">
            <w:pPr>
              <w:pStyle w:val="Texto"/>
              <w:spacing w:after="0" w:line="276" w:lineRule="auto"/>
              <w:ind w:firstLine="0"/>
              <w:jc w:val="left"/>
              <w:rPr>
                <w:szCs w:val="18"/>
                <w:lang w:val="es-MX"/>
              </w:rPr>
            </w:pPr>
            <w:r>
              <w:rPr>
                <w:szCs w:val="18"/>
                <w:lang w:val="es-MX"/>
              </w:rPr>
              <w:t>Deudores Diversos por Cobrar a Corto Plazo</w:t>
            </w:r>
          </w:p>
        </w:tc>
        <w:tc>
          <w:tcPr>
            <w:tcW w:w="2742" w:type="dxa"/>
            <w:shd w:val="clear" w:color="auto" w:fill="auto"/>
          </w:tcPr>
          <w:p w14:paraId="7AB5040A" w14:textId="51C930B2" w:rsidR="00EF7F06" w:rsidRPr="00EF7F06" w:rsidRDefault="007D4895" w:rsidP="000C457F">
            <w:pPr>
              <w:jc w:val="right"/>
              <w:rPr>
                <w:rFonts w:ascii="Arial" w:hAnsi="Arial" w:cs="Arial"/>
                <w:sz w:val="18"/>
                <w:szCs w:val="16"/>
              </w:rPr>
            </w:pPr>
            <w:r>
              <w:rPr>
                <w:rFonts w:ascii="Arial" w:hAnsi="Arial" w:cs="Arial"/>
                <w:sz w:val="18"/>
                <w:szCs w:val="16"/>
              </w:rPr>
              <w:t>33,405.10</w:t>
            </w:r>
          </w:p>
        </w:tc>
      </w:tr>
      <w:tr w:rsidR="00EF7F06" w:rsidRPr="00EF7F06" w14:paraId="0CB9C944" w14:textId="77777777" w:rsidTr="00EF7F06">
        <w:trPr>
          <w:trHeight w:val="60"/>
          <w:jc w:val="center"/>
        </w:trPr>
        <w:tc>
          <w:tcPr>
            <w:tcW w:w="5435" w:type="dxa"/>
            <w:shd w:val="clear" w:color="auto" w:fill="auto"/>
          </w:tcPr>
          <w:p w14:paraId="0D84B452" w14:textId="77777777" w:rsidR="00EF7F06" w:rsidRDefault="00EF7F06" w:rsidP="00EF7F06">
            <w:pPr>
              <w:pStyle w:val="Texto"/>
              <w:spacing w:after="0" w:line="276" w:lineRule="auto"/>
              <w:ind w:firstLine="0"/>
              <w:jc w:val="left"/>
              <w:rPr>
                <w:szCs w:val="18"/>
                <w:lang w:val="es-MX"/>
              </w:rPr>
            </w:pPr>
            <w:r>
              <w:rPr>
                <w:szCs w:val="18"/>
                <w:lang w:val="es-MX"/>
              </w:rPr>
              <w:t>Otros Derechos a Recibir Efectivo o Equivalentes a Corto Plazo</w:t>
            </w:r>
          </w:p>
        </w:tc>
        <w:tc>
          <w:tcPr>
            <w:tcW w:w="2742" w:type="dxa"/>
            <w:shd w:val="clear" w:color="auto" w:fill="auto"/>
          </w:tcPr>
          <w:p w14:paraId="37066E14" w14:textId="516461FD" w:rsidR="00EF7F06" w:rsidRDefault="009B1F04" w:rsidP="005F042F">
            <w:pPr>
              <w:jc w:val="right"/>
              <w:rPr>
                <w:rFonts w:ascii="Arial" w:hAnsi="Arial" w:cs="Arial"/>
                <w:sz w:val="18"/>
                <w:szCs w:val="16"/>
              </w:rPr>
            </w:pPr>
            <w:r>
              <w:rPr>
                <w:rFonts w:ascii="Arial" w:hAnsi="Arial" w:cs="Arial"/>
                <w:sz w:val="18"/>
                <w:szCs w:val="16"/>
              </w:rPr>
              <w:t>476.27</w:t>
            </w:r>
          </w:p>
        </w:tc>
      </w:tr>
      <w:tr w:rsidR="00EF7F06" w:rsidRPr="000C457F" w14:paraId="359BEF50" w14:textId="77777777" w:rsidTr="00EF7F06">
        <w:trPr>
          <w:trHeight w:val="60"/>
          <w:jc w:val="center"/>
        </w:trPr>
        <w:tc>
          <w:tcPr>
            <w:tcW w:w="5435" w:type="dxa"/>
            <w:shd w:val="clear" w:color="auto" w:fill="auto"/>
          </w:tcPr>
          <w:p w14:paraId="4E6ADA91" w14:textId="77777777" w:rsidR="00EF7F06" w:rsidRPr="000C457F" w:rsidRDefault="00EF7F06" w:rsidP="00EF7F06">
            <w:pPr>
              <w:pStyle w:val="Texto"/>
              <w:spacing w:after="0" w:line="276" w:lineRule="auto"/>
              <w:ind w:firstLine="0"/>
              <w:jc w:val="right"/>
              <w:rPr>
                <w:b/>
                <w:szCs w:val="18"/>
                <w:lang w:val="es-MX"/>
              </w:rPr>
            </w:pPr>
            <w:r w:rsidRPr="000C457F">
              <w:rPr>
                <w:b/>
                <w:szCs w:val="18"/>
                <w:lang w:val="es-MX"/>
              </w:rPr>
              <w:t>Suma:</w:t>
            </w:r>
          </w:p>
        </w:tc>
        <w:tc>
          <w:tcPr>
            <w:tcW w:w="2742" w:type="dxa"/>
            <w:shd w:val="clear" w:color="auto" w:fill="auto"/>
          </w:tcPr>
          <w:p w14:paraId="744FD499" w14:textId="2E4BEA51" w:rsidR="00EF7F06" w:rsidRPr="000C457F" w:rsidRDefault="00E47902" w:rsidP="00EF7F06">
            <w:pPr>
              <w:jc w:val="right"/>
              <w:rPr>
                <w:rFonts w:ascii="Arial" w:hAnsi="Arial" w:cs="Arial"/>
                <w:b/>
                <w:sz w:val="18"/>
                <w:szCs w:val="16"/>
              </w:rPr>
            </w:pPr>
            <w:r w:rsidRPr="000C457F">
              <w:rPr>
                <w:rFonts w:ascii="Arial" w:hAnsi="Arial" w:cs="Arial"/>
                <w:b/>
                <w:sz w:val="18"/>
                <w:szCs w:val="16"/>
              </w:rPr>
              <w:fldChar w:fldCharType="begin"/>
            </w:r>
            <w:r w:rsidR="00EF7F06" w:rsidRPr="000C457F">
              <w:rPr>
                <w:rFonts w:ascii="Arial" w:hAnsi="Arial" w:cs="Arial"/>
                <w:b/>
                <w:sz w:val="18"/>
                <w:szCs w:val="16"/>
              </w:rPr>
              <w:instrText xml:space="preserve"> =SUM(ABOVE) \# "$#,##0.00;($#,##0.00)" </w:instrText>
            </w:r>
            <w:r w:rsidRPr="000C457F">
              <w:rPr>
                <w:rFonts w:ascii="Arial" w:hAnsi="Arial" w:cs="Arial"/>
                <w:b/>
                <w:sz w:val="18"/>
                <w:szCs w:val="16"/>
              </w:rPr>
              <w:fldChar w:fldCharType="separate"/>
            </w:r>
            <w:r w:rsidR="009B1F04" w:rsidRPr="000C457F">
              <w:rPr>
                <w:rFonts w:ascii="Arial" w:hAnsi="Arial" w:cs="Arial"/>
                <w:b/>
                <w:noProof/>
                <w:sz w:val="18"/>
                <w:szCs w:val="16"/>
              </w:rPr>
              <w:t>$</w:t>
            </w:r>
            <w:r w:rsidR="009B1F04">
              <w:rPr>
                <w:rFonts w:ascii="Arial" w:hAnsi="Arial" w:cs="Arial"/>
                <w:b/>
                <w:noProof/>
                <w:sz w:val="18"/>
                <w:szCs w:val="16"/>
              </w:rPr>
              <w:t xml:space="preserve">   420,968.24</w:t>
            </w:r>
            <w:r w:rsidRPr="000C457F">
              <w:rPr>
                <w:rFonts w:ascii="Arial" w:hAnsi="Arial" w:cs="Arial"/>
                <w:b/>
                <w:sz w:val="18"/>
                <w:szCs w:val="16"/>
              </w:rPr>
              <w:fldChar w:fldCharType="end"/>
            </w:r>
          </w:p>
        </w:tc>
      </w:tr>
    </w:tbl>
    <w:p w14:paraId="3A38A21C" w14:textId="77777777" w:rsidR="00721501" w:rsidRPr="000C457F" w:rsidRDefault="00721501" w:rsidP="00721501">
      <w:pPr>
        <w:pStyle w:val="ROMANOS"/>
        <w:spacing w:after="0" w:line="276" w:lineRule="auto"/>
        <w:rPr>
          <w:b/>
          <w:lang w:val="es-MX"/>
        </w:rPr>
      </w:pPr>
    </w:p>
    <w:p w14:paraId="29AFE20B" w14:textId="77777777" w:rsidR="00721501" w:rsidRDefault="00721501" w:rsidP="00721501">
      <w:pPr>
        <w:rPr>
          <w:rFonts w:ascii="Arial" w:eastAsia="Times New Roman" w:hAnsi="Arial" w:cs="Arial"/>
          <w:b/>
          <w:sz w:val="18"/>
          <w:szCs w:val="18"/>
          <w:lang w:eastAsia="es-ES"/>
        </w:rPr>
      </w:pPr>
      <w:r>
        <w:rPr>
          <w:b/>
          <w:szCs w:val="18"/>
        </w:rPr>
        <w:br w:type="page"/>
      </w:r>
    </w:p>
    <w:p w14:paraId="5B7F799D" w14:textId="77777777"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lastRenderedPageBreak/>
        <w:t>Bienes Muebles</w:t>
      </w:r>
    </w:p>
    <w:p w14:paraId="44697006" w14:textId="1A68ECA5" w:rsidR="00721501" w:rsidRPr="007E42D2" w:rsidRDefault="005F042F" w:rsidP="00721501">
      <w:pPr>
        <w:autoSpaceDE w:val="0"/>
        <w:autoSpaceDN w:val="0"/>
        <w:adjustRightInd w:val="0"/>
        <w:spacing w:before="80"/>
        <w:ind w:left="709"/>
        <w:jc w:val="both"/>
        <w:rPr>
          <w:rFonts w:ascii="Arial" w:hAnsi="Arial" w:cs="Arial"/>
          <w:sz w:val="18"/>
          <w:szCs w:val="18"/>
        </w:rPr>
      </w:pPr>
      <w:r>
        <w:rPr>
          <w:rFonts w:ascii="Arial" w:hAnsi="Arial" w:cs="Arial"/>
          <w:sz w:val="18"/>
          <w:szCs w:val="18"/>
        </w:rPr>
        <w:t>S</w:t>
      </w:r>
      <w:r w:rsidR="00721501" w:rsidRPr="007E42D2">
        <w:rPr>
          <w:rFonts w:ascii="Arial" w:hAnsi="Arial" w:cs="Arial"/>
          <w:sz w:val="18"/>
          <w:szCs w:val="18"/>
        </w:rPr>
        <w:t xml:space="preserve">e presenta la integración de los bienes muebles al </w:t>
      </w:r>
      <w:r w:rsidR="00124B2A">
        <w:rPr>
          <w:rFonts w:ascii="Arial" w:hAnsi="Arial" w:cs="Arial"/>
          <w:sz w:val="18"/>
          <w:szCs w:val="18"/>
        </w:rPr>
        <w:t>3</w:t>
      </w:r>
      <w:r w:rsidR="00CD54E5">
        <w:rPr>
          <w:rFonts w:ascii="Arial" w:hAnsi="Arial" w:cs="Arial"/>
          <w:sz w:val="18"/>
          <w:szCs w:val="18"/>
        </w:rPr>
        <w:t>1</w:t>
      </w:r>
      <w:r w:rsidR="00A77897">
        <w:rPr>
          <w:rFonts w:ascii="Arial" w:hAnsi="Arial" w:cs="Arial"/>
          <w:sz w:val="18"/>
          <w:szCs w:val="18"/>
        </w:rPr>
        <w:t xml:space="preserve"> de </w:t>
      </w:r>
      <w:r w:rsidR="007D4895">
        <w:rPr>
          <w:rFonts w:ascii="Arial" w:hAnsi="Arial" w:cs="Arial"/>
          <w:sz w:val="18"/>
          <w:szCs w:val="18"/>
        </w:rPr>
        <w:t>marzo</w:t>
      </w:r>
      <w:r w:rsidR="00721501" w:rsidRPr="007E42D2">
        <w:rPr>
          <w:rFonts w:ascii="Arial" w:hAnsi="Arial" w:cs="Arial"/>
          <w:sz w:val="18"/>
          <w:szCs w:val="18"/>
        </w:rPr>
        <w:t xml:space="preserve"> de 20</w:t>
      </w:r>
      <w:r w:rsidR="007D4895">
        <w:rPr>
          <w:rFonts w:ascii="Arial" w:hAnsi="Arial" w:cs="Arial"/>
          <w:sz w:val="18"/>
          <w:szCs w:val="18"/>
        </w:rPr>
        <w:t>20</w:t>
      </w:r>
      <w:r w:rsidR="00DF02FB">
        <w:rPr>
          <w:rFonts w:ascii="Arial" w:hAnsi="Arial" w:cs="Arial"/>
          <w:sz w:val="18"/>
          <w:szCs w:val="18"/>
        </w:rPr>
        <w:t>:</w:t>
      </w:r>
    </w:p>
    <w:p w14:paraId="1BFB76EA" w14:textId="77777777"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4374"/>
        <w:gridCol w:w="2742"/>
      </w:tblGrid>
      <w:tr w:rsidR="00721501" w:rsidRPr="007E42D2" w14:paraId="1126265B" w14:textId="77777777" w:rsidTr="00AD44D4">
        <w:trPr>
          <w:trHeight w:val="60"/>
          <w:jc w:val="center"/>
        </w:trPr>
        <w:tc>
          <w:tcPr>
            <w:tcW w:w="4374" w:type="dxa"/>
            <w:shd w:val="clear" w:color="auto" w:fill="632423" w:themeFill="accent2" w:themeFillShade="80"/>
          </w:tcPr>
          <w:p w14:paraId="190DB598" w14:textId="77777777"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742" w:type="dxa"/>
            <w:shd w:val="clear" w:color="auto" w:fill="632423" w:themeFill="accent2" w:themeFillShade="80"/>
          </w:tcPr>
          <w:p w14:paraId="3DFC3FBE" w14:textId="1D112375" w:rsidR="00721501" w:rsidRPr="007E42D2" w:rsidRDefault="00A20210" w:rsidP="005F042F">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6C2339">
              <w:rPr>
                <w:b/>
                <w:color w:val="FFFFFF" w:themeColor="background1"/>
                <w:szCs w:val="18"/>
                <w:lang w:val="es-MX"/>
              </w:rPr>
              <w:t xml:space="preserve">31 </w:t>
            </w:r>
            <w:r w:rsidR="007D4895">
              <w:rPr>
                <w:b/>
                <w:color w:val="FFFFFF" w:themeColor="background1"/>
                <w:szCs w:val="18"/>
                <w:lang w:val="es-MX"/>
              </w:rPr>
              <w:t>Mar. 2020</w:t>
            </w:r>
          </w:p>
        </w:tc>
      </w:tr>
      <w:tr w:rsidR="00721501" w:rsidRPr="007E42D2" w14:paraId="1C731719" w14:textId="77777777" w:rsidTr="00721501">
        <w:trPr>
          <w:trHeight w:val="60"/>
          <w:jc w:val="center"/>
        </w:trPr>
        <w:tc>
          <w:tcPr>
            <w:tcW w:w="4374" w:type="dxa"/>
            <w:shd w:val="clear" w:color="auto" w:fill="auto"/>
          </w:tcPr>
          <w:p w14:paraId="7F9A2BB9" w14:textId="77777777" w:rsidR="00721501" w:rsidRPr="007E42D2" w:rsidRDefault="00721501" w:rsidP="00721501">
            <w:pPr>
              <w:pStyle w:val="Texto"/>
              <w:spacing w:after="0" w:line="276" w:lineRule="auto"/>
              <w:ind w:firstLine="0"/>
              <w:jc w:val="left"/>
              <w:rPr>
                <w:szCs w:val="18"/>
                <w:lang w:val="es-MX"/>
              </w:rPr>
            </w:pPr>
            <w:r>
              <w:rPr>
                <w:szCs w:val="18"/>
                <w:lang w:val="es-MX"/>
              </w:rPr>
              <w:t>Mobiliario y Equipo de Administración</w:t>
            </w:r>
          </w:p>
        </w:tc>
        <w:tc>
          <w:tcPr>
            <w:tcW w:w="2742" w:type="dxa"/>
            <w:shd w:val="clear" w:color="auto" w:fill="auto"/>
          </w:tcPr>
          <w:p w14:paraId="588C6106" w14:textId="77777777" w:rsidR="00721501" w:rsidRPr="007E42D2" w:rsidRDefault="00AF4D30" w:rsidP="00721501">
            <w:pPr>
              <w:pStyle w:val="Texto"/>
              <w:spacing w:after="0" w:line="276" w:lineRule="auto"/>
              <w:ind w:firstLine="0"/>
              <w:jc w:val="right"/>
              <w:rPr>
                <w:szCs w:val="18"/>
                <w:lang w:val="es-MX"/>
              </w:rPr>
            </w:pPr>
            <w:r>
              <w:rPr>
                <w:szCs w:val="18"/>
                <w:lang w:val="es-MX"/>
              </w:rPr>
              <w:t>11,567,259.15</w:t>
            </w:r>
          </w:p>
        </w:tc>
      </w:tr>
      <w:tr w:rsidR="00721501" w:rsidRPr="007E42D2" w14:paraId="7CF41B42" w14:textId="77777777" w:rsidTr="00721501">
        <w:trPr>
          <w:trHeight w:val="60"/>
          <w:jc w:val="center"/>
        </w:trPr>
        <w:tc>
          <w:tcPr>
            <w:tcW w:w="4374" w:type="dxa"/>
            <w:shd w:val="clear" w:color="auto" w:fill="auto"/>
          </w:tcPr>
          <w:p w14:paraId="0649CD7D" w14:textId="77777777" w:rsidR="00721501" w:rsidRPr="007E42D2" w:rsidRDefault="00721501" w:rsidP="00721501">
            <w:pPr>
              <w:pStyle w:val="Texto"/>
              <w:spacing w:after="0" w:line="276" w:lineRule="auto"/>
              <w:ind w:firstLine="0"/>
              <w:jc w:val="left"/>
              <w:rPr>
                <w:szCs w:val="18"/>
                <w:lang w:val="es-MX"/>
              </w:rPr>
            </w:pPr>
            <w:r>
              <w:rPr>
                <w:szCs w:val="18"/>
                <w:lang w:val="es-MX"/>
              </w:rPr>
              <w:t>Equipo e Instrumental Médico y de Laboratorio</w:t>
            </w:r>
          </w:p>
        </w:tc>
        <w:tc>
          <w:tcPr>
            <w:tcW w:w="2742" w:type="dxa"/>
            <w:shd w:val="clear" w:color="auto" w:fill="auto"/>
          </w:tcPr>
          <w:p w14:paraId="585CD8C0" w14:textId="77777777" w:rsidR="00721501" w:rsidRPr="007E42D2" w:rsidRDefault="00A20210" w:rsidP="00721501">
            <w:pPr>
              <w:pStyle w:val="Texto"/>
              <w:spacing w:after="0" w:line="276" w:lineRule="auto"/>
              <w:ind w:firstLine="0"/>
              <w:jc w:val="right"/>
              <w:rPr>
                <w:szCs w:val="18"/>
                <w:lang w:val="es-MX"/>
              </w:rPr>
            </w:pPr>
            <w:r w:rsidRPr="00A20210">
              <w:rPr>
                <w:szCs w:val="18"/>
                <w:lang w:val="es-MX"/>
              </w:rPr>
              <w:t>2,495.00</w:t>
            </w:r>
          </w:p>
        </w:tc>
      </w:tr>
      <w:tr w:rsidR="00721501" w:rsidRPr="007E42D2" w14:paraId="2072E35C" w14:textId="77777777" w:rsidTr="00721501">
        <w:trPr>
          <w:trHeight w:val="60"/>
          <w:jc w:val="center"/>
        </w:trPr>
        <w:tc>
          <w:tcPr>
            <w:tcW w:w="4374" w:type="dxa"/>
            <w:shd w:val="clear" w:color="auto" w:fill="auto"/>
          </w:tcPr>
          <w:p w14:paraId="3BC6A731" w14:textId="77777777" w:rsidR="00721501" w:rsidRPr="007E42D2" w:rsidRDefault="00721501" w:rsidP="00721501">
            <w:pPr>
              <w:pStyle w:val="Texto"/>
              <w:spacing w:after="0" w:line="276" w:lineRule="auto"/>
              <w:ind w:firstLine="0"/>
              <w:jc w:val="left"/>
              <w:rPr>
                <w:szCs w:val="18"/>
                <w:lang w:val="es-MX"/>
              </w:rPr>
            </w:pPr>
            <w:r>
              <w:rPr>
                <w:szCs w:val="18"/>
                <w:lang w:val="es-MX"/>
              </w:rPr>
              <w:t>Vehículos y Equipo de Transporte</w:t>
            </w:r>
          </w:p>
        </w:tc>
        <w:tc>
          <w:tcPr>
            <w:tcW w:w="2742" w:type="dxa"/>
            <w:shd w:val="clear" w:color="auto" w:fill="auto"/>
          </w:tcPr>
          <w:p w14:paraId="4F08D226" w14:textId="77777777" w:rsidR="00721501" w:rsidRPr="007E42D2" w:rsidRDefault="005C0433" w:rsidP="00721501">
            <w:pPr>
              <w:pStyle w:val="Texto"/>
              <w:spacing w:after="0" w:line="276" w:lineRule="auto"/>
              <w:ind w:firstLine="0"/>
              <w:jc w:val="right"/>
              <w:rPr>
                <w:szCs w:val="18"/>
                <w:lang w:val="es-MX"/>
              </w:rPr>
            </w:pPr>
            <w:r>
              <w:rPr>
                <w:szCs w:val="18"/>
                <w:lang w:val="es-MX"/>
              </w:rPr>
              <w:t>3,953,867.48</w:t>
            </w:r>
          </w:p>
        </w:tc>
      </w:tr>
      <w:tr w:rsidR="00721501" w:rsidRPr="007E42D2" w14:paraId="5DE0A4ED" w14:textId="77777777" w:rsidTr="00721501">
        <w:trPr>
          <w:trHeight w:val="60"/>
          <w:jc w:val="center"/>
        </w:trPr>
        <w:tc>
          <w:tcPr>
            <w:tcW w:w="4374" w:type="dxa"/>
            <w:shd w:val="clear" w:color="auto" w:fill="auto"/>
          </w:tcPr>
          <w:p w14:paraId="7288F4F2" w14:textId="77777777" w:rsidR="00721501" w:rsidRPr="007E42D2" w:rsidRDefault="00721501" w:rsidP="00721501">
            <w:pPr>
              <w:pStyle w:val="Texto"/>
              <w:spacing w:after="0" w:line="276" w:lineRule="auto"/>
              <w:ind w:firstLine="0"/>
              <w:jc w:val="left"/>
              <w:rPr>
                <w:szCs w:val="18"/>
                <w:lang w:val="es-MX"/>
              </w:rPr>
            </w:pPr>
            <w:r>
              <w:rPr>
                <w:szCs w:val="18"/>
                <w:lang w:val="es-MX"/>
              </w:rPr>
              <w:t>Maquinaria, Otros Equipos y Herramientas</w:t>
            </w:r>
          </w:p>
        </w:tc>
        <w:tc>
          <w:tcPr>
            <w:tcW w:w="2742" w:type="dxa"/>
            <w:shd w:val="clear" w:color="auto" w:fill="auto"/>
          </w:tcPr>
          <w:p w14:paraId="0B29CE6B" w14:textId="77777777" w:rsidR="00721501" w:rsidRPr="007E42D2" w:rsidRDefault="00A20210" w:rsidP="00721501">
            <w:pPr>
              <w:pStyle w:val="Texto"/>
              <w:spacing w:after="0" w:line="276" w:lineRule="auto"/>
              <w:ind w:firstLine="0"/>
              <w:jc w:val="right"/>
              <w:rPr>
                <w:szCs w:val="18"/>
                <w:lang w:val="es-MX"/>
              </w:rPr>
            </w:pPr>
            <w:r w:rsidRPr="00A20210">
              <w:rPr>
                <w:szCs w:val="18"/>
                <w:lang w:val="es-MX"/>
              </w:rPr>
              <w:t>883,741.59</w:t>
            </w:r>
          </w:p>
        </w:tc>
      </w:tr>
      <w:tr w:rsidR="00721501" w:rsidRPr="007E42D2" w14:paraId="1B2E51A1" w14:textId="77777777" w:rsidTr="00721501">
        <w:trPr>
          <w:trHeight w:val="60"/>
          <w:jc w:val="center"/>
        </w:trPr>
        <w:tc>
          <w:tcPr>
            <w:tcW w:w="4374" w:type="dxa"/>
            <w:shd w:val="clear" w:color="auto" w:fill="auto"/>
          </w:tcPr>
          <w:p w14:paraId="0E2411EF" w14:textId="77777777" w:rsidR="00721501" w:rsidRPr="000C457F" w:rsidRDefault="00A20210" w:rsidP="00A20210">
            <w:pPr>
              <w:pStyle w:val="Texto"/>
              <w:spacing w:after="0" w:line="276" w:lineRule="auto"/>
              <w:ind w:firstLine="0"/>
              <w:jc w:val="right"/>
              <w:rPr>
                <w:b/>
                <w:szCs w:val="18"/>
                <w:lang w:val="es-MX"/>
              </w:rPr>
            </w:pPr>
            <w:r w:rsidRPr="000C457F">
              <w:rPr>
                <w:b/>
                <w:szCs w:val="18"/>
                <w:lang w:val="es-MX"/>
              </w:rPr>
              <w:t>S</w:t>
            </w:r>
            <w:r w:rsidR="00721501" w:rsidRPr="000C457F">
              <w:rPr>
                <w:b/>
                <w:szCs w:val="18"/>
                <w:lang w:val="es-MX"/>
              </w:rPr>
              <w:t>uma</w:t>
            </w:r>
            <w:r w:rsidRPr="000C457F">
              <w:rPr>
                <w:b/>
                <w:szCs w:val="18"/>
                <w:lang w:val="es-MX"/>
              </w:rPr>
              <w:t>:</w:t>
            </w:r>
          </w:p>
        </w:tc>
        <w:tc>
          <w:tcPr>
            <w:tcW w:w="2742" w:type="dxa"/>
            <w:shd w:val="clear" w:color="auto" w:fill="auto"/>
          </w:tcPr>
          <w:p w14:paraId="18D0BEA4" w14:textId="77777777" w:rsidR="00721501" w:rsidRPr="000C457F" w:rsidRDefault="00E47902" w:rsidP="00721501">
            <w:pPr>
              <w:pStyle w:val="Texto"/>
              <w:spacing w:after="0" w:line="276" w:lineRule="auto"/>
              <w:ind w:firstLine="0"/>
              <w:jc w:val="right"/>
              <w:rPr>
                <w:b/>
                <w:szCs w:val="18"/>
                <w:lang w:val="es-MX"/>
              </w:rPr>
            </w:pPr>
            <w:r w:rsidRPr="000C457F">
              <w:rPr>
                <w:b/>
                <w:szCs w:val="18"/>
                <w:lang w:val="es-MX"/>
              </w:rPr>
              <w:fldChar w:fldCharType="begin"/>
            </w:r>
            <w:r w:rsidR="00A20210" w:rsidRPr="000C457F">
              <w:rPr>
                <w:b/>
                <w:szCs w:val="18"/>
                <w:lang w:val="es-MX"/>
              </w:rPr>
              <w:instrText xml:space="preserve"> =SUM(ABOVE) \# "$#,##0.00;($#,##0.00)" </w:instrText>
            </w:r>
            <w:r w:rsidRPr="000C457F">
              <w:rPr>
                <w:b/>
                <w:szCs w:val="18"/>
                <w:lang w:val="es-MX"/>
              </w:rPr>
              <w:fldChar w:fldCharType="separate"/>
            </w:r>
            <w:r w:rsidR="005C0433" w:rsidRPr="000C457F">
              <w:rPr>
                <w:b/>
                <w:noProof/>
                <w:szCs w:val="18"/>
                <w:lang w:val="es-MX"/>
              </w:rPr>
              <w:t>$</w:t>
            </w:r>
            <w:r w:rsidR="005C0433">
              <w:rPr>
                <w:b/>
                <w:noProof/>
                <w:szCs w:val="18"/>
                <w:lang w:val="es-MX"/>
              </w:rPr>
              <w:t xml:space="preserve">   16,407,363.22</w:t>
            </w:r>
            <w:r w:rsidRPr="000C457F">
              <w:rPr>
                <w:b/>
                <w:szCs w:val="18"/>
                <w:lang w:val="es-MX"/>
              </w:rPr>
              <w:fldChar w:fldCharType="end"/>
            </w:r>
          </w:p>
        </w:tc>
      </w:tr>
    </w:tbl>
    <w:p w14:paraId="664B9E32" w14:textId="77777777" w:rsidR="005F042F" w:rsidRDefault="005F042F" w:rsidP="00721501">
      <w:pPr>
        <w:autoSpaceDE w:val="0"/>
        <w:autoSpaceDN w:val="0"/>
        <w:adjustRightInd w:val="0"/>
        <w:spacing w:before="80"/>
        <w:ind w:left="709"/>
        <w:jc w:val="both"/>
        <w:rPr>
          <w:rFonts w:ascii="Arial" w:hAnsi="Arial" w:cs="Arial"/>
          <w:sz w:val="18"/>
          <w:szCs w:val="18"/>
        </w:rPr>
      </w:pPr>
    </w:p>
    <w:p w14:paraId="7E00C93D" w14:textId="77777777" w:rsidR="005F042F" w:rsidRPr="007E42D2" w:rsidRDefault="005F042F" w:rsidP="00721501">
      <w:pPr>
        <w:autoSpaceDE w:val="0"/>
        <w:autoSpaceDN w:val="0"/>
        <w:adjustRightInd w:val="0"/>
        <w:spacing w:before="80"/>
        <w:ind w:left="709"/>
        <w:jc w:val="both"/>
        <w:rPr>
          <w:rFonts w:ascii="Arial" w:hAnsi="Arial" w:cs="Arial"/>
          <w:sz w:val="18"/>
          <w:szCs w:val="18"/>
        </w:rPr>
      </w:pPr>
    </w:p>
    <w:p w14:paraId="7F352AA2" w14:textId="77777777"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Activos Diferidos</w:t>
      </w:r>
    </w:p>
    <w:p w14:paraId="35B18442" w14:textId="77777777" w:rsidR="00721501" w:rsidRPr="007E42D2"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 xml:space="preserve">En este rubro se integra el valor nominal de las cantidades dejadas en guarda para garantizar el servicio de arrendamiento de bienes inmuebles. A </w:t>
      </w:r>
      <w:r w:rsidR="000C457F" w:rsidRPr="007E42D2">
        <w:rPr>
          <w:rFonts w:ascii="Arial" w:hAnsi="Arial" w:cs="Arial"/>
          <w:sz w:val="18"/>
          <w:szCs w:val="18"/>
        </w:rPr>
        <w:t>continuación,</w:t>
      </w:r>
      <w:r w:rsidRPr="007E42D2">
        <w:rPr>
          <w:rFonts w:ascii="Arial" w:hAnsi="Arial" w:cs="Arial"/>
          <w:sz w:val="18"/>
          <w:szCs w:val="18"/>
        </w:rPr>
        <w:t xml:space="preserve"> se presenta la integración de este rubro:</w:t>
      </w:r>
    </w:p>
    <w:p w14:paraId="762BB81B" w14:textId="77777777"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2963"/>
        <w:gridCol w:w="1715"/>
      </w:tblGrid>
      <w:tr w:rsidR="00721501" w:rsidRPr="007E42D2" w14:paraId="38460D75" w14:textId="77777777" w:rsidTr="00AD44D4">
        <w:trPr>
          <w:trHeight w:val="60"/>
          <w:jc w:val="center"/>
        </w:trPr>
        <w:tc>
          <w:tcPr>
            <w:tcW w:w="2963" w:type="dxa"/>
            <w:shd w:val="clear" w:color="auto" w:fill="632423" w:themeFill="accent2" w:themeFillShade="80"/>
          </w:tcPr>
          <w:p w14:paraId="0642E5BD" w14:textId="77777777"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632423" w:themeFill="accent2" w:themeFillShade="80"/>
          </w:tcPr>
          <w:p w14:paraId="4F7435F0" w14:textId="0C2F2B56" w:rsidR="00721501" w:rsidRPr="007E42D2" w:rsidRDefault="00E101CB" w:rsidP="005F042F">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6C2339">
              <w:rPr>
                <w:b/>
                <w:color w:val="FFFFFF" w:themeColor="background1"/>
                <w:szCs w:val="18"/>
                <w:lang w:val="es-MX"/>
              </w:rPr>
              <w:t xml:space="preserve">31 </w:t>
            </w:r>
            <w:r w:rsidR="007D4895">
              <w:rPr>
                <w:b/>
                <w:color w:val="FFFFFF" w:themeColor="background1"/>
                <w:szCs w:val="18"/>
                <w:lang w:val="es-MX"/>
              </w:rPr>
              <w:t>Mar. 2020</w:t>
            </w:r>
          </w:p>
        </w:tc>
      </w:tr>
      <w:tr w:rsidR="00721501" w:rsidRPr="007E42D2" w14:paraId="1436F15F" w14:textId="77777777" w:rsidTr="00721501">
        <w:trPr>
          <w:trHeight w:val="60"/>
          <w:jc w:val="center"/>
        </w:trPr>
        <w:tc>
          <w:tcPr>
            <w:tcW w:w="2963" w:type="dxa"/>
            <w:shd w:val="clear" w:color="auto" w:fill="auto"/>
          </w:tcPr>
          <w:p w14:paraId="727F101A" w14:textId="77777777" w:rsidR="00721501" w:rsidRPr="007E42D2" w:rsidRDefault="00721501" w:rsidP="00721501">
            <w:pPr>
              <w:pStyle w:val="Texto"/>
              <w:spacing w:after="0" w:line="276" w:lineRule="auto"/>
              <w:ind w:firstLine="0"/>
              <w:jc w:val="left"/>
              <w:rPr>
                <w:szCs w:val="18"/>
                <w:lang w:val="es-MX"/>
              </w:rPr>
            </w:pPr>
            <w:r w:rsidRPr="007E42D2">
              <w:rPr>
                <w:szCs w:val="18"/>
                <w:lang w:val="es-MX"/>
              </w:rPr>
              <w:t>Depósitos en garantía</w:t>
            </w:r>
          </w:p>
        </w:tc>
        <w:tc>
          <w:tcPr>
            <w:tcW w:w="1715" w:type="dxa"/>
            <w:shd w:val="clear" w:color="auto" w:fill="auto"/>
          </w:tcPr>
          <w:p w14:paraId="0F99A40B" w14:textId="77777777" w:rsidR="00721501" w:rsidRPr="007E42D2" w:rsidRDefault="00721501" w:rsidP="00721501">
            <w:pPr>
              <w:pStyle w:val="Texto"/>
              <w:spacing w:after="0" w:line="276" w:lineRule="auto"/>
              <w:ind w:firstLine="0"/>
              <w:jc w:val="right"/>
              <w:rPr>
                <w:szCs w:val="18"/>
                <w:lang w:val="es-MX"/>
              </w:rPr>
            </w:pPr>
            <w:r w:rsidRPr="007E42D2">
              <w:rPr>
                <w:szCs w:val="18"/>
                <w:lang w:val="es-MX"/>
              </w:rPr>
              <w:t>$17,000</w:t>
            </w:r>
            <w:r w:rsidR="00E101CB">
              <w:rPr>
                <w:szCs w:val="18"/>
                <w:lang w:val="es-MX"/>
              </w:rPr>
              <w:t>.06</w:t>
            </w:r>
          </w:p>
        </w:tc>
      </w:tr>
    </w:tbl>
    <w:p w14:paraId="1AD685E8" w14:textId="77777777" w:rsidR="00721501" w:rsidRDefault="00721501" w:rsidP="00721501">
      <w:pPr>
        <w:rPr>
          <w:rFonts w:ascii="Arial" w:hAnsi="Arial" w:cs="Arial"/>
          <w:b/>
          <w:sz w:val="18"/>
          <w:szCs w:val="18"/>
        </w:rPr>
      </w:pPr>
      <w:r>
        <w:rPr>
          <w:rFonts w:ascii="Arial" w:hAnsi="Arial" w:cs="Arial"/>
          <w:b/>
          <w:sz w:val="18"/>
          <w:szCs w:val="18"/>
        </w:rPr>
        <w:br w:type="page"/>
      </w:r>
    </w:p>
    <w:p w14:paraId="32DBD831" w14:textId="77777777" w:rsidR="00721501" w:rsidRPr="007E42D2" w:rsidRDefault="00721501" w:rsidP="00721501">
      <w:pPr>
        <w:autoSpaceDE w:val="0"/>
        <w:autoSpaceDN w:val="0"/>
        <w:adjustRightInd w:val="0"/>
        <w:spacing w:before="240" w:after="120"/>
        <w:jc w:val="both"/>
        <w:rPr>
          <w:rFonts w:ascii="Arial" w:hAnsi="Arial" w:cs="Arial"/>
          <w:b/>
          <w:sz w:val="18"/>
          <w:szCs w:val="18"/>
        </w:rPr>
      </w:pPr>
      <w:r w:rsidRPr="007E42D2">
        <w:rPr>
          <w:rFonts w:ascii="Arial" w:hAnsi="Arial" w:cs="Arial"/>
          <w:b/>
          <w:sz w:val="18"/>
          <w:szCs w:val="18"/>
        </w:rPr>
        <w:lastRenderedPageBreak/>
        <w:t>Pasivo</w:t>
      </w:r>
    </w:p>
    <w:p w14:paraId="3701B182" w14:textId="77777777" w:rsidR="00721501" w:rsidRPr="007E42D2" w:rsidRDefault="00721501" w:rsidP="00721501">
      <w:pPr>
        <w:pStyle w:val="Texto"/>
        <w:numPr>
          <w:ilvl w:val="0"/>
          <w:numId w:val="5"/>
        </w:numPr>
        <w:spacing w:after="0" w:line="276" w:lineRule="auto"/>
        <w:rPr>
          <w:b/>
          <w:szCs w:val="18"/>
          <w:lang w:val="es-MX"/>
        </w:rPr>
      </w:pPr>
      <w:r w:rsidRPr="007E42D2">
        <w:rPr>
          <w:b/>
          <w:szCs w:val="18"/>
          <w:lang w:val="es-MX"/>
        </w:rPr>
        <w:t>Cuentas por Pagar a Corto Plazo</w:t>
      </w:r>
    </w:p>
    <w:p w14:paraId="57039CAB" w14:textId="77777777" w:rsidR="00721501" w:rsidRPr="007E42D2"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 que deberá pagar en un plazo menor o igual a doce meses. En éstos inciden pasivos derivados de operaciones por servicios personales, pasivos por obligaciones laborales y acreedores diversos</w:t>
      </w:r>
      <w:r w:rsidR="00DF45C5">
        <w:rPr>
          <w:rFonts w:ascii="Arial" w:hAnsi="Arial" w:cs="Arial"/>
          <w:sz w:val="18"/>
          <w:szCs w:val="18"/>
        </w:rPr>
        <w:t xml:space="preserve">. </w:t>
      </w:r>
      <w:r w:rsidR="000C457F">
        <w:rPr>
          <w:rFonts w:ascii="Arial" w:hAnsi="Arial" w:cs="Arial"/>
          <w:sz w:val="18"/>
          <w:szCs w:val="18"/>
        </w:rPr>
        <w:t>Además,</w:t>
      </w:r>
      <w:r w:rsidR="00DF45C5">
        <w:rPr>
          <w:rFonts w:ascii="Arial" w:hAnsi="Arial" w:cs="Arial"/>
          <w:sz w:val="18"/>
          <w:szCs w:val="18"/>
        </w:rPr>
        <w:t xml:space="preserve"> en Otras cuentas por pagar a corto plazo está integrado el saldo acreedor que corresponde a la regularización referida en el rubro de Derechos a recibir efectivo o equivalentes</w:t>
      </w:r>
      <w:r w:rsidRPr="007E42D2">
        <w:rPr>
          <w:rFonts w:ascii="Arial" w:hAnsi="Arial" w:cs="Arial"/>
          <w:sz w:val="18"/>
          <w:szCs w:val="18"/>
        </w:rPr>
        <w:t xml:space="preserve">. A </w:t>
      </w:r>
      <w:r w:rsidR="000C457F" w:rsidRPr="007E42D2">
        <w:rPr>
          <w:rFonts w:ascii="Arial" w:hAnsi="Arial" w:cs="Arial"/>
          <w:sz w:val="18"/>
          <w:szCs w:val="18"/>
        </w:rPr>
        <w:t>continuación,</w:t>
      </w:r>
      <w:r w:rsidRPr="007E42D2">
        <w:rPr>
          <w:rFonts w:ascii="Arial" w:hAnsi="Arial" w:cs="Arial"/>
          <w:sz w:val="18"/>
          <w:szCs w:val="18"/>
        </w:rPr>
        <w:t xml:space="preserve"> se presenta la integración de este rubro:</w:t>
      </w:r>
    </w:p>
    <w:p w14:paraId="409E4129" w14:textId="77777777"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4622"/>
        <w:gridCol w:w="2209"/>
      </w:tblGrid>
      <w:tr w:rsidR="00721501" w:rsidRPr="007E42D2" w14:paraId="25E3E303" w14:textId="77777777" w:rsidTr="00AD44D4">
        <w:trPr>
          <w:trHeight w:val="60"/>
          <w:jc w:val="center"/>
        </w:trPr>
        <w:tc>
          <w:tcPr>
            <w:tcW w:w="4622" w:type="dxa"/>
            <w:shd w:val="clear" w:color="auto" w:fill="632423" w:themeFill="accent2" w:themeFillShade="80"/>
          </w:tcPr>
          <w:p w14:paraId="12369119" w14:textId="77777777"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209" w:type="dxa"/>
            <w:shd w:val="clear" w:color="auto" w:fill="632423" w:themeFill="accent2" w:themeFillShade="80"/>
          </w:tcPr>
          <w:p w14:paraId="52691F55" w14:textId="398259E1" w:rsidR="00721501" w:rsidRPr="007E42D2" w:rsidRDefault="00DF45C5" w:rsidP="005F042F">
            <w:pPr>
              <w:pStyle w:val="Texto"/>
              <w:spacing w:after="0" w:line="276" w:lineRule="auto"/>
              <w:ind w:firstLine="0"/>
              <w:jc w:val="center"/>
              <w:rPr>
                <w:b/>
                <w:color w:val="FFFFFF" w:themeColor="background1"/>
                <w:szCs w:val="18"/>
                <w:lang w:val="es-MX"/>
              </w:rPr>
            </w:pPr>
            <w:r>
              <w:rPr>
                <w:b/>
                <w:color w:val="FFFFFF" w:themeColor="background1"/>
                <w:szCs w:val="18"/>
                <w:lang w:val="es-MX"/>
              </w:rPr>
              <w:t>a</w:t>
            </w:r>
            <w:r w:rsidR="00E101CB">
              <w:rPr>
                <w:b/>
                <w:color w:val="FFFFFF" w:themeColor="background1"/>
                <w:szCs w:val="18"/>
                <w:lang w:val="es-MX"/>
              </w:rPr>
              <w:t xml:space="preserve">l </w:t>
            </w:r>
            <w:r w:rsidR="006C2339">
              <w:rPr>
                <w:b/>
                <w:color w:val="FFFFFF" w:themeColor="background1"/>
                <w:szCs w:val="18"/>
                <w:lang w:val="es-MX"/>
              </w:rPr>
              <w:t xml:space="preserve">31 </w:t>
            </w:r>
            <w:r w:rsidR="007D4895">
              <w:rPr>
                <w:b/>
                <w:color w:val="FFFFFF" w:themeColor="background1"/>
                <w:szCs w:val="18"/>
                <w:lang w:val="es-MX"/>
              </w:rPr>
              <w:t>Mar. 2020</w:t>
            </w:r>
          </w:p>
        </w:tc>
      </w:tr>
      <w:tr w:rsidR="00721501" w:rsidRPr="007E42D2" w14:paraId="41571556" w14:textId="77777777" w:rsidTr="00E101CB">
        <w:trPr>
          <w:trHeight w:val="60"/>
          <w:jc w:val="center"/>
        </w:trPr>
        <w:tc>
          <w:tcPr>
            <w:tcW w:w="4622" w:type="dxa"/>
            <w:shd w:val="clear" w:color="auto" w:fill="auto"/>
          </w:tcPr>
          <w:p w14:paraId="3288A97B" w14:textId="77777777" w:rsidR="00721501" w:rsidRPr="007E42D2" w:rsidRDefault="00721501" w:rsidP="00721501">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Servicios personales por pagar</w:t>
            </w:r>
          </w:p>
        </w:tc>
        <w:tc>
          <w:tcPr>
            <w:tcW w:w="2209" w:type="dxa"/>
            <w:shd w:val="clear" w:color="auto" w:fill="auto"/>
            <w:vAlign w:val="bottom"/>
          </w:tcPr>
          <w:p w14:paraId="3FDAA0C9" w14:textId="77777777" w:rsidR="00721501" w:rsidRPr="007E42D2" w:rsidRDefault="00F64F7A" w:rsidP="00CD7583">
            <w:pPr>
              <w:spacing w:line="276" w:lineRule="auto"/>
              <w:jc w:val="right"/>
              <w:rPr>
                <w:rFonts w:ascii="Arial" w:hAnsi="Arial" w:cs="Arial"/>
                <w:sz w:val="18"/>
                <w:szCs w:val="18"/>
              </w:rPr>
            </w:pPr>
            <w:r>
              <w:rPr>
                <w:rFonts w:ascii="Arial" w:hAnsi="Arial" w:cs="Arial"/>
                <w:sz w:val="18"/>
                <w:szCs w:val="18"/>
              </w:rPr>
              <w:t>-0.20</w:t>
            </w:r>
          </w:p>
        </w:tc>
      </w:tr>
      <w:tr w:rsidR="00721501" w:rsidRPr="007E42D2" w14:paraId="5A9DDE5E" w14:textId="77777777" w:rsidTr="00E101CB">
        <w:trPr>
          <w:trHeight w:val="60"/>
          <w:jc w:val="center"/>
        </w:trPr>
        <w:tc>
          <w:tcPr>
            <w:tcW w:w="4622" w:type="dxa"/>
            <w:shd w:val="clear" w:color="auto" w:fill="auto"/>
          </w:tcPr>
          <w:p w14:paraId="44DA67AC" w14:textId="77777777" w:rsidR="00721501" w:rsidRPr="007E42D2" w:rsidRDefault="00E101CB"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Proveedores por pagar a corto plazo</w:t>
            </w:r>
          </w:p>
        </w:tc>
        <w:tc>
          <w:tcPr>
            <w:tcW w:w="2209" w:type="dxa"/>
            <w:shd w:val="clear" w:color="auto" w:fill="auto"/>
            <w:vAlign w:val="bottom"/>
          </w:tcPr>
          <w:p w14:paraId="09C80CC0" w14:textId="2F69241D" w:rsidR="00721501" w:rsidRPr="007E42D2" w:rsidRDefault="009B1F04" w:rsidP="00721501">
            <w:pPr>
              <w:spacing w:line="276" w:lineRule="auto"/>
              <w:jc w:val="right"/>
              <w:rPr>
                <w:rFonts w:ascii="Arial" w:hAnsi="Arial" w:cs="Arial"/>
                <w:sz w:val="18"/>
                <w:szCs w:val="18"/>
              </w:rPr>
            </w:pPr>
            <w:r>
              <w:rPr>
                <w:rFonts w:ascii="Arial" w:hAnsi="Arial" w:cs="Arial"/>
                <w:sz w:val="18"/>
                <w:szCs w:val="18"/>
              </w:rPr>
              <w:t>0.00</w:t>
            </w:r>
          </w:p>
        </w:tc>
      </w:tr>
      <w:tr w:rsidR="00721501" w:rsidRPr="007E42D2" w14:paraId="7303EE8B" w14:textId="77777777" w:rsidTr="00E101CB">
        <w:trPr>
          <w:trHeight w:val="60"/>
          <w:jc w:val="center"/>
        </w:trPr>
        <w:tc>
          <w:tcPr>
            <w:tcW w:w="4622" w:type="dxa"/>
            <w:shd w:val="clear" w:color="auto" w:fill="auto"/>
          </w:tcPr>
          <w:p w14:paraId="756893F6" w14:textId="77777777" w:rsidR="00721501" w:rsidRPr="007E42D2" w:rsidRDefault="00E101CB"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Retenciones y Contribuciones por pagar a corto plazo</w:t>
            </w:r>
          </w:p>
        </w:tc>
        <w:tc>
          <w:tcPr>
            <w:tcW w:w="2209" w:type="dxa"/>
            <w:shd w:val="clear" w:color="auto" w:fill="auto"/>
            <w:vAlign w:val="bottom"/>
          </w:tcPr>
          <w:p w14:paraId="48014013" w14:textId="7C69EDD0" w:rsidR="00721501" w:rsidRPr="007E42D2" w:rsidRDefault="009B1F04" w:rsidP="00A959E1">
            <w:pPr>
              <w:spacing w:line="276" w:lineRule="auto"/>
              <w:jc w:val="right"/>
              <w:rPr>
                <w:rFonts w:ascii="Arial" w:hAnsi="Arial" w:cs="Arial"/>
                <w:sz w:val="18"/>
                <w:szCs w:val="18"/>
              </w:rPr>
            </w:pPr>
            <w:r>
              <w:rPr>
                <w:rFonts w:ascii="Arial" w:hAnsi="Arial" w:cs="Arial"/>
                <w:sz w:val="18"/>
                <w:szCs w:val="18"/>
              </w:rPr>
              <w:t>455,301.88</w:t>
            </w:r>
          </w:p>
        </w:tc>
      </w:tr>
      <w:tr w:rsidR="00B005BA" w:rsidRPr="007E42D2" w14:paraId="6CD39DC5" w14:textId="77777777" w:rsidTr="00E101CB">
        <w:trPr>
          <w:trHeight w:val="60"/>
          <w:jc w:val="center"/>
        </w:trPr>
        <w:tc>
          <w:tcPr>
            <w:tcW w:w="4622" w:type="dxa"/>
            <w:shd w:val="clear" w:color="auto" w:fill="auto"/>
          </w:tcPr>
          <w:p w14:paraId="78E33BEF" w14:textId="77777777" w:rsidR="00B005BA" w:rsidRDefault="00B005BA" w:rsidP="00B005BA">
            <w:pPr>
              <w:pStyle w:val="Texto"/>
              <w:spacing w:after="0" w:line="276" w:lineRule="auto"/>
              <w:ind w:firstLine="0"/>
              <w:jc w:val="left"/>
              <w:rPr>
                <w:rFonts w:eastAsiaTheme="minorHAnsi"/>
                <w:szCs w:val="18"/>
                <w:lang w:val="es-MX" w:eastAsia="en-US"/>
              </w:rPr>
            </w:pPr>
            <w:r>
              <w:rPr>
                <w:rFonts w:eastAsiaTheme="minorHAnsi"/>
                <w:szCs w:val="18"/>
                <w:lang w:val="es-MX" w:eastAsia="en-US"/>
              </w:rPr>
              <w:t>Otras cuentas por pagar a corto plazo</w:t>
            </w:r>
          </w:p>
        </w:tc>
        <w:tc>
          <w:tcPr>
            <w:tcW w:w="2209" w:type="dxa"/>
            <w:shd w:val="clear" w:color="auto" w:fill="auto"/>
            <w:vAlign w:val="bottom"/>
          </w:tcPr>
          <w:p w14:paraId="407F4054" w14:textId="5034B191" w:rsidR="00B005BA" w:rsidRDefault="009B1F04" w:rsidP="00B005BA">
            <w:pPr>
              <w:jc w:val="right"/>
              <w:rPr>
                <w:rFonts w:ascii="Arial" w:hAnsi="Arial" w:cs="Arial"/>
                <w:sz w:val="18"/>
                <w:szCs w:val="18"/>
              </w:rPr>
            </w:pPr>
            <w:r>
              <w:rPr>
                <w:rFonts w:ascii="Arial" w:hAnsi="Arial" w:cs="Arial"/>
                <w:sz w:val="18"/>
                <w:szCs w:val="18"/>
              </w:rPr>
              <w:t>387,725.43</w:t>
            </w:r>
          </w:p>
        </w:tc>
      </w:tr>
      <w:tr w:rsidR="00721501" w:rsidRPr="007E42D2" w14:paraId="452FD2D5" w14:textId="77777777" w:rsidTr="00E101CB">
        <w:trPr>
          <w:trHeight w:val="60"/>
          <w:jc w:val="center"/>
        </w:trPr>
        <w:tc>
          <w:tcPr>
            <w:tcW w:w="4622" w:type="dxa"/>
            <w:shd w:val="clear" w:color="auto" w:fill="auto"/>
          </w:tcPr>
          <w:p w14:paraId="0D5884CF" w14:textId="77777777" w:rsidR="00721501" w:rsidRPr="001F1885" w:rsidRDefault="00E101CB" w:rsidP="00721501">
            <w:pPr>
              <w:pStyle w:val="Texto"/>
              <w:spacing w:after="0" w:line="276" w:lineRule="auto"/>
              <w:ind w:firstLine="0"/>
              <w:jc w:val="right"/>
              <w:rPr>
                <w:rFonts w:eastAsiaTheme="minorHAnsi"/>
                <w:b/>
                <w:szCs w:val="18"/>
                <w:lang w:val="es-MX" w:eastAsia="en-US"/>
              </w:rPr>
            </w:pPr>
            <w:r w:rsidRPr="001F1885">
              <w:rPr>
                <w:rFonts w:eastAsiaTheme="minorHAnsi"/>
                <w:b/>
                <w:szCs w:val="18"/>
                <w:lang w:val="es-MX" w:eastAsia="en-US"/>
              </w:rPr>
              <w:t>S</w:t>
            </w:r>
            <w:r w:rsidR="00721501" w:rsidRPr="001F1885">
              <w:rPr>
                <w:rFonts w:eastAsiaTheme="minorHAnsi"/>
                <w:b/>
                <w:szCs w:val="18"/>
                <w:lang w:val="es-MX" w:eastAsia="en-US"/>
              </w:rPr>
              <w:t>uma</w:t>
            </w:r>
            <w:r w:rsidRPr="001F1885">
              <w:rPr>
                <w:rFonts w:eastAsiaTheme="minorHAnsi"/>
                <w:b/>
                <w:szCs w:val="18"/>
                <w:lang w:val="es-MX" w:eastAsia="en-US"/>
              </w:rPr>
              <w:t>:</w:t>
            </w:r>
          </w:p>
        </w:tc>
        <w:tc>
          <w:tcPr>
            <w:tcW w:w="2209" w:type="dxa"/>
            <w:shd w:val="clear" w:color="auto" w:fill="auto"/>
          </w:tcPr>
          <w:p w14:paraId="17EB9E97" w14:textId="2D3F72DC" w:rsidR="00721501" w:rsidRPr="001F1885" w:rsidRDefault="00E47902" w:rsidP="00E101CB">
            <w:pPr>
              <w:pStyle w:val="Texto"/>
              <w:spacing w:after="0" w:line="276" w:lineRule="auto"/>
              <w:ind w:firstLine="0"/>
              <w:jc w:val="right"/>
              <w:rPr>
                <w:b/>
                <w:szCs w:val="18"/>
                <w:lang w:val="es-MX"/>
              </w:rPr>
            </w:pPr>
            <w:r w:rsidRPr="001F1885">
              <w:rPr>
                <w:b/>
                <w:szCs w:val="18"/>
                <w:lang w:val="es-MX"/>
              </w:rPr>
              <w:fldChar w:fldCharType="begin"/>
            </w:r>
            <w:r w:rsidR="00E101CB" w:rsidRPr="001F1885">
              <w:rPr>
                <w:b/>
                <w:szCs w:val="18"/>
                <w:lang w:val="es-MX"/>
              </w:rPr>
              <w:instrText xml:space="preserve"> =SUM(ABOVE) \# "$#,##0.00;($#,##0.00)" </w:instrText>
            </w:r>
            <w:r w:rsidRPr="001F1885">
              <w:rPr>
                <w:b/>
                <w:szCs w:val="18"/>
                <w:lang w:val="es-MX"/>
              </w:rPr>
              <w:fldChar w:fldCharType="separate"/>
            </w:r>
            <w:r w:rsidR="009B1F04" w:rsidRPr="001F1885">
              <w:rPr>
                <w:b/>
                <w:noProof/>
                <w:szCs w:val="18"/>
                <w:lang w:val="es-MX"/>
              </w:rPr>
              <w:t>$</w:t>
            </w:r>
            <w:r w:rsidR="009B1F04">
              <w:rPr>
                <w:b/>
                <w:noProof/>
                <w:szCs w:val="18"/>
                <w:lang w:val="es-MX"/>
              </w:rPr>
              <w:t xml:space="preserve">   843,027.11</w:t>
            </w:r>
            <w:r w:rsidRPr="001F1885">
              <w:rPr>
                <w:b/>
                <w:szCs w:val="18"/>
                <w:lang w:val="es-MX"/>
              </w:rPr>
              <w:fldChar w:fldCharType="end"/>
            </w:r>
          </w:p>
        </w:tc>
      </w:tr>
    </w:tbl>
    <w:p w14:paraId="56B81643" w14:textId="77777777" w:rsidR="00721501" w:rsidRDefault="00721501" w:rsidP="00721501">
      <w:pPr>
        <w:autoSpaceDE w:val="0"/>
        <w:autoSpaceDN w:val="0"/>
        <w:adjustRightInd w:val="0"/>
        <w:spacing w:before="80"/>
        <w:ind w:left="709"/>
        <w:jc w:val="both"/>
        <w:rPr>
          <w:rFonts w:ascii="Arial" w:hAnsi="Arial" w:cs="Arial"/>
          <w:sz w:val="18"/>
          <w:szCs w:val="18"/>
        </w:rPr>
      </w:pPr>
    </w:p>
    <w:p w14:paraId="6F3ADCDB" w14:textId="77777777" w:rsidR="00721501" w:rsidRPr="007E42D2" w:rsidRDefault="00721501" w:rsidP="00721501">
      <w:pPr>
        <w:pStyle w:val="Texto"/>
        <w:numPr>
          <w:ilvl w:val="0"/>
          <w:numId w:val="5"/>
        </w:numPr>
        <w:spacing w:line="276" w:lineRule="auto"/>
        <w:rPr>
          <w:szCs w:val="18"/>
        </w:rPr>
      </w:pPr>
      <w:r w:rsidRPr="007E42D2">
        <w:rPr>
          <w:b/>
          <w:szCs w:val="18"/>
          <w:lang w:val="es-MX"/>
        </w:rPr>
        <w:t>Provisiones a Corto Plazo</w:t>
      </w:r>
    </w:p>
    <w:p w14:paraId="4037B991" w14:textId="77777777" w:rsidR="00721501" w:rsidRDefault="00721501" w:rsidP="00721501">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w:t>
      </w:r>
      <w:r w:rsidR="00DF45C5">
        <w:rPr>
          <w:rFonts w:ascii="Arial" w:hAnsi="Arial" w:cs="Arial"/>
          <w:sz w:val="18"/>
          <w:szCs w:val="18"/>
        </w:rPr>
        <w:t xml:space="preserve"> por servicios devengados y</w:t>
      </w:r>
      <w:r w:rsidRPr="007E42D2">
        <w:rPr>
          <w:rFonts w:ascii="Arial" w:hAnsi="Arial" w:cs="Arial"/>
          <w:sz w:val="18"/>
          <w:szCs w:val="18"/>
        </w:rPr>
        <w:t xml:space="preserve"> que deberá pagar en un plazo menor o igual a doce meses. A </w:t>
      </w:r>
      <w:r w:rsidR="000C457F" w:rsidRPr="007E42D2">
        <w:rPr>
          <w:rFonts w:ascii="Arial" w:hAnsi="Arial" w:cs="Arial"/>
          <w:sz w:val="18"/>
          <w:szCs w:val="18"/>
        </w:rPr>
        <w:t>continuación,</w:t>
      </w:r>
      <w:r w:rsidRPr="007E42D2">
        <w:rPr>
          <w:rFonts w:ascii="Arial" w:hAnsi="Arial" w:cs="Arial"/>
          <w:sz w:val="18"/>
          <w:szCs w:val="18"/>
        </w:rPr>
        <w:t xml:space="preserve"> se presenta la integración de este rubro:</w:t>
      </w:r>
    </w:p>
    <w:p w14:paraId="34D6BAD4" w14:textId="77777777" w:rsidR="00721501" w:rsidRPr="007E42D2" w:rsidRDefault="00721501" w:rsidP="00721501">
      <w:pPr>
        <w:autoSpaceDE w:val="0"/>
        <w:autoSpaceDN w:val="0"/>
        <w:adjustRightInd w:val="0"/>
        <w:spacing w:before="80"/>
        <w:ind w:left="709"/>
        <w:jc w:val="both"/>
        <w:rPr>
          <w:rFonts w:ascii="Arial" w:hAnsi="Arial" w:cs="Arial"/>
          <w:sz w:val="18"/>
          <w:szCs w:val="18"/>
        </w:rPr>
      </w:pPr>
    </w:p>
    <w:p w14:paraId="2CCA37F9" w14:textId="77777777" w:rsidR="00721501" w:rsidRPr="007E42D2" w:rsidRDefault="00721501" w:rsidP="00721501">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2963"/>
        <w:gridCol w:w="1715"/>
      </w:tblGrid>
      <w:tr w:rsidR="00721501" w:rsidRPr="007E42D2" w14:paraId="6E1E0B23" w14:textId="77777777" w:rsidTr="00AD44D4">
        <w:trPr>
          <w:trHeight w:val="60"/>
          <w:jc w:val="center"/>
        </w:trPr>
        <w:tc>
          <w:tcPr>
            <w:tcW w:w="2963" w:type="dxa"/>
            <w:shd w:val="clear" w:color="auto" w:fill="632423" w:themeFill="accent2" w:themeFillShade="80"/>
          </w:tcPr>
          <w:p w14:paraId="64D226F1" w14:textId="77777777" w:rsidR="00721501" w:rsidRPr="007E42D2" w:rsidRDefault="00721501" w:rsidP="00721501">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632423" w:themeFill="accent2" w:themeFillShade="80"/>
          </w:tcPr>
          <w:p w14:paraId="6D2CE36F" w14:textId="2AB83A72" w:rsidR="00721501" w:rsidRPr="007E42D2" w:rsidRDefault="00DF45C5" w:rsidP="00DE22DA">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6C2339">
              <w:rPr>
                <w:b/>
                <w:color w:val="FFFFFF" w:themeColor="background1"/>
                <w:szCs w:val="18"/>
                <w:lang w:val="es-MX"/>
              </w:rPr>
              <w:t xml:space="preserve">31 </w:t>
            </w:r>
            <w:r w:rsidR="007D4895">
              <w:rPr>
                <w:b/>
                <w:color w:val="FFFFFF" w:themeColor="background1"/>
                <w:szCs w:val="18"/>
                <w:lang w:val="es-MX"/>
              </w:rPr>
              <w:t>Mar. 2020</w:t>
            </w:r>
          </w:p>
        </w:tc>
      </w:tr>
      <w:tr w:rsidR="00721501" w:rsidRPr="007E42D2" w14:paraId="54075611" w14:textId="77777777" w:rsidTr="00721501">
        <w:trPr>
          <w:trHeight w:val="60"/>
          <w:jc w:val="center"/>
        </w:trPr>
        <w:tc>
          <w:tcPr>
            <w:tcW w:w="2963" w:type="dxa"/>
            <w:shd w:val="clear" w:color="auto" w:fill="auto"/>
          </w:tcPr>
          <w:p w14:paraId="119E3AA0" w14:textId="77777777" w:rsidR="00721501" w:rsidRPr="007E42D2" w:rsidRDefault="00721501" w:rsidP="00B00D7A">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 xml:space="preserve">Provisión </w:t>
            </w:r>
            <w:r w:rsidR="00B00D7A">
              <w:rPr>
                <w:rFonts w:eastAsiaTheme="minorHAnsi"/>
                <w:szCs w:val="18"/>
                <w:lang w:val="es-MX" w:eastAsia="en-US"/>
              </w:rPr>
              <w:t>para Contingencias</w:t>
            </w:r>
          </w:p>
        </w:tc>
        <w:tc>
          <w:tcPr>
            <w:tcW w:w="1715" w:type="dxa"/>
            <w:shd w:val="clear" w:color="auto" w:fill="auto"/>
            <w:vAlign w:val="bottom"/>
          </w:tcPr>
          <w:p w14:paraId="7E3BB7CE" w14:textId="77777777" w:rsidR="00721501" w:rsidRPr="007E42D2" w:rsidRDefault="00EB69E2" w:rsidP="00EB69E2">
            <w:pPr>
              <w:spacing w:line="276" w:lineRule="auto"/>
              <w:jc w:val="right"/>
              <w:rPr>
                <w:rFonts w:ascii="Arial" w:hAnsi="Arial" w:cs="Arial"/>
                <w:sz w:val="18"/>
                <w:szCs w:val="18"/>
              </w:rPr>
            </w:pPr>
            <w:r>
              <w:rPr>
                <w:rFonts w:ascii="Arial" w:hAnsi="Arial" w:cs="Arial"/>
                <w:sz w:val="18"/>
                <w:szCs w:val="18"/>
              </w:rPr>
              <w:t>0.41</w:t>
            </w:r>
          </w:p>
        </w:tc>
      </w:tr>
      <w:tr w:rsidR="00721501" w:rsidRPr="007E42D2" w14:paraId="14A806D5" w14:textId="77777777" w:rsidTr="00721501">
        <w:trPr>
          <w:trHeight w:val="225"/>
          <w:jc w:val="center"/>
        </w:trPr>
        <w:tc>
          <w:tcPr>
            <w:tcW w:w="2963" w:type="dxa"/>
            <w:shd w:val="clear" w:color="auto" w:fill="auto"/>
          </w:tcPr>
          <w:p w14:paraId="387DAA4F" w14:textId="77777777" w:rsidR="00721501" w:rsidRPr="007E42D2" w:rsidRDefault="00B00D7A" w:rsidP="00721501">
            <w:pPr>
              <w:pStyle w:val="Texto"/>
              <w:spacing w:after="0" w:line="276" w:lineRule="auto"/>
              <w:ind w:firstLine="0"/>
              <w:jc w:val="left"/>
              <w:rPr>
                <w:rFonts w:eastAsiaTheme="minorHAnsi"/>
                <w:szCs w:val="18"/>
                <w:lang w:val="es-MX" w:eastAsia="en-US"/>
              </w:rPr>
            </w:pPr>
            <w:r>
              <w:rPr>
                <w:rFonts w:eastAsiaTheme="minorHAnsi"/>
                <w:szCs w:val="18"/>
                <w:lang w:val="es-MX" w:eastAsia="en-US"/>
              </w:rPr>
              <w:t>Otras Provisiones</w:t>
            </w:r>
          </w:p>
        </w:tc>
        <w:tc>
          <w:tcPr>
            <w:tcW w:w="1715" w:type="dxa"/>
            <w:shd w:val="clear" w:color="auto" w:fill="auto"/>
            <w:vAlign w:val="bottom"/>
          </w:tcPr>
          <w:p w14:paraId="47FB7443" w14:textId="138C8448" w:rsidR="00721501" w:rsidRPr="007E42D2" w:rsidRDefault="009B1F04" w:rsidP="003B593D">
            <w:pPr>
              <w:spacing w:line="276" w:lineRule="auto"/>
              <w:jc w:val="right"/>
              <w:rPr>
                <w:rFonts w:ascii="Arial" w:hAnsi="Arial" w:cs="Arial"/>
                <w:sz w:val="18"/>
                <w:szCs w:val="18"/>
              </w:rPr>
            </w:pPr>
            <w:r>
              <w:rPr>
                <w:rFonts w:ascii="Arial" w:hAnsi="Arial" w:cs="Arial"/>
                <w:sz w:val="18"/>
                <w:szCs w:val="18"/>
              </w:rPr>
              <w:t>1,183.79</w:t>
            </w:r>
          </w:p>
        </w:tc>
      </w:tr>
      <w:tr w:rsidR="00721501" w:rsidRPr="007E42D2" w14:paraId="2E65B0DA" w14:textId="77777777" w:rsidTr="00721501">
        <w:trPr>
          <w:trHeight w:val="60"/>
          <w:jc w:val="center"/>
        </w:trPr>
        <w:tc>
          <w:tcPr>
            <w:tcW w:w="2963" w:type="dxa"/>
            <w:shd w:val="clear" w:color="auto" w:fill="auto"/>
          </w:tcPr>
          <w:p w14:paraId="0D1AE0B7" w14:textId="77777777" w:rsidR="00721501" w:rsidRPr="001F1885" w:rsidRDefault="001F1885" w:rsidP="00721501">
            <w:pPr>
              <w:pStyle w:val="Texto"/>
              <w:spacing w:after="0" w:line="276" w:lineRule="auto"/>
              <w:ind w:firstLine="0"/>
              <w:jc w:val="right"/>
              <w:rPr>
                <w:rFonts w:eastAsiaTheme="minorHAnsi"/>
                <w:b/>
                <w:szCs w:val="18"/>
                <w:lang w:val="es-MX" w:eastAsia="en-US"/>
              </w:rPr>
            </w:pPr>
            <w:r w:rsidRPr="001F1885">
              <w:rPr>
                <w:rFonts w:eastAsiaTheme="minorHAnsi"/>
                <w:b/>
                <w:szCs w:val="18"/>
                <w:lang w:val="es-MX" w:eastAsia="en-US"/>
              </w:rPr>
              <w:t>S</w:t>
            </w:r>
            <w:r w:rsidR="00721501" w:rsidRPr="001F1885">
              <w:rPr>
                <w:rFonts w:eastAsiaTheme="minorHAnsi"/>
                <w:b/>
                <w:szCs w:val="18"/>
                <w:lang w:val="es-MX" w:eastAsia="en-US"/>
              </w:rPr>
              <w:t>uma</w:t>
            </w:r>
            <w:r>
              <w:rPr>
                <w:rFonts w:eastAsiaTheme="minorHAnsi"/>
                <w:b/>
                <w:szCs w:val="18"/>
                <w:lang w:val="es-MX" w:eastAsia="en-US"/>
              </w:rPr>
              <w:t>:</w:t>
            </w:r>
          </w:p>
        </w:tc>
        <w:tc>
          <w:tcPr>
            <w:tcW w:w="1715" w:type="dxa"/>
            <w:shd w:val="clear" w:color="auto" w:fill="auto"/>
            <w:vAlign w:val="bottom"/>
          </w:tcPr>
          <w:p w14:paraId="5B2B7CF5" w14:textId="5CCFACBE" w:rsidR="00721501" w:rsidRPr="001F1885" w:rsidRDefault="00E47902" w:rsidP="00721501">
            <w:pPr>
              <w:spacing w:line="276" w:lineRule="auto"/>
              <w:jc w:val="right"/>
              <w:rPr>
                <w:rFonts w:ascii="Arial" w:hAnsi="Arial" w:cs="Arial"/>
                <w:b/>
                <w:sz w:val="18"/>
                <w:szCs w:val="18"/>
              </w:rPr>
            </w:pPr>
            <w:r w:rsidRPr="001F1885">
              <w:rPr>
                <w:rFonts w:ascii="Arial" w:hAnsi="Arial" w:cs="Arial"/>
                <w:b/>
                <w:sz w:val="18"/>
                <w:szCs w:val="18"/>
              </w:rPr>
              <w:fldChar w:fldCharType="begin"/>
            </w:r>
            <w:r w:rsidR="00DF45C5" w:rsidRPr="001F1885">
              <w:rPr>
                <w:rFonts w:ascii="Arial" w:hAnsi="Arial" w:cs="Arial"/>
                <w:b/>
                <w:sz w:val="18"/>
                <w:szCs w:val="18"/>
              </w:rPr>
              <w:instrText xml:space="preserve"> =SUM(ABOVE) \# "$#,##0.00;($#,##0.00)" </w:instrText>
            </w:r>
            <w:r w:rsidRPr="001F1885">
              <w:rPr>
                <w:rFonts w:ascii="Arial" w:hAnsi="Arial" w:cs="Arial"/>
                <w:b/>
                <w:sz w:val="18"/>
                <w:szCs w:val="18"/>
              </w:rPr>
              <w:fldChar w:fldCharType="separate"/>
            </w:r>
            <w:r w:rsidR="009B1F04" w:rsidRPr="001F1885">
              <w:rPr>
                <w:rFonts w:ascii="Arial" w:hAnsi="Arial" w:cs="Arial"/>
                <w:b/>
                <w:noProof/>
                <w:sz w:val="18"/>
                <w:szCs w:val="18"/>
              </w:rPr>
              <w:t>$</w:t>
            </w:r>
            <w:r w:rsidR="009B1F04">
              <w:rPr>
                <w:rFonts w:ascii="Arial" w:hAnsi="Arial" w:cs="Arial"/>
                <w:b/>
                <w:noProof/>
                <w:sz w:val="18"/>
                <w:szCs w:val="18"/>
              </w:rPr>
              <w:t xml:space="preserve">   1,184.20</w:t>
            </w:r>
            <w:r w:rsidRPr="001F1885">
              <w:rPr>
                <w:rFonts w:ascii="Arial" w:hAnsi="Arial" w:cs="Arial"/>
                <w:b/>
                <w:sz w:val="18"/>
                <w:szCs w:val="18"/>
              </w:rPr>
              <w:fldChar w:fldCharType="end"/>
            </w:r>
          </w:p>
        </w:tc>
      </w:tr>
    </w:tbl>
    <w:p w14:paraId="0E3E599D" w14:textId="77777777" w:rsidR="00B00D7A" w:rsidRDefault="00B00D7A" w:rsidP="00B00D7A">
      <w:pPr>
        <w:rPr>
          <w:rFonts w:ascii="Arial" w:hAnsi="Arial" w:cs="Arial"/>
          <w:sz w:val="18"/>
          <w:szCs w:val="18"/>
        </w:rPr>
      </w:pPr>
      <w:r>
        <w:rPr>
          <w:rFonts w:ascii="Arial" w:hAnsi="Arial" w:cs="Arial"/>
          <w:sz w:val="18"/>
          <w:szCs w:val="18"/>
        </w:rPr>
        <w:br w:type="page"/>
      </w:r>
    </w:p>
    <w:p w14:paraId="09009B47" w14:textId="77777777" w:rsidR="00721501" w:rsidRPr="007E42D2" w:rsidRDefault="00721501" w:rsidP="00721501">
      <w:pPr>
        <w:autoSpaceDE w:val="0"/>
        <w:autoSpaceDN w:val="0"/>
        <w:adjustRightInd w:val="0"/>
        <w:spacing w:before="240" w:after="120"/>
        <w:jc w:val="both"/>
        <w:rPr>
          <w:rFonts w:ascii="Arial" w:eastAsia="Times New Roman" w:hAnsi="Arial" w:cs="Arial"/>
          <w:b/>
          <w:sz w:val="18"/>
          <w:szCs w:val="18"/>
          <w:lang w:val="es-ES" w:eastAsia="es-ES"/>
        </w:rPr>
      </w:pPr>
      <w:r w:rsidRPr="007E42D2">
        <w:rPr>
          <w:rFonts w:ascii="Arial" w:eastAsia="Times New Roman" w:hAnsi="Arial" w:cs="Arial"/>
          <w:b/>
          <w:sz w:val="18"/>
          <w:szCs w:val="18"/>
          <w:lang w:val="es-ES" w:eastAsia="es-ES"/>
        </w:rPr>
        <w:lastRenderedPageBreak/>
        <w:t>II)</w:t>
      </w:r>
      <w:r w:rsidRPr="007E42D2">
        <w:rPr>
          <w:rFonts w:ascii="Arial" w:eastAsia="Times New Roman" w:hAnsi="Arial" w:cs="Arial"/>
          <w:b/>
          <w:sz w:val="18"/>
          <w:szCs w:val="18"/>
          <w:lang w:val="es-ES" w:eastAsia="es-ES"/>
        </w:rPr>
        <w:tab/>
        <w:t>Notas al Estado de Actividades</w:t>
      </w:r>
    </w:p>
    <w:p w14:paraId="7751B1F4" w14:textId="77777777" w:rsidR="008923E7" w:rsidRDefault="008923E7" w:rsidP="008923E7">
      <w:pPr>
        <w:pStyle w:val="Texto"/>
        <w:numPr>
          <w:ilvl w:val="0"/>
          <w:numId w:val="5"/>
        </w:numPr>
        <w:spacing w:line="276" w:lineRule="auto"/>
        <w:rPr>
          <w:szCs w:val="18"/>
        </w:rPr>
      </w:pPr>
      <w:r>
        <w:rPr>
          <w:b/>
          <w:szCs w:val="18"/>
        </w:rPr>
        <w:t>Ingresos de Gestión</w:t>
      </w:r>
      <w:r>
        <w:rPr>
          <w:szCs w:val="18"/>
        </w:rPr>
        <w:t>, los ingresos de los que se financian las actividades del Instituto son:</w:t>
      </w:r>
    </w:p>
    <w:p w14:paraId="1424E291" w14:textId="77777777" w:rsidR="00FA11DA" w:rsidRPr="00FA11DA" w:rsidRDefault="00FA11DA" w:rsidP="00FA11DA">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5365"/>
        <w:gridCol w:w="2209"/>
      </w:tblGrid>
      <w:tr w:rsidR="008923E7" w:rsidRPr="007E42D2" w14:paraId="2D92E160" w14:textId="77777777" w:rsidTr="00AD44D4">
        <w:trPr>
          <w:trHeight w:val="60"/>
          <w:jc w:val="center"/>
        </w:trPr>
        <w:tc>
          <w:tcPr>
            <w:tcW w:w="5365" w:type="dxa"/>
            <w:shd w:val="clear" w:color="auto" w:fill="632423" w:themeFill="accent2" w:themeFillShade="80"/>
          </w:tcPr>
          <w:p w14:paraId="66149124" w14:textId="78BA2E76" w:rsidR="008923E7" w:rsidRPr="007E42D2" w:rsidRDefault="00D4635E" w:rsidP="00FC4DCD">
            <w:pPr>
              <w:pStyle w:val="Texto"/>
              <w:spacing w:after="0" w:line="276" w:lineRule="auto"/>
              <w:ind w:firstLine="0"/>
              <w:jc w:val="center"/>
              <w:rPr>
                <w:b/>
                <w:color w:val="FFFFFF" w:themeColor="background1"/>
                <w:szCs w:val="18"/>
                <w:lang w:val="es-MX"/>
              </w:rPr>
            </w:pPr>
            <w:r>
              <w:rPr>
                <w:b/>
                <w:color w:val="FFFFFF" w:themeColor="background1"/>
                <w:szCs w:val="18"/>
                <w:lang w:val="es-MX"/>
              </w:rPr>
              <w:t>Transferencias</w:t>
            </w:r>
          </w:p>
        </w:tc>
        <w:tc>
          <w:tcPr>
            <w:tcW w:w="2209" w:type="dxa"/>
            <w:shd w:val="clear" w:color="auto" w:fill="632423" w:themeFill="accent2" w:themeFillShade="80"/>
          </w:tcPr>
          <w:p w14:paraId="3E110252" w14:textId="364A55EE" w:rsidR="008923E7" w:rsidRPr="007E42D2" w:rsidRDefault="008923E7" w:rsidP="00E9790E">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6C2339">
              <w:rPr>
                <w:b/>
                <w:color w:val="FFFFFF" w:themeColor="background1"/>
                <w:szCs w:val="18"/>
                <w:lang w:val="es-MX"/>
              </w:rPr>
              <w:t xml:space="preserve">31 </w:t>
            </w:r>
            <w:r w:rsidR="007D4895">
              <w:rPr>
                <w:b/>
                <w:color w:val="FFFFFF" w:themeColor="background1"/>
                <w:szCs w:val="18"/>
                <w:lang w:val="es-MX"/>
              </w:rPr>
              <w:t>Mar. 2020</w:t>
            </w:r>
          </w:p>
        </w:tc>
      </w:tr>
      <w:tr w:rsidR="008923E7" w:rsidRPr="007E42D2" w14:paraId="53CC01F5" w14:textId="77777777" w:rsidTr="008923E7">
        <w:trPr>
          <w:trHeight w:val="60"/>
          <w:jc w:val="center"/>
        </w:trPr>
        <w:tc>
          <w:tcPr>
            <w:tcW w:w="5365" w:type="dxa"/>
            <w:shd w:val="clear" w:color="auto" w:fill="auto"/>
          </w:tcPr>
          <w:p w14:paraId="76DCF4B1" w14:textId="77777777" w:rsidR="008923E7" w:rsidRPr="007E42D2" w:rsidRDefault="008923E7"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Ramo 33 FAETA (Ingresos Federales)</w:t>
            </w:r>
          </w:p>
        </w:tc>
        <w:tc>
          <w:tcPr>
            <w:tcW w:w="2209" w:type="dxa"/>
            <w:shd w:val="clear" w:color="auto" w:fill="auto"/>
            <w:vAlign w:val="bottom"/>
          </w:tcPr>
          <w:p w14:paraId="15A41BD2" w14:textId="0092E146" w:rsidR="008923E7" w:rsidRPr="007E42D2" w:rsidRDefault="00D4635E" w:rsidP="009F1D5A">
            <w:pPr>
              <w:spacing w:line="276" w:lineRule="auto"/>
              <w:jc w:val="right"/>
              <w:rPr>
                <w:rFonts w:ascii="Arial" w:hAnsi="Arial" w:cs="Arial"/>
                <w:sz w:val="18"/>
                <w:szCs w:val="18"/>
              </w:rPr>
            </w:pPr>
            <w:r>
              <w:rPr>
                <w:rFonts w:ascii="Arial" w:hAnsi="Arial" w:cs="Arial"/>
                <w:sz w:val="18"/>
                <w:szCs w:val="18"/>
              </w:rPr>
              <w:t>12,588,203.00</w:t>
            </w:r>
          </w:p>
        </w:tc>
      </w:tr>
      <w:tr w:rsidR="008923E7" w:rsidRPr="007E42D2" w14:paraId="713C54E4" w14:textId="77777777" w:rsidTr="008923E7">
        <w:trPr>
          <w:trHeight w:val="60"/>
          <w:jc w:val="center"/>
        </w:trPr>
        <w:tc>
          <w:tcPr>
            <w:tcW w:w="5365" w:type="dxa"/>
            <w:shd w:val="clear" w:color="auto" w:fill="auto"/>
          </w:tcPr>
          <w:p w14:paraId="5473F675" w14:textId="77777777" w:rsidR="008923E7" w:rsidRPr="007E42D2" w:rsidRDefault="008923E7"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Ramo 11 Convenios de Colaboración (Ingresos Federales)</w:t>
            </w:r>
          </w:p>
        </w:tc>
        <w:tc>
          <w:tcPr>
            <w:tcW w:w="2209" w:type="dxa"/>
            <w:shd w:val="clear" w:color="auto" w:fill="auto"/>
            <w:vAlign w:val="bottom"/>
          </w:tcPr>
          <w:p w14:paraId="7FC2DA44" w14:textId="2759343C" w:rsidR="008923E7" w:rsidRPr="007E42D2" w:rsidRDefault="00D4635E" w:rsidP="00A93FD2">
            <w:pPr>
              <w:spacing w:line="276" w:lineRule="auto"/>
              <w:jc w:val="right"/>
              <w:rPr>
                <w:rFonts w:ascii="Arial" w:hAnsi="Arial" w:cs="Arial"/>
                <w:sz w:val="18"/>
                <w:szCs w:val="18"/>
              </w:rPr>
            </w:pPr>
            <w:r>
              <w:rPr>
                <w:rFonts w:ascii="Arial" w:hAnsi="Arial" w:cs="Arial"/>
                <w:sz w:val="18"/>
                <w:szCs w:val="18"/>
              </w:rPr>
              <w:t>1,600,000.00</w:t>
            </w:r>
          </w:p>
        </w:tc>
      </w:tr>
      <w:tr w:rsidR="008923E7" w:rsidRPr="007E42D2" w14:paraId="361CB416" w14:textId="77777777" w:rsidTr="008923E7">
        <w:trPr>
          <w:trHeight w:val="60"/>
          <w:jc w:val="center"/>
        </w:trPr>
        <w:tc>
          <w:tcPr>
            <w:tcW w:w="5365" w:type="dxa"/>
            <w:shd w:val="clear" w:color="auto" w:fill="auto"/>
          </w:tcPr>
          <w:p w14:paraId="3291A823" w14:textId="5B2458D7" w:rsidR="008923E7" w:rsidRPr="007E42D2" w:rsidRDefault="008923E7"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Aportación Estatal</w:t>
            </w:r>
            <w:r w:rsidR="00FA11DA">
              <w:rPr>
                <w:rFonts w:eastAsiaTheme="minorHAnsi"/>
                <w:szCs w:val="18"/>
                <w:lang w:val="es-MX" w:eastAsia="en-US"/>
              </w:rPr>
              <w:t xml:space="preserve"> (</w:t>
            </w:r>
            <w:r w:rsidR="00D4635E">
              <w:rPr>
                <w:rFonts w:eastAsiaTheme="minorHAnsi"/>
                <w:szCs w:val="18"/>
                <w:lang w:val="es-MX" w:eastAsia="en-US"/>
              </w:rPr>
              <w:t>Fondo de Participaciones</w:t>
            </w:r>
            <w:r w:rsidR="00FA11DA">
              <w:rPr>
                <w:rFonts w:eastAsiaTheme="minorHAnsi"/>
                <w:szCs w:val="18"/>
                <w:lang w:val="es-MX" w:eastAsia="en-US"/>
              </w:rPr>
              <w:t>)</w:t>
            </w:r>
          </w:p>
        </w:tc>
        <w:tc>
          <w:tcPr>
            <w:tcW w:w="2209" w:type="dxa"/>
            <w:shd w:val="clear" w:color="auto" w:fill="auto"/>
            <w:vAlign w:val="bottom"/>
          </w:tcPr>
          <w:p w14:paraId="18EC238E" w14:textId="29B65779" w:rsidR="008923E7" w:rsidRPr="007E42D2" w:rsidRDefault="00D4635E" w:rsidP="00FC4DCD">
            <w:pPr>
              <w:spacing w:line="276" w:lineRule="auto"/>
              <w:jc w:val="right"/>
              <w:rPr>
                <w:rFonts w:ascii="Arial" w:hAnsi="Arial" w:cs="Arial"/>
                <w:sz w:val="18"/>
                <w:szCs w:val="18"/>
              </w:rPr>
            </w:pPr>
            <w:r>
              <w:rPr>
                <w:rFonts w:ascii="Arial" w:hAnsi="Arial" w:cs="Arial"/>
                <w:sz w:val="18"/>
                <w:szCs w:val="18"/>
              </w:rPr>
              <w:t>3,949,983.19</w:t>
            </w:r>
          </w:p>
        </w:tc>
      </w:tr>
      <w:tr w:rsidR="00FA11DA" w:rsidRPr="007E42D2" w14:paraId="2C15AB64" w14:textId="77777777" w:rsidTr="008923E7">
        <w:trPr>
          <w:trHeight w:val="60"/>
          <w:jc w:val="center"/>
        </w:trPr>
        <w:tc>
          <w:tcPr>
            <w:tcW w:w="5365" w:type="dxa"/>
            <w:shd w:val="clear" w:color="auto" w:fill="auto"/>
          </w:tcPr>
          <w:p w14:paraId="06357DFF" w14:textId="77777777" w:rsidR="00FA11DA" w:rsidRDefault="00FA11DA" w:rsidP="00A51AF2">
            <w:pPr>
              <w:pStyle w:val="Texto"/>
              <w:spacing w:after="0" w:line="276" w:lineRule="auto"/>
              <w:ind w:firstLine="0"/>
              <w:jc w:val="left"/>
              <w:rPr>
                <w:rFonts w:eastAsiaTheme="minorHAnsi"/>
                <w:szCs w:val="18"/>
                <w:lang w:val="es-MX" w:eastAsia="en-US"/>
              </w:rPr>
            </w:pPr>
            <w:r>
              <w:rPr>
                <w:rFonts w:eastAsiaTheme="minorHAnsi"/>
                <w:szCs w:val="18"/>
                <w:lang w:val="es-MX" w:eastAsia="en-US"/>
              </w:rPr>
              <w:t>Ingresos Financieros</w:t>
            </w:r>
          </w:p>
        </w:tc>
        <w:tc>
          <w:tcPr>
            <w:tcW w:w="2209" w:type="dxa"/>
            <w:shd w:val="clear" w:color="auto" w:fill="auto"/>
          </w:tcPr>
          <w:p w14:paraId="4D2F567C" w14:textId="54DFF7F9" w:rsidR="00FA11DA" w:rsidRDefault="00D4635E" w:rsidP="00CD7583">
            <w:pPr>
              <w:pStyle w:val="Texto"/>
              <w:spacing w:after="0" w:line="276" w:lineRule="auto"/>
              <w:ind w:firstLine="0"/>
              <w:jc w:val="right"/>
              <w:rPr>
                <w:szCs w:val="18"/>
                <w:lang w:val="es-MX"/>
              </w:rPr>
            </w:pPr>
            <w:r>
              <w:rPr>
                <w:szCs w:val="18"/>
                <w:lang w:val="es-MX"/>
              </w:rPr>
              <w:t>194.45</w:t>
            </w:r>
          </w:p>
        </w:tc>
      </w:tr>
      <w:tr w:rsidR="008923E7" w:rsidRPr="007E42D2" w14:paraId="2EB96E54" w14:textId="77777777" w:rsidTr="008923E7">
        <w:trPr>
          <w:trHeight w:val="60"/>
          <w:jc w:val="center"/>
        </w:trPr>
        <w:tc>
          <w:tcPr>
            <w:tcW w:w="5365" w:type="dxa"/>
            <w:shd w:val="clear" w:color="auto" w:fill="auto"/>
          </w:tcPr>
          <w:p w14:paraId="27E4F5A5" w14:textId="77777777" w:rsidR="008923E7" w:rsidRPr="001F1885" w:rsidRDefault="008923E7" w:rsidP="00FC4DCD">
            <w:pPr>
              <w:pStyle w:val="Texto"/>
              <w:spacing w:after="0" w:line="276" w:lineRule="auto"/>
              <w:ind w:firstLine="0"/>
              <w:jc w:val="right"/>
              <w:rPr>
                <w:rFonts w:eastAsiaTheme="minorHAnsi"/>
                <w:b/>
                <w:szCs w:val="18"/>
                <w:lang w:val="es-MX" w:eastAsia="en-US"/>
              </w:rPr>
            </w:pPr>
            <w:r w:rsidRPr="001F1885">
              <w:rPr>
                <w:rFonts w:eastAsiaTheme="minorHAnsi"/>
                <w:b/>
                <w:szCs w:val="18"/>
                <w:lang w:val="es-MX" w:eastAsia="en-US"/>
              </w:rPr>
              <w:t>Suma:</w:t>
            </w:r>
          </w:p>
        </w:tc>
        <w:tc>
          <w:tcPr>
            <w:tcW w:w="2209" w:type="dxa"/>
            <w:shd w:val="clear" w:color="auto" w:fill="auto"/>
          </w:tcPr>
          <w:p w14:paraId="15B07D09" w14:textId="78FF50D1" w:rsidR="008923E7" w:rsidRPr="001F1885" w:rsidRDefault="00E47902" w:rsidP="00FC4DCD">
            <w:pPr>
              <w:pStyle w:val="Texto"/>
              <w:spacing w:after="0" w:line="276" w:lineRule="auto"/>
              <w:ind w:firstLine="0"/>
              <w:jc w:val="right"/>
              <w:rPr>
                <w:b/>
                <w:szCs w:val="18"/>
                <w:lang w:val="es-MX"/>
              </w:rPr>
            </w:pPr>
            <w:r w:rsidRPr="001F1885">
              <w:rPr>
                <w:b/>
                <w:szCs w:val="18"/>
                <w:lang w:val="es-MX"/>
              </w:rPr>
              <w:fldChar w:fldCharType="begin"/>
            </w:r>
            <w:r w:rsidR="008923E7" w:rsidRPr="001F1885">
              <w:rPr>
                <w:b/>
                <w:szCs w:val="18"/>
                <w:lang w:val="es-MX"/>
              </w:rPr>
              <w:instrText xml:space="preserve"> =SUM(ABOVE) \# "$#,##0.00;($#,##0.00)" </w:instrText>
            </w:r>
            <w:r w:rsidRPr="001F1885">
              <w:rPr>
                <w:b/>
                <w:szCs w:val="18"/>
                <w:lang w:val="es-MX"/>
              </w:rPr>
              <w:fldChar w:fldCharType="separate"/>
            </w:r>
            <w:r w:rsidR="00D4635E" w:rsidRPr="001F1885">
              <w:rPr>
                <w:b/>
                <w:noProof/>
                <w:szCs w:val="18"/>
                <w:lang w:val="es-MX"/>
              </w:rPr>
              <w:t>$</w:t>
            </w:r>
            <w:r w:rsidR="00D4635E">
              <w:rPr>
                <w:b/>
                <w:noProof/>
                <w:szCs w:val="18"/>
                <w:lang w:val="es-MX"/>
              </w:rPr>
              <w:t xml:space="preserve">   18,138,380.64</w:t>
            </w:r>
            <w:r w:rsidRPr="001F1885">
              <w:rPr>
                <w:b/>
                <w:szCs w:val="18"/>
                <w:lang w:val="es-MX"/>
              </w:rPr>
              <w:fldChar w:fldCharType="end"/>
            </w:r>
          </w:p>
        </w:tc>
      </w:tr>
    </w:tbl>
    <w:p w14:paraId="1ACA5EDD" w14:textId="77777777" w:rsidR="00FA11DA" w:rsidRPr="00FA11DA" w:rsidRDefault="00FA11DA" w:rsidP="00FA11DA">
      <w:pPr>
        <w:pStyle w:val="Texto"/>
        <w:spacing w:line="276" w:lineRule="auto"/>
        <w:rPr>
          <w:szCs w:val="18"/>
        </w:rPr>
      </w:pPr>
    </w:p>
    <w:p w14:paraId="60A60FA9" w14:textId="77777777" w:rsidR="00FA11DA" w:rsidRPr="007E42D2" w:rsidRDefault="00FA11DA" w:rsidP="00FA11DA">
      <w:pPr>
        <w:pStyle w:val="Texto"/>
        <w:numPr>
          <w:ilvl w:val="0"/>
          <w:numId w:val="5"/>
        </w:numPr>
        <w:spacing w:line="276" w:lineRule="auto"/>
        <w:rPr>
          <w:szCs w:val="18"/>
        </w:rPr>
      </w:pPr>
      <w:r>
        <w:rPr>
          <w:b/>
          <w:szCs w:val="18"/>
        </w:rPr>
        <w:t>Gastos y Otras Pérdidas</w:t>
      </w:r>
      <w:r>
        <w:rPr>
          <w:szCs w:val="18"/>
        </w:rPr>
        <w:t xml:space="preserve">, los gastos de este </w:t>
      </w:r>
      <w:r w:rsidR="00E9790E">
        <w:rPr>
          <w:szCs w:val="18"/>
        </w:rPr>
        <w:t>periodo</w:t>
      </w:r>
      <w:r>
        <w:rPr>
          <w:szCs w:val="18"/>
        </w:rPr>
        <w:t xml:space="preserve"> ascendieron</w:t>
      </w:r>
      <w:r w:rsidR="00A76932">
        <w:rPr>
          <w:szCs w:val="18"/>
        </w:rPr>
        <w:t xml:space="preserve"> a</w:t>
      </w:r>
      <w:r>
        <w:rPr>
          <w:szCs w:val="18"/>
        </w:rPr>
        <w:t>:</w:t>
      </w:r>
    </w:p>
    <w:p w14:paraId="5DB3BC41" w14:textId="77777777" w:rsidR="00FA11DA" w:rsidRPr="00FA11DA" w:rsidRDefault="00FA11DA" w:rsidP="00FA11DA">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5365"/>
        <w:gridCol w:w="2209"/>
      </w:tblGrid>
      <w:tr w:rsidR="00FA11DA" w:rsidRPr="007E42D2" w14:paraId="32CF689C" w14:textId="77777777" w:rsidTr="00AD44D4">
        <w:trPr>
          <w:trHeight w:val="60"/>
          <w:jc w:val="center"/>
        </w:trPr>
        <w:tc>
          <w:tcPr>
            <w:tcW w:w="5365" w:type="dxa"/>
            <w:shd w:val="clear" w:color="auto" w:fill="632423" w:themeFill="accent2" w:themeFillShade="80"/>
          </w:tcPr>
          <w:p w14:paraId="5349FF1A" w14:textId="77777777" w:rsidR="00FA11DA" w:rsidRPr="007E42D2" w:rsidRDefault="00271F23" w:rsidP="00A76932">
            <w:pPr>
              <w:pStyle w:val="Texto"/>
              <w:spacing w:after="0" w:line="276" w:lineRule="auto"/>
              <w:ind w:firstLine="0"/>
              <w:jc w:val="center"/>
              <w:rPr>
                <w:b/>
                <w:color w:val="FFFFFF" w:themeColor="background1"/>
                <w:szCs w:val="18"/>
                <w:lang w:val="es-MX"/>
              </w:rPr>
            </w:pPr>
            <w:r>
              <w:rPr>
                <w:b/>
                <w:color w:val="FFFFFF" w:themeColor="background1"/>
                <w:szCs w:val="18"/>
                <w:lang w:val="es-MX"/>
              </w:rPr>
              <w:t>Gastos y Otras Pérdidas</w:t>
            </w:r>
          </w:p>
        </w:tc>
        <w:tc>
          <w:tcPr>
            <w:tcW w:w="2209" w:type="dxa"/>
            <w:shd w:val="clear" w:color="auto" w:fill="632423" w:themeFill="accent2" w:themeFillShade="80"/>
          </w:tcPr>
          <w:p w14:paraId="58CC5B17" w14:textId="19012895" w:rsidR="00FA11DA" w:rsidRPr="007E42D2" w:rsidRDefault="00FA11DA" w:rsidP="00E9790E">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6C2339">
              <w:rPr>
                <w:b/>
                <w:color w:val="FFFFFF" w:themeColor="background1"/>
                <w:szCs w:val="18"/>
                <w:lang w:val="es-MX"/>
              </w:rPr>
              <w:t xml:space="preserve">31 </w:t>
            </w:r>
            <w:r w:rsidR="007D4895">
              <w:rPr>
                <w:b/>
                <w:color w:val="FFFFFF" w:themeColor="background1"/>
                <w:szCs w:val="18"/>
                <w:lang w:val="es-MX"/>
              </w:rPr>
              <w:t>Mar. 2020</w:t>
            </w:r>
          </w:p>
        </w:tc>
      </w:tr>
      <w:tr w:rsidR="00FA11DA" w:rsidRPr="007E42D2" w14:paraId="240B27E0" w14:textId="77777777" w:rsidTr="00FC4DCD">
        <w:trPr>
          <w:trHeight w:val="60"/>
          <w:jc w:val="center"/>
        </w:trPr>
        <w:tc>
          <w:tcPr>
            <w:tcW w:w="5365" w:type="dxa"/>
            <w:shd w:val="clear" w:color="auto" w:fill="auto"/>
          </w:tcPr>
          <w:p w14:paraId="59ECE7AF" w14:textId="77777777" w:rsidR="00FA11DA" w:rsidRPr="007E42D2" w:rsidRDefault="00271F23" w:rsidP="00FC4DCD">
            <w:pPr>
              <w:pStyle w:val="Texto"/>
              <w:spacing w:after="0" w:line="276" w:lineRule="auto"/>
              <w:ind w:firstLine="0"/>
              <w:jc w:val="left"/>
              <w:rPr>
                <w:rFonts w:eastAsiaTheme="minorHAnsi"/>
                <w:szCs w:val="18"/>
                <w:lang w:val="es-MX" w:eastAsia="en-US"/>
              </w:rPr>
            </w:pPr>
            <w:r>
              <w:rPr>
                <w:rFonts w:eastAsiaTheme="minorHAnsi"/>
                <w:szCs w:val="18"/>
                <w:lang w:val="es-MX" w:eastAsia="en-US"/>
              </w:rPr>
              <w:t>Gastos de Funcionamiento</w:t>
            </w:r>
          </w:p>
        </w:tc>
        <w:tc>
          <w:tcPr>
            <w:tcW w:w="2209" w:type="dxa"/>
            <w:shd w:val="clear" w:color="auto" w:fill="auto"/>
            <w:vAlign w:val="bottom"/>
          </w:tcPr>
          <w:p w14:paraId="70811B8F" w14:textId="25605921" w:rsidR="00FA11DA" w:rsidRPr="007E42D2" w:rsidRDefault="00A94BCD" w:rsidP="00116D97">
            <w:pPr>
              <w:spacing w:line="276" w:lineRule="auto"/>
              <w:jc w:val="right"/>
              <w:rPr>
                <w:rFonts w:ascii="Arial" w:hAnsi="Arial" w:cs="Arial"/>
                <w:sz w:val="18"/>
                <w:szCs w:val="18"/>
              </w:rPr>
            </w:pPr>
            <w:r>
              <w:rPr>
                <w:rFonts w:ascii="Arial" w:hAnsi="Arial" w:cs="Arial"/>
                <w:sz w:val="18"/>
                <w:szCs w:val="18"/>
              </w:rPr>
              <w:t>9’636,465.43</w:t>
            </w:r>
          </w:p>
        </w:tc>
      </w:tr>
      <w:tr w:rsidR="00FA11DA" w:rsidRPr="007E42D2" w14:paraId="52EE55AB" w14:textId="77777777" w:rsidTr="00FC4DCD">
        <w:trPr>
          <w:trHeight w:val="60"/>
          <w:jc w:val="center"/>
        </w:trPr>
        <w:tc>
          <w:tcPr>
            <w:tcW w:w="5365" w:type="dxa"/>
            <w:shd w:val="clear" w:color="auto" w:fill="auto"/>
          </w:tcPr>
          <w:p w14:paraId="5B0577A4" w14:textId="77777777" w:rsidR="00FA11DA" w:rsidRPr="007E42D2" w:rsidRDefault="00271F23" w:rsidP="00271F23">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Servicios Personales</w:t>
            </w:r>
          </w:p>
        </w:tc>
        <w:tc>
          <w:tcPr>
            <w:tcW w:w="2209" w:type="dxa"/>
            <w:shd w:val="clear" w:color="auto" w:fill="auto"/>
            <w:vAlign w:val="bottom"/>
          </w:tcPr>
          <w:p w14:paraId="7BCBC26A" w14:textId="3FE829E3" w:rsidR="00FA11DA" w:rsidRPr="007E42D2" w:rsidRDefault="00A94BCD" w:rsidP="00EA1730">
            <w:pPr>
              <w:spacing w:line="276" w:lineRule="auto"/>
              <w:jc w:val="right"/>
              <w:rPr>
                <w:rFonts w:ascii="Arial" w:hAnsi="Arial" w:cs="Arial"/>
                <w:sz w:val="18"/>
                <w:szCs w:val="18"/>
              </w:rPr>
            </w:pPr>
            <w:r>
              <w:rPr>
                <w:rFonts w:ascii="Arial" w:hAnsi="Arial" w:cs="Arial"/>
                <w:sz w:val="18"/>
                <w:szCs w:val="18"/>
              </w:rPr>
              <w:t>7,921,953.81</w:t>
            </w:r>
          </w:p>
        </w:tc>
      </w:tr>
      <w:tr w:rsidR="00271F23" w:rsidRPr="007E42D2" w14:paraId="578631FC" w14:textId="77777777" w:rsidTr="00FC4DCD">
        <w:trPr>
          <w:trHeight w:val="60"/>
          <w:jc w:val="center"/>
        </w:trPr>
        <w:tc>
          <w:tcPr>
            <w:tcW w:w="5365" w:type="dxa"/>
            <w:shd w:val="clear" w:color="auto" w:fill="auto"/>
          </w:tcPr>
          <w:p w14:paraId="1C595006" w14:textId="77777777" w:rsidR="00271F23" w:rsidRPr="007E42D2" w:rsidRDefault="00271F23" w:rsidP="00FC4DCD">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Materiales</w:t>
            </w:r>
            <w:r w:rsidR="00261730">
              <w:rPr>
                <w:rFonts w:eastAsiaTheme="minorHAnsi"/>
                <w:szCs w:val="18"/>
                <w:lang w:val="es-MX" w:eastAsia="en-US"/>
              </w:rPr>
              <w:t xml:space="preserve"> y Suministros</w:t>
            </w:r>
          </w:p>
        </w:tc>
        <w:tc>
          <w:tcPr>
            <w:tcW w:w="2209" w:type="dxa"/>
            <w:shd w:val="clear" w:color="auto" w:fill="auto"/>
            <w:vAlign w:val="bottom"/>
          </w:tcPr>
          <w:p w14:paraId="295FB3EC" w14:textId="772D9F56" w:rsidR="00271F23" w:rsidRPr="007E42D2" w:rsidRDefault="00A94BCD" w:rsidP="009F1D5A">
            <w:pPr>
              <w:spacing w:line="276" w:lineRule="auto"/>
              <w:jc w:val="right"/>
              <w:rPr>
                <w:rFonts w:ascii="Arial" w:hAnsi="Arial" w:cs="Arial"/>
                <w:sz w:val="18"/>
                <w:szCs w:val="18"/>
              </w:rPr>
            </w:pPr>
            <w:r>
              <w:rPr>
                <w:rFonts w:ascii="Arial" w:hAnsi="Arial" w:cs="Arial"/>
                <w:sz w:val="18"/>
                <w:szCs w:val="18"/>
              </w:rPr>
              <w:t>627,757.02</w:t>
            </w:r>
          </w:p>
        </w:tc>
      </w:tr>
      <w:tr w:rsidR="00261730" w:rsidRPr="007E42D2" w14:paraId="39C3AA68" w14:textId="77777777" w:rsidTr="00FC4DCD">
        <w:trPr>
          <w:trHeight w:val="60"/>
          <w:jc w:val="center"/>
        </w:trPr>
        <w:tc>
          <w:tcPr>
            <w:tcW w:w="5365" w:type="dxa"/>
            <w:shd w:val="clear" w:color="auto" w:fill="auto"/>
          </w:tcPr>
          <w:p w14:paraId="523874CD" w14:textId="77777777" w:rsidR="00261730" w:rsidRPr="007E42D2" w:rsidRDefault="00261730" w:rsidP="00FC4DCD">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Servicios Generales</w:t>
            </w:r>
          </w:p>
        </w:tc>
        <w:tc>
          <w:tcPr>
            <w:tcW w:w="2209" w:type="dxa"/>
            <w:shd w:val="clear" w:color="auto" w:fill="auto"/>
          </w:tcPr>
          <w:p w14:paraId="5AE5B7A9" w14:textId="6B214602" w:rsidR="00261730" w:rsidRDefault="00A94BCD" w:rsidP="00EA1730">
            <w:pPr>
              <w:pStyle w:val="Texto"/>
              <w:spacing w:after="0" w:line="276" w:lineRule="auto"/>
              <w:ind w:firstLine="0"/>
              <w:jc w:val="right"/>
              <w:rPr>
                <w:szCs w:val="18"/>
                <w:lang w:val="es-MX"/>
              </w:rPr>
            </w:pPr>
            <w:r>
              <w:rPr>
                <w:szCs w:val="18"/>
                <w:lang w:val="es-MX"/>
              </w:rPr>
              <w:t>1,086,754.60</w:t>
            </w:r>
          </w:p>
        </w:tc>
      </w:tr>
      <w:tr w:rsidR="00261730" w:rsidRPr="007E42D2" w14:paraId="2B877AA7" w14:textId="77777777" w:rsidTr="00FC4DCD">
        <w:trPr>
          <w:trHeight w:val="60"/>
          <w:jc w:val="center"/>
        </w:trPr>
        <w:tc>
          <w:tcPr>
            <w:tcW w:w="5365" w:type="dxa"/>
            <w:shd w:val="clear" w:color="auto" w:fill="auto"/>
          </w:tcPr>
          <w:p w14:paraId="226D33B8" w14:textId="77777777" w:rsidR="00261730" w:rsidRDefault="00261730" w:rsidP="00261730">
            <w:pPr>
              <w:pStyle w:val="Texto"/>
              <w:spacing w:after="0" w:line="276" w:lineRule="auto"/>
              <w:ind w:firstLine="0"/>
              <w:jc w:val="left"/>
              <w:rPr>
                <w:rFonts w:eastAsiaTheme="minorHAnsi"/>
                <w:szCs w:val="18"/>
                <w:lang w:val="es-MX" w:eastAsia="en-US"/>
              </w:rPr>
            </w:pPr>
            <w:r>
              <w:rPr>
                <w:rFonts w:eastAsiaTheme="minorHAnsi"/>
                <w:szCs w:val="18"/>
                <w:lang w:val="es-MX" w:eastAsia="en-US"/>
              </w:rPr>
              <w:t>Transferencias, Asignaciones, Subsidios y Otras Ayudas</w:t>
            </w:r>
          </w:p>
        </w:tc>
        <w:tc>
          <w:tcPr>
            <w:tcW w:w="2209" w:type="dxa"/>
            <w:shd w:val="clear" w:color="auto" w:fill="auto"/>
          </w:tcPr>
          <w:p w14:paraId="5265EED0" w14:textId="4C6EC270" w:rsidR="00261730" w:rsidRPr="00261730" w:rsidRDefault="001003A1" w:rsidP="00A51AF2">
            <w:pPr>
              <w:pStyle w:val="Texto"/>
              <w:spacing w:after="0" w:line="276" w:lineRule="auto"/>
              <w:ind w:firstLine="0"/>
              <w:jc w:val="right"/>
              <w:rPr>
                <w:szCs w:val="18"/>
                <w:lang w:val="es-MX"/>
              </w:rPr>
            </w:pPr>
            <w:r>
              <w:rPr>
                <w:szCs w:val="18"/>
                <w:lang w:val="es-MX"/>
              </w:rPr>
              <w:t>4,061,805.00</w:t>
            </w:r>
          </w:p>
        </w:tc>
      </w:tr>
      <w:tr w:rsidR="00EA1523" w:rsidRPr="007E42D2" w14:paraId="7124FA95" w14:textId="77777777" w:rsidTr="00FC4DCD">
        <w:trPr>
          <w:trHeight w:val="60"/>
          <w:jc w:val="center"/>
        </w:trPr>
        <w:tc>
          <w:tcPr>
            <w:tcW w:w="5365" w:type="dxa"/>
            <w:shd w:val="clear" w:color="auto" w:fill="auto"/>
          </w:tcPr>
          <w:p w14:paraId="07793163" w14:textId="77777777" w:rsidR="00EA1523" w:rsidRPr="001F1885" w:rsidRDefault="00EA1523" w:rsidP="00EA1523">
            <w:pPr>
              <w:pStyle w:val="Texto"/>
              <w:spacing w:after="0" w:line="276" w:lineRule="auto"/>
              <w:ind w:firstLine="0"/>
              <w:jc w:val="right"/>
              <w:rPr>
                <w:rFonts w:eastAsiaTheme="minorHAnsi"/>
                <w:b/>
                <w:szCs w:val="18"/>
                <w:lang w:val="es-MX" w:eastAsia="en-US"/>
              </w:rPr>
            </w:pPr>
            <w:r w:rsidRPr="001F1885">
              <w:rPr>
                <w:rFonts w:eastAsiaTheme="minorHAnsi"/>
                <w:b/>
                <w:szCs w:val="18"/>
                <w:lang w:val="es-MX" w:eastAsia="en-US"/>
              </w:rPr>
              <w:t>Suma:</w:t>
            </w:r>
          </w:p>
        </w:tc>
        <w:tc>
          <w:tcPr>
            <w:tcW w:w="2209" w:type="dxa"/>
            <w:shd w:val="clear" w:color="auto" w:fill="auto"/>
          </w:tcPr>
          <w:p w14:paraId="4F6858D6" w14:textId="79B0FAE6" w:rsidR="00EA1523" w:rsidRPr="001F1885" w:rsidRDefault="00E47902" w:rsidP="00826EEA">
            <w:pPr>
              <w:pStyle w:val="Texto"/>
              <w:spacing w:after="0" w:line="276" w:lineRule="auto"/>
              <w:ind w:firstLine="0"/>
              <w:jc w:val="right"/>
              <w:rPr>
                <w:b/>
                <w:szCs w:val="18"/>
                <w:lang w:val="es-MX"/>
              </w:rPr>
            </w:pPr>
            <w:r w:rsidRPr="001F1885">
              <w:rPr>
                <w:b/>
                <w:szCs w:val="18"/>
                <w:lang w:val="es-MX"/>
              </w:rPr>
              <w:fldChar w:fldCharType="begin"/>
            </w:r>
            <w:r w:rsidR="00826EEA" w:rsidRPr="001F1885">
              <w:rPr>
                <w:b/>
                <w:szCs w:val="18"/>
                <w:lang w:val="es-MX"/>
              </w:rPr>
              <w:instrText xml:space="preserve"> =SUM(ABOVE) \# "$#,##0.00;($#,##0.00)" </w:instrText>
            </w:r>
            <w:r w:rsidRPr="001F1885">
              <w:rPr>
                <w:b/>
                <w:szCs w:val="18"/>
                <w:lang w:val="es-MX"/>
              </w:rPr>
              <w:fldChar w:fldCharType="separate"/>
            </w:r>
            <w:r w:rsidR="001003A1" w:rsidRPr="001F1885">
              <w:rPr>
                <w:b/>
                <w:noProof/>
                <w:szCs w:val="18"/>
                <w:lang w:val="es-MX"/>
              </w:rPr>
              <w:t>$</w:t>
            </w:r>
            <w:r w:rsidR="001003A1">
              <w:rPr>
                <w:b/>
                <w:noProof/>
                <w:szCs w:val="18"/>
                <w:lang w:val="es-MX"/>
              </w:rPr>
              <w:t xml:space="preserve">   13,698,270.43</w:t>
            </w:r>
            <w:r w:rsidRPr="001F1885">
              <w:rPr>
                <w:b/>
                <w:szCs w:val="18"/>
                <w:lang w:val="es-MX"/>
              </w:rPr>
              <w:fldChar w:fldCharType="end"/>
            </w:r>
            <w:r w:rsidR="00EA1523" w:rsidRPr="001F1885">
              <w:rPr>
                <w:b/>
                <w:szCs w:val="18"/>
                <w:lang w:val="es-MX"/>
              </w:rPr>
              <w:t xml:space="preserve"> </w:t>
            </w:r>
          </w:p>
        </w:tc>
      </w:tr>
    </w:tbl>
    <w:p w14:paraId="32AE1519" w14:textId="77777777" w:rsidR="00EA1730" w:rsidRDefault="00EA1730" w:rsidP="008923E7">
      <w:pPr>
        <w:autoSpaceDE w:val="0"/>
        <w:autoSpaceDN w:val="0"/>
        <w:adjustRightInd w:val="0"/>
        <w:spacing w:before="80"/>
        <w:ind w:left="709"/>
        <w:jc w:val="center"/>
        <w:rPr>
          <w:rFonts w:ascii="Arial" w:eastAsia="Times New Roman" w:hAnsi="Arial" w:cs="Arial"/>
          <w:sz w:val="18"/>
          <w:szCs w:val="18"/>
          <w:lang w:val="es-ES" w:eastAsia="es-ES"/>
        </w:rPr>
      </w:pPr>
    </w:p>
    <w:p w14:paraId="5B6C3A5F" w14:textId="77777777" w:rsidR="00FA11DA" w:rsidRPr="007E42D2" w:rsidRDefault="00EA1730" w:rsidP="00FF4A94">
      <w:pPr>
        <w:rPr>
          <w:rFonts w:ascii="Arial" w:eastAsia="Times New Roman" w:hAnsi="Arial" w:cs="Arial"/>
          <w:sz w:val="18"/>
          <w:szCs w:val="18"/>
          <w:lang w:val="es-ES" w:eastAsia="es-ES"/>
        </w:rPr>
      </w:pPr>
      <w:r>
        <w:rPr>
          <w:rFonts w:ascii="Arial" w:eastAsia="Times New Roman" w:hAnsi="Arial" w:cs="Arial"/>
          <w:sz w:val="18"/>
          <w:szCs w:val="18"/>
          <w:lang w:val="es-ES" w:eastAsia="es-ES"/>
        </w:rPr>
        <w:br w:type="page"/>
      </w:r>
    </w:p>
    <w:p w14:paraId="620823A1" w14:textId="77777777" w:rsidR="00721501" w:rsidRPr="007E42D2" w:rsidRDefault="00721501" w:rsidP="00721501">
      <w:pPr>
        <w:pStyle w:val="INCISO"/>
        <w:spacing w:after="0" w:line="276" w:lineRule="auto"/>
        <w:ind w:left="360"/>
        <w:rPr>
          <w:b/>
        </w:rPr>
      </w:pPr>
      <w:r w:rsidRPr="007E42D2">
        <w:rPr>
          <w:b/>
          <w:smallCaps/>
        </w:rPr>
        <w:lastRenderedPageBreak/>
        <w:t>III)</w:t>
      </w:r>
      <w:r w:rsidRPr="007E42D2">
        <w:rPr>
          <w:b/>
          <w:smallCaps/>
        </w:rPr>
        <w:tab/>
      </w:r>
      <w:r w:rsidRPr="007E42D2">
        <w:rPr>
          <w:b/>
          <w:smallCaps/>
        </w:rPr>
        <w:tab/>
      </w:r>
      <w:r w:rsidRPr="007E42D2">
        <w:rPr>
          <w:b/>
        </w:rPr>
        <w:t>Notas al Estado de Variación en la Hacienda Pública</w:t>
      </w:r>
    </w:p>
    <w:p w14:paraId="6D4BBE83" w14:textId="77777777" w:rsidR="00721501" w:rsidRPr="007E42D2" w:rsidRDefault="00721501" w:rsidP="00721501">
      <w:pPr>
        <w:pStyle w:val="Texto"/>
        <w:numPr>
          <w:ilvl w:val="0"/>
          <w:numId w:val="5"/>
        </w:numPr>
        <w:spacing w:after="80" w:line="276" w:lineRule="auto"/>
        <w:rPr>
          <w:b/>
          <w:szCs w:val="18"/>
        </w:rPr>
      </w:pPr>
      <w:r w:rsidRPr="007E42D2">
        <w:rPr>
          <w:b/>
          <w:szCs w:val="18"/>
        </w:rPr>
        <w:t>Modificaciones al patrimonio contribuido</w:t>
      </w:r>
    </w:p>
    <w:p w14:paraId="0DD89E6E" w14:textId="21BCE320" w:rsidR="00721501" w:rsidRPr="007E42D2" w:rsidRDefault="00721501" w:rsidP="00721501">
      <w:pPr>
        <w:pStyle w:val="Texto"/>
        <w:spacing w:after="80" w:line="276" w:lineRule="auto"/>
        <w:ind w:left="709" w:firstLine="0"/>
        <w:rPr>
          <w:szCs w:val="18"/>
        </w:rPr>
      </w:pPr>
      <w:r w:rsidRPr="007E42D2">
        <w:rPr>
          <w:szCs w:val="18"/>
        </w:rPr>
        <w:t xml:space="preserve">En </w:t>
      </w:r>
      <w:r w:rsidR="001003A1">
        <w:rPr>
          <w:szCs w:val="18"/>
        </w:rPr>
        <w:t>este periodo de informe no se modificó el patrimonio contibuido</w:t>
      </w:r>
      <w:r w:rsidRPr="007E42D2">
        <w:rPr>
          <w:szCs w:val="18"/>
        </w:rPr>
        <w:t>.</w:t>
      </w:r>
    </w:p>
    <w:p w14:paraId="4A4298BC" w14:textId="77777777" w:rsidR="00721501" w:rsidRPr="007E42D2" w:rsidRDefault="00721501" w:rsidP="00721501">
      <w:pPr>
        <w:pStyle w:val="Texto"/>
        <w:numPr>
          <w:ilvl w:val="0"/>
          <w:numId w:val="5"/>
        </w:numPr>
        <w:spacing w:after="80" w:line="276" w:lineRule="auto"/>
        <w:rPr>
          <w:b/>
          <w:szCs w:val="18"/>
        </w:rPr>
      </w:pPr>
      <w:r w:rsidRPr="007E42D2">
        <w:rPr>
          <w:b/>
          <w:szCs w:val="18"/>
        </w:rPr>
        <w:t>Modificaciones al patrimonio generado</w:t>
      </w:r>
    </w:p>
    <w:p w14:paraId="77EA35AA" w14:textId="2B346ED7" w:rsidR="00A51AF2" w:rsidRDefault="00330DBA" w:rsidP="008D4009">
      <w:pPr>
        <w:pStyle w:val="Texto"/>
        <w:spacing w:after="80" w:line="276" w:lineRule="auto"/>
        <w:ind w:left="709" w:firstLine="0"/>
        <w:rPr>
          <w:szCs w:val="18"/>
        </w:rPr>
      </w:pPr>
      <w:r>
        <w:rPr>
          <w:szCs w:val="18"/>
        </w:rPr>
        <w:t>En el patrimonio generado</w:t>
      </w:r>
      <w:r w:rsidR="008F0670">
        <w:rPr>
          <w:szCs w:val="18"/>
        </w:rPr>
        <w:t xml:space="preserve"> </w:t>
      </w:r>
      <w:r w:rsidR="0003653A">
        <w:rPr>
          <w:szCs w:val="18"/>
        </w:rPr>
        <w:t>se efectu</w:t>
      </w:r>
      <w:r w:rsidR="001003A1">
        <w:rPr>
          <w:szCs w:val="18"/>
        </w:rPr>
        <w:t>ó una</w:t>
      </w:r>
      <w:r w:rsidR="0003653A">
        <w:rPr>
          <w:szCs w:val="18"/>
        </w:rPr>
        <w:t xml:space="preserve"> compra</w:t>
      </w:r>
      <w:r w:rsidR="001003A1">
        <w:rPr>
          <w:szCs w:val="18"/>
        </w:rPr>
        <w:t xml:space="preserve"> (timbres para timbrado de nómina)</w:t>
      </w:r>
      <w:r w:rsidR="0003653A">
        <w:rPr>
          <w:szCs w:val="18"/>
        </w:rPr>
        <w:t xml:space="preserve"> autorizada por el Órgano de Gobierno del ITEA por un importe de $</w:t>
      </w:r>
      <w:r w:rsidR="00E63BA3">
        <w:rPr>
          <w:szCs w:val="18"/>
        </w:rPr>
        <w:t> </w:t>
      </w:r>
      <w:r w:rsidR="0003653A">
        <w:rPr>
          <w:szCs w:val="18"/>
        </w:rPr>
        <w:t>1,</w:t>
      </w:r>
      <w:r w:rsidR="001003A1">
        <w:rPr>
          <w:szCs w:val="18"/>
        </w:rPr>
        <w:t>508.52</w:t>
      </w:r>
      <w:r w:rsidR="008242EE">
        <w:rPr>
          <w:szCs w:val="18"/>
        </w:rPr>
        <w:t>.</w:t>
      </w:r>
    </w:p>
    <w:p w14:paraId="158CFC7C" w14:textId="77777777" w:rsidR="008D4009" w:rsidRDefault="008D4009" w:rsidP="008D4009">
      <w:pPr>
        <w:pStyle w:val="Texto"/>
        <w:spacing w:after="80" w:line="276" w:lineRule="auto"/>
        <w:ind w:left="709" w:firstLine="0"/>
        <w:rPr>
          <w:szCs w:val="18"/>
        </w:rPr>
      </w:pPr>
    </w:p>
    <w:p w14:paraId="6F19C4FF" w14:textId="77777777" w:rsidR="00721501" w:rsidRPr="007E42D2" w:rsidRDefault="00721501" w:rsidP="00721501">
      <w:pPr>
        <w:pStyle w:val="INCISO"/>
        <w:spacing w:after="0" w:line="276" w:lineRule="auto"/>
        <w:ind w:left="360"/>
        <w:rPr>
          <w:b/>
        </w:rPr>
      </w:pPr>
      <w:r w:rsidRPr="007E42D2">
        <w:rPr>
          <w:b/>
          <w:smallCaps/>
        </w:rPr>
        <w:t>IV)</w:t>
      </w:r>
      <w:r w:rsidRPr="007E42D2">
        <w:rPr>
          <w:b/>
          <w:smallCaps/>
        </w:rPr>
        <w:tab/>
      </w:r>
      <w:r w:rsidRPr="007E42D2">
        <w:rPr>
          <w:b/>
          <w:smallCaps/>
        </w:rPr>
        <w:tab/>
      </w:r>
      <w:r w:rsidRPr="007E42D2">
        <w:rPr>
          <w:b/>
        </w:rPr>
        <w:t>Notas al Estado de Flujos de Efectivo</w:t>
      </w:r>
    </w:p>
    <w:p w14:paraId="4AA76FC9" w14:textId="77777777" w:rsidR="00721501" w:rsidRPr="00F7672A" w:rsidRDefault="00721501" w:rsidP="00F7672A">
      <w:pPr>
        <w:pStyle w:val="Texto"/>
        <w:numPr>
          <w:ilvl w:val="0"/>
          <w:numId w:val="5"/>
        </w:numPr>
        <w:spacing w:after="80" w:line="276" w:lineRule="auto"/>
        <w:rPr>
          <w:b/>
          <w:szCs w:val="18"/>
        </w:rPr>
      </w:pPr>
      <w:r w:rsidRPr="007E42D2">
        <w:rPr>
          <w:b/>
          <w:lang w:val="es-MX"/>
        </w:rPr>
        <w:t>Análisis de los saldos inicial y final</w:t>
      </w:r>
    </w:p>
    <w:p w14:paraId="14784352" w14:textId="77777777" w:rsidR="00721501" w:rsidRDefault="00721501" w:rsidP="00721501">
      <w:pPr>
        <w:pStyle w:val="ROMANOS"/>
        <w:spacing w:after="0" w:line="276" w:lineRule="auto"/>
        <w:ind w:left="648" w:firstLine="0"/>
        <w:rPr>
          <w:lang w:val="es-MX"/>
        </w:rPr>
      </w:pPr>
      <w:r w:rsidRPr="007E42D2">
        <w:rPr>
          <w:lang w:val="es-MX"/>
        </w:rPr>
        <w:t>En relación al efectivo se muestra un cuadro expresado en pesos, en el cual se observa la integración del efectivo y equivalentes del ITEA al inicio y al final del periodo.</w:t>
      </w:r>
    </w:p>
    <w:p w14:paraId="64BB5756" w14:textId="77777777" w:rsidR="001403EB" w:rsidRPr="00FA11DA" w:rsidRDefault="001403EB" w:rsidP="001403EB">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shd w:val="clear" w:color="auto" w:fill="00B050"/>
        <w:tblLook w:val="04A0" w:firstRow="1" w:lastRow="0" w:firstColumn="1" w:lastColumn="0" w:noHBand="0" w:noVBand="1"/>
      </w:tblPr>
      <w:tblGrid>
        <w:gridCol w:w="5365"/>
        <w:gridCol w:w="2209"/>
        <w:gridCol w:w="2209"/>
      </w:tblGrid>
      <w:tr w:rsidR="001403EB" w:rsidRPr="007E42D2" w14:paraId="566E0B58" w14:textId="77777777" w:rsidTr="00AD44D4">
        <w:trPr>
          <w:trHeight w:val="60"/>
          <w:jc w:val="center"/>
        </w:trPr>
        <w:tc>
          <w:tcPr>
            <w:tcW w:w="5365" w:type="dxa"/>
            <w:shd w:val="clear" w:color="auto" w:fill="632423" w:themeFill="accent2" w:themeFillShade="80"/>
          </w:tcPr>
          <w:p w14:paraId="02126114" w14:textId="77777777" w:rsidR="001403EB" w:rsidRPr="007E42D2" w:rsidRDefault="001403EB" w:rsidP="00A37922">
            <w:pPr>
              <w:pStyle w:val="Texto"/>
              <w:spacing w:after="0" w:line="276" w:lineRule="auto"/>
              <w:ind w:firstLine="0"/>
              <w:jc w:val="center"/>
              <w:rPr>
                <w:b/>
                <w:color w:val="FFFFFF" w:themeColor="background1"/>
                <w:szCs w:val="18"/>
                <w:lang w:val="es-MX"/>
              </w:rPr>
            </w:pPr>
          </w:p>
        </w:tc>
        <w:tc>
          <w:tcPr>
            <w:tcW w:w="2209" w:type="dxa"/>
            <w:shd w:val="clear" w:color="auto" w:fill="632423" w:themeFill="accent2" w:themeFillShade="80"/>
          </w:tcPr>
          <w:p w14:paraId="1622DFC9" w14:textId="7F71B24E" w:rsidR="001403EB" w:rsidRDefault="006D2FDA" w:rsidP="00472EE3">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w:t>
            </w:r>
            <w:r w:rsidR="005C0433">
              <w:rPr>
                <w:b/>
                <w:color w:val="FFFFFF" w:themeColor="background1"/>
                <w:szCs w:val="18"/>
                <w:lang w:val="es-MX"/>
              </w:rPr>
              <w:t>3</w:t>
            </w:r>
            <w:r w:rsidR="00F64F7A">
              <w:rPr>
                <w:b/>
                <w:color w:val="FFFFFF" w:themeColor="background1"/>
                <w:szCs w:val="18"/>
                <w:lang w:val="es-MX"/>
              </w:rPr>
              <w:t>1</w:t>
            </w:r>
            <w:r w:rsidR="005C0433">
              <w:rPr>
                <w:b/>
                <w:color w:val="FFFFFF" w:themeColor="background1"/>
                <w:szCs w:val="18"/>
                <w:lang w:val="es-MX"/>
              </w:rPr>
              <w:t xml:space="preserve"> de </w:t>
            </w:r>
            <w:r w:rsidR="007D4895">
              <w:rPr>
                <w:b/>
                <w:color w:val="FFFFFF" w:themeColor="background1"/>
                <w:szCs w:val="18"/>
                <w:lang w:val="es-MX"/>
              </w:rPr>
              <w:t>Mar. 2020</w:t>
            </w:r>
          </w:p>
        </w:tc>
        <w:tc>
          <w:tcPr>
            <w:tcW w:w="2209" w:type="dxa"/>
            <w:shd w:val="clear" w:color="auto" w:fill="632423" w:themeFill="accent2" w:themeFillShade="80"/>
          </w:tcPr>
          <w:p w14:paraId="52EFD93E" w14:textId="1FE62A9D" w:rsidR="001403EB" w:rsidRPr="007E42D2" w:rsidRDefault="00F81AF8" w:rsidP="009220FE">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31 de </w:t>
            </w:r>
            <w:proofErr w:type="gramStart"/>
            <w:r>
              <w:rPr>
                <w:b/>
                <w:color w:val="FFFFFF" w:themeColor="background1"/>
                <w:szCs w:val="18"/>
                <w:lang w:val="es-MX"/>
              </w:rPr>
              <w:t>Dic.</w:t>
            </w:r>
            <w:proofErr w:type="gramEnd"/>
            <w:r>
              <w:rPr>
                <w:b/>
                <w:color w:val="FFFFFF" w:themeColor="background1"/>
                <w:szCs w:val="18"/>
                <w:lang w:val="es-MX"/>
              </w:rPr>
              <w:t xml:space="preserve"> </w:t>
            </w:r>
            <w:r w:rsidR="0096678C">
              <w:rPr>
                <w:b/>
                <w:color w:val="FFFFFF" w:themeColor="background1"/>
                <w:szCs w:val="18"/>
                <w:lang w:val="es-MX"/>
              </w:rPr>
              <w:t>201</w:t>
            </w:r>
            <w:r w:rsidR="008D4009">
              <w:rPr>
                <w:b/>
                <w:color w:val="FFFFFF" w:themeColor="background1"/>
                <w:szCs w:val="18"/>
                <w:lang w:val="es-MX"/>
              </w:rPr>
              <w:t>9</w:t>
            </w:r>
          </w:p>
        </w:tc>
      </w:tr>
      <w:tr w:rsidR="00985CFA" w:rsidRPr="007E42D2" w14:paraId="385B372F" w14:textId="77777777" w:rsidTr="00124B2A">
        <w:trPr>
          <w:trHeight w:val="60"/>
          <w:jc w:val="center"/>
        </w:trPr>
        <w:tc>
          <w:tcPr>
            <w:tcW w:w="5365" w:type="dxa"/>
            <w:shd w:val="clear" w:color="auto" w:fill="auto"/>
          </w:tcPr>
          <w:p w14:paraId="56B6176B" w14:textId="77777777" w:rsidR="00985CFA" w:rsidRPr="007E42D2" w:rsidRDefault="00985CFA"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Efectivo en Bancos-Tesorería</w:t>
            </w:r>
          </w:p>
        </w:tc>
        <w:tc>
          <w:tcPr>
            <w:tcW w:w="2209" w:type="dxa"/>
          </w:tcPr>
          <w:p w14:paraId="22AD45A8" w14:textId="706AC883" w:rsidR="00985CFA" w:rsidRDefault="00E00729" w:rsidP="00330DBA">
            <w:pPr>
              <w:jc w:val="right"/>
              <w:rPr>
                <w:rFonts w:ascii="Arial" w:hAnsi="Arial" w:cs="Arial"/>
                <w:sz w:val="18"/>
                <w:szCs w:val="18"/>
              </w:rPr>
            </w:pPr>
            <w:r>
              <w:rPr>
                <w:rFonts w:ascii="Arial" w:hAnsi="Arial" w:cs="Arial"/>
                <w:sz w:val="18"/>
                <w:szCs w:val="18"/>
              </w:rPr>
              <w:t>4,830,766.41</w:t>
            </w:r>
          </w:p>
        </w:tc>
        <w:tc>
          <w:tcPr>
            <w:tcW w:w="2209" w:type="dxa"/>
            <w:shd w:val="clear" w:color="auto" w:fill="auto"/>
          </w:tcPr>
          <w:p w14:paraId="6C55F314" w14:textId="28F40C75" w:rsidR="00985CFA" w:rsidRDefault="008D4009" w:rsidP="00DC0A26">
            <w:pPr>
              <w:jc w:val="right"/>
              <w:rPr>
                <w:rFonts w:ascii="Arial" w:hAnsi="Arial" w:cs="Arial"/>
                <w:sz w:val="18"/>
                <w:szCs w:val="18"/>
              </w:rPr>
            </w:pPr>
            <w:r>
              <w:rPr>
                <w:rFonts w:ascii="Arial" w:hAnsi="Arial" w:cs="Arial"/>
                <w:sz w:val="18"/>
                <w:szCs w:val="18"/>
              </w:rPr>
              <w:t>964,428.80</w:t>
            </w:r>
          </w:p>
        </w:tc>
      </w:tr>
      <w:tr w:rsidR="00985CFA" w:rsidRPr="007E42D2" w14:paraId="6253CF98" w14:textId="77777777" w:rsidTr="00124B2A">
        <w:trPr>
          <w:trHeight w:val="60"/>
          <w:jc w:val="center"/>
        </w:trPr>
        <w:tc>
          <w:tcPr>
            <w:tcW w:w="5365" w:type="dxa"/>
            <w:shd w:val="clear" w:color="auto" w:fill="auto"/>
          </w:tcPr>
          <w:p w14:paraId="1E60D5BA" w14:textId="77777777" w:rsidR="00985CFA" w:rsidRDefault="00985CFA"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Efectivo en Bancos – Dependencias</w:t>
            </w:r>
          </w:p>
        </w:tc>
        <w:tc>
          <w:tcPr>
            <w:tcW w:w="2209" w:type="dxa"/>
          </w:tcPr>
          <w:p w14:paraId="03F3F746" w14:textId="77777777" w:rsidR="00985CFA" w:rsidRDefault="00985CFA" w:rsidP="00A37922">
            <w:pPr>
              <w:jc w:val="right"/>
              <w:rPr>
                <w:rFonts w:ascii="Arial" w:hAnsi="Arial" w:cs="Arial"/>
                <w:sz w:val="18"/>
                <w:szCs w:val="18"/>
              </w:rPr>
            </w:pPr>
            <w:r>
              <w:rPr>
                <w:rFonts w:ascii="Arial" w:hAnsi="Arial" w:cs="Arial"/>
                <w:sz w:val="18"/>
                <w:szCs w:val="18"/>
              </w:rPr>
              <w:t>0</w:t>
            </w:r>
          </w:p>
        </w:tc>
        <w:tc>
          <w:tcPr>
            <w:tcW w:w="2209" w:type="dxa"/>
            <w:shd w:val="clear" w:color="auto" w:fill="auto"/>
          </w:tcPr>
          <w:p w14:paraId="4161DC78" w14:textId="77777777" w:rsidR="00985CFA" w:rsidRDefault="00985CFA" w:rsidP="00124B2A">
            <w:pPr>
              <w:jc w:val="right"/>
              <w:rPr>
                <w:rFonts w:ascii="Arial" w:hAnsi="Arial" w:cs="Arial"/>
                <w:sz w:val="18"/>
                <w:szCs w:val="18"/>
              </w:rPr>
            </w:pPr>
            <w:r>
              <w:rPr>
                <w:rFonts w:ascii="Arial" w:hAnsi="Arial" w:cs="Arial"/>
                <w:sz w:val="18"/>
                <w:szCs w:val="18"/>
              </w:rPr>
              <w:t>0</w:t>
            </w:r>
          </w:p>
        </w:tc>
      </w:tr>
      <w:tr w:rsidR="00985CFA" w:rsidRPr="007E42D2" w14:paraId="4BA7E40F" w14:textId="77777777" w:rsidTr="00124B2A">
        <w:trPr>
          <w:trHeight w:val="60"/>
          <w:jc w:val="center"/>
        </w:trPr>
        <w:tc>
          <w:tcPr>
            <w:tcW w:w="5365" w:type="dxa"/>
            <w:shd w:val="clear" w:color="auto" w:fill="auto"/>
          </w:tcPr>
          <w:p w14:paraId="444FD88E" w14:textId="77777777" w:rsidR="00985CFA" w:rsidRDefault="00985CFA"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Inversiones Temporales (hasta 3 meses)</w:t>
            </w:r>
          </w:p>
        </w:tc>
        <w:tc>
          <w:tcPr>
            <w:tcW w:w="2209" w:type="dxa"/>
          </w:tcPr>
          <w:p w14:paraId="46338D5D" w14:textId="77777777" w:rsidR="00985CFA" w:rsidRDefault="00985CFA" w:rsidP="00A37922">
            <w:pPr>
              <w:jc w:val="right"/>
              <w:rPr>
                <w:rFonts w:ascii="Arial" w:hAnsi="Arial" w:cs="Arial"/>
                <w:sz w:val="18"/>
                <w:szCs w:val="18"/>
              </w:rPr>
            </w:pPr>
            <w:r>
              <w:rPr>
                <w:rFonts w:ascii="Arial" w:hAnsi="Arial" w:cs="Arial"/>
                <w:sz w:val="18"/>
                <w:szCs w:val="18"/>
              </w:rPr>
              <w:t>0</w:t>
            </w:r>
          </w:p>
        </w:tc>
        <w:tc>
          <w:tcPr>
            <w:tcW w:w="2209" w:type="dxa"/>
            <w:shd w:val="clear" w:color="auto" w:fill="auto"/>
          </w:tcPr>
          <w:p w14:paraId="42C2F117" w14:textId="77777777" w:rsidR="00985CFA" w:rsidRDefault="00985CFA" w:rsidP="00124B2A">
            <w:pPr>
              <w:jc w:val="right"/>
              <w:rPr>
                <w:rFonts w:ascii="Arial" w:hAnsi="Arial" w:cs="Arial"/>
                <w:sz w:val="18"/>
                <w:szCs w:val="18"/>
              </w:rPr>
            </w:pPr>
            <w:r>
              <w:rPr>
                <w:rFonts w:ascii="Arial" w:hAnsi="Arial" w:cs="Arial"/>
                <w:sz w:val="18"/>
                <w:szCs w:val="18"/>
              </w:rPr>
              <w:t>0</w:t>
            </w:r>
          </w:p>
        </w:tc>
      </w:tr>
      <w:tr w:rsidR="00985CFA" w:rsidRPr="007E42D2" w14:paraId="1D19D207" w14:textId="77777777" w:rsidTr="00124B2A">
        <w:trPr>
          <w:trHeight w:val="60"/>
          <w:jc w:val="center"/>
        </w:trPr>
        <w:tc>
          <w:tcPr>
            <w:tcW w:w="5365" w:type="dxa"/>
            <w:shd w:val="clear" w:color="auto" w:fill="auto"/>
          </w:tcPr>
          <w:p w14:paraId="02E4F216" w14:textId="77777777" w:rsidR="00985CFA" w:rsidRDefault="00985CFA"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Fondos con Afectación Específica</w:t>
            </w:r>
          </w:p>
        </w:tc>
        <w:tc>
          <w:tcPr>
            <w:tcW w:w="2209" w:type="dxa"/>
          </w:tcPr>
          <w:p w14:paraId="2427F948" w14:textId="77777777" w:rsidR="00985CFA" w:rsidRDefault="00985CFA" w:rsidP="00A37922">
            <w:pPr>
              <w:jc w:val="right"/>
              <w:rPr>
                <w:rFonts w:ascii="Arial" w:hAnsi="Arial" w:cs="Arial"/>
                <w:sz w:val="18"/>
                <w:szCs w:val="18"/>
              </w:rPr>
            </w:pPr>
            <w:r>
              <w:rPr>
                <w:rFonts w:ascii="Arial" w:hAnsi="Arial" w:cs="Arial"/>
                <w:sz w:val="18"/>
                <w:szCs w:val="18"/>
              </w:rPr>
              <w:t>0</w:t>
            </w:r>
          </w:p>
        </w:tc>
        <w:tc>
          <w:tcPr>
            <w:tcW w:w="2209" w:type="dxa"/>
            <w:shd w:val="clear" w:color="auto" w:fill="auto"/>
          </w:tcPr>
          <w:p w14:paraId="2C92F6FB" w14:textId="77777777" w:rsidR="00985CFA" w:rsidRDefault="00985CFA" w:rsidP="00124B2A">
            <w:pPr>
              <w:jc w:val="right"/>
              <w:rPr>
                <w:rFonts w:ascii="Arial" w:hAnsi="Arial" w:cs="Arial"/>
                <w:sz w:val="18"/>
                <w:szCs w:val="18"/>
              </w:rPr>
            </w:pPr>
            <w:r>
              <w:rPr>
                <w:rFonts w:ascii="Arial" w:hAnsi="Arial" w:cs="Arial"/>
                <w:sz w:val="18"/>
                <w:szCs w:val="18"/>
              </w:rPr>
              <w:t>0</w:t>
            </w:r>
          </w:p>
        </w:tc>
      </w:tr>
      <w:tr w:rsidR="00985CFA" w:rsidRPr="007E42D2" w14:paraId="71BF12D6" w14:textId="77777777" w:rsidTr="00124B2A">
        <w:trPr>
          <w:trHeight w:val="60"/>
          <w:jc w:val="center"/>
        </w:trPr>
        <w:tc>
          <w:tcPr>
            <w:tcW w:w="5365" w:type="dxa"/>
            <w:shd w:val="clear" w:color="auto" w:fill="auto"/>
          </w:tcPr>
          <w:p w14:paraId="029B1E07" w14:textId="77777777" w:rsidR="00985CFA" w:rsidRDefault="00985CFA" w:rsidP="001403EB">
            <w:pPr>
              <w:pStyle w:val="Texto"/>
              <w:spacing w:after="0" w:line="276" w:lineRule="auto"/>
              <w:ind w:firstLine="0"/>
              <w:jc w:val="left"/>
              <w:rPr>
                <w:rFonts w:eastAsiaTheme="minorHAnsi"/>
                <w:szCs w:val="18"/>
                <w:lang w:val="es-MX" w:eastAsia="en-US"/>
              </w:rPr>
            </w:pPr>
            <w:r>
              <w:rPr>
                <w:rFonts w:eastAsiaTheme="minorHAnsi"/>
                <w:szCs w:val="18"/>
                <w:lang w:val="es-MX" w:eastAsia="en-US"/>
              </w:rPr>
              <w:t>Depósitos de Fondos de Terceros y Otros</w:t>
            </w:r>
          </w:p>
        </w:tc>
        <w:tc>
          <w:tcPr>
            <w:tcW w:w="2209" w:type="dxa"/>
          </w:tcPr>
          <w:p w14:paraId="13DBB0F6" w14:textId="77777777" w:rsidR="00985CFA" w:rsidRDefault="00985CFA" w:rsidP="00A37922">
            <w:pPr>
              <w:jc w:val="right"/>
              <w:rPr>
                <w:rFonts w:ascii="Arial" w:hAnsi="Arial" w:cs="Arial"/>
                <w:sz w:val="18"/>
                <w:szCs w:val="18"/>
              </w:rPr>
            </w:pPr>
            <w:r>
              <w:rPr>
                <w:rFonts w:ascii="Arial" w:hAnsi="Arial" w:cs="Arial"/>
                <w:sz w:val="18"/>
                <w:szCs w:val="18"/>
              </w:rPr>
              <w:t>0</w:t>
            </w:r>
          </w:p>
        </w:tc>
        <w:tc>
          <w:tcPr>
            <w:tcW w:w="2209" w:type="dxa"/>
            <w:shd w:val="clear" w:color="auto" w:fill="auto"/>
          </w:tcPr>
          <w:p w14:paraId="6E208C9B" w14:textId="77777777" w:rsidR="00985CFA" w:rsidRDefault="00985CFA" w:rsidP="00124B2A">
            <w:pPr>
              <w:jc w:val="right"/>
              <w:rPr>
                <w:rFonts w:ascii="Arial" w:hAnsi="Arial" w:cs="Arial"/>
                <w:sz w:val="18"/>
                <w:szCs w:val="18"/>
              </w:rPr>
            </w:pPr>
            <w:r>
              <w:rPr>
                <w:rFonts w:ascii="Arial" w:hAnsi="Arial" w:cs="Arial"/>
                <w:sz w:val="18"/>
                <w:szCs w:val="18"/>
              </w:rPr>
              <w:t>0</w:t>
            </w:r>
          </w:p>
        </w:tc>
      </w:tr>
      <w:tr w:rsidR="00985CFA" w:rsidRPr="007E42D2" w14:paraId="695A3603" w14:textId="77777777" w:rsidTr="00124B2A">
        <w:trPr>
          <w:trHeight w:val="60"/>
          <w:jc w:val="center"/>
        </w:trPr>
        <w:tc>
          <w:tcPr>
            <w:tcW w:w="5365" w:type="dxa"/>
            <w:shd w:val="clear" w:color="auto" w:fill="auto"/>
          </w:tcPr>
          <w:p w14:paraId="4A4297C0" w14:textId="77777777" w:rsidR="00985CFA" w:rsidRPr="001F1885" w:rsidRDefault="00985CFA" w:rsidP="001403EB">
            <w:pPr>
              <w:pStyle w:val="Texto"/>
              <w:spacing w:after="0" w:line="276" w:lineRule="auto"/>
              <w:ind w:firstLine="0"/>
              <w:jc w:val="left"/>
              <w:rPr>
                <w:rFonts w:eastAsiaTheme="minorHAnsi"/>
                <w:b/>
                <w:szCs w:val="18"/>
                <w:lang w:val="es-MX" w:eastAsia="en-US"/>
              </w:rPr>
            </w:pPr>
            <w:proofErr w:type="gramStart"/>
            <w:r w:rsidRPr="001F1885">
              <w:rPr>
                <w:rFonts w:eastAsiaTheme="minorHAnsi"/>
                <w:b/>
                <w:szCs w:val="18"/>
                <w:lang w:val="es-MX" w:eastAsia="en-US"/>
              </w:rPr>
              <w:t>Total</w:t>
            </w:r>
            <w:proofErr w:type="gramEnd"/>
            <w:r w:rsidRPr="001F1885">
              <w:rPr>
                <w:rFonts w:eastAsiaTheme="minorHAnsi"/>
                <w:b/>
                <w:szCs w:val="18"/>
                <w:lang w:val="es-MX" w:eastAsia="en-US"/>
              </w:rPr>
              <w:t xml:space="preserve"> de Efectivos y Equivalentes</w:t>
            </w:r>
          </w:p>
        </w:tc>
        <w:tc>
          <w:tcPr>
            <w:tcW w:w="2209" w:type="dxa"/>
          </w:tcPr>
          <w:p w14:paraId="77C46BE6" w14:textId="17D33EB9" w:rsidR="00985CFA" w:rsidRPr="001F1885" w:rsidRDefault="00985CFA" w:rsidP="008242EE">
            <w:pPr>
              <w:jc w:val="right"/>
              <w:rPr>
                <w:rFonts w:ascii="Arial" w:hAnsi="Arial" w:cs="Arial"/>
                <w:b/>
                <w:sz w:val="18"/>
                <w:szCs w:val="18"/>
              </w:rPr>
            </w:pPr>
            <w:r w:rsidRPr="001F1885">
              <w:rPr>
                <w:rFonts w:ascii="Arial" w:hAnsi="Arial" w:cs="Arial"/>
                <w:b/>
                <w:sz w:val="18"/>
                <w:szCs w:val="18"/>
              </w:rPr>
              <w:t xml:space="preserve">$   </w:t>
            </w:r>
            <w:r w:rsidR="00E00729">
              <w:rPr>
                <w:rFonts w:ascii="Arial" w:hAnsi="Arial" w:cs="Arial"/>
                <w:b/>
                <w:sz w:val="18"/>
                <w:szCs w:val="18"/>
              </w:rPr>
              <w:t>4,830,766.41</w:t>
            </w:r>
          </w:p>
        </w:tc>
        <w:tc>
          <w:tcPr>
            <w:tcW w:w="2209" w:type="dxa"/>
            <w:shd w:val="clear" w:color="auto" w:fill="auto"/>
          </w:tcPr>
          <w:p w14:paraId="456C5DE0" w14:textId="309290C7" w:rsidR="00985CFA" w:rsidRPr="001F1885" w:rsidRDefault="00985CFA" w:rsidP="00930D02">
            <w:pPr>
              <w:jc w:val="right"/>
              <w:rPr>
                <w:rFonts w:ascii="Arial" w:hAnsi="Arial" w:cs="Arial"/>
                <w:b/>
                <w:sz w:val="18"/>
                <w:szCs w:val="18"/>
              </w:rPr>
            </w:pPr>
            <w:r w:rsidRPr="001F1885">
              <w:rPr>
                <w:rFonts w:ascii="Arial" w:hAnsi="Arial" w:cs="Arial"/>
                <w:b/>
                <w:sz w:val="18"/>
                <w:szCs w:val="18"/>
              </w:rPr>
              <w:t xml:space="preserve">$   </w:t>
            </w:r>
            <w:r w:rsidR="008D4009">
              <w:rPr>
                <w:rFonts w:ascii="Arial" w:hAnsi="Arial" w:cs="Arial"/>
                <w:b/>
                <w:sz w:val="18"/>
                <w:szCs w:val="18"/>
              </w:rPr>
              <w:t>964,428</w:t>
            </w:r>
          </w:p>
        </w:tc>
      </w:tr>
    </w:tbl>
    <w:p w14:paraId="44D6F08C" w14:textId="77777777" w:rsidR="00721501" w:rsidRDefault="00721501" w:rsidP="00721501">
      <w:pPr>
        <w:rPr>
          <w:rFonts w:ascii="Arial" w:eastAsia="Times New Roman" w:hAnsi="Arial" w:cs="Arial"/>
          <w:sz w:val="18"/>
          <w:szCs w:val="18"/>
          <w:lang w:eastAsia="es-ES"/>
        </w:rPr>
      </w:pPr>
      <w:r>
        <w:br w:type="page"/>
      </w:r>
    </w:p>
    <w:p w14:paraId="04D71470" w14:textId="77777777" w:rsidR="00721501" w:rsidRPr="007E42D2" w:rsidRDefault="00721501" w:rsidP="00721501">
      <w:pPr>
        <w:pStyle w:val="INCISO"/>
        <w:spacing w:after="0" w:line="276" w:lineRule="auto"/>
        <w:ind w:left="360"/>
        <w:rPr>
          <w:b/>
        </w:rPr>
      </w:pPr>
      <w:r w:rsidRPr="007E42D2">
        <w:rPr>
          <w:b/>
          <w:smallCaps/>
        </w:rPr>
        <w:lastRenderedPageBreak/>
        <w:t xml:space="preserve">V) </w:t>
      </w:r>
      <w:r w:rsidRPr="007E42D2">
        <w:rPr>
          <w:b/>
          <w:smallCaps/>
        </w:rPr>
        <w:tab/>
      </w:r>
      <w:r w:rsidRPr="007E42D2">
        <w:rPr>
          <w:b/>
          <w:smallCaps/>
        </w:rPr>
        <w:tab/>
      </w:r>
      <w:r w:rsidRPr="007E42D2">
        <w:rPr>
          <w:b/>
        </w:rPr>
        <w:t>Conciliación entre los ingresos presupuestarios y contables, así como, entre los egresos presupuestarios y los gastos contables</w:t>
      </w:r>
    </w:p>
    <w:p w14:paraId="4A37BD8A" w14:textId="77777777" w:rsidR="00E6698F" w:rsidRDefault="00E6698F" w:rsidP="00E6698F">
      <w:pPr>
        <w:pStyle w:val="Texto"/>
        <w:spacing w:after="0" w:line="276" w:lineRule="auto"/>
        <w:jc w:val="center"/>
        <w:rPr>
          <w:b/>
          <w:smallCaps/>
          <w:szCs w:val="18"/>
          <w:lang w:val="es-MX"/>
        </w:rPr>
      </w:pPr>
    </w:p>
    <w:p w14:paraId="576F4174" w14:textId="13353B5F" w:rsidR="00721501" w:rsidRDefault="00E00729" w:rsidP="00A93FD2">
      <w:pPr>
        <w:jc w:val="center"/>
        <w:rPr>
          <w:rFonts w:ascii="Arial" w:eastAsia="Times New Roman" w:hAnsi="Arial" w:cs="Arial"/>
          <w:b/>
          <w:smallCaps/>
          <w:sz w:val="18"/>
          <w:szCs w:val="18"/>
          <w:lang w:eastAsia="es-ES"/>
        </w:rPr>
      </w:pPr>
      <w:r w:rsidRPr="00E00729">
        <w:rPr>
          <w:noProof/>
        </w:rPr>
        <w:drawing>
          <wp:inline distT="0" distB="0" distL="0" distR="0" wp14:anchorId="6BB8F27C" wp14:editId="4210A275">
            <wp:extent cx="6105525" cy="33623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3362325"/>
                    </a:xfrm>
                    <a:prstGeom prst="rect">
                      <a:avLst/>
                    </a:prstGeom>
                    <a:noFill/>
                    <a:ln>
                      <a:noFill/>
                    </a:ln>
                  </pic:spPr>
                </pic:pic>
              </a:graphicData>
            </a:graphic>
          </wp:inline>
        </w:drawing>
      </w:r>
      <w:r w:rsidR="00721501">
        <w:rPr>
          <w:b/>
          <w:smallCaps/>
          <w:szCs w:val="18"/>
        </w:rPr>
        <w:br w:type="page"/>
      </w:r>
    </w:p>
    <w:p w14:paraId="622EF5AD" w14:textId="79E183A2" w:rsidR="00E6698F" w:rsidRDefault="00E00729" w:rsidP="00E6698F">
      <w:pPr>
        <w:jc w:val="center"/>
        <w:rPr>
          <w:rFonts w:ascii="Arial" w:eastAsia="Times New Roman" w:hAnsi="Arial" w:cs="Arial"/>
          <w:b/>
          <w:smallCaps/>
          <w:sz w:val="18"/>
          <w:szCs w:val="18"/>
          <w:lang w:eastAsia="es-ES"/>
        </w:rPr>
      </w:pPr>
      <w:r w:rsidRPr="00E00729">
        <w:rPr>
          <w:noProof/>
        </w:rPr>
        <w:lastRenderedPageBreak/>
        <w:drawing>
          <wp:inline distT="0" distB="0" distL="0" distR="0" wp14:anchorId="31E41A69" wp14:editId="05F74367">
            <wp:extent cx="7408545" cy="5943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08545" cy="5943600"/>
                    </a:xfrm>
                    <a:prstGeom prst="rect">
                      <a:avLst/>
                    </a:prstGeom>
                    <a:noFill/>
                    <a:ln>
                      <a:noFill/>
                    </a:ln>
                  </pic:spPr>
                </pic:pic>
              </a:graphicData>
            </a:graphic>
          </wp:inline>
        </w:drawing>
      </w:r>
      <w:r w:rsidR="00E6698F">
        <w:rPr>
          <w:b/>
          <w:smallCaps/>
          <w:szCs w:val="18"/>
        </w:rPr>
        <w:br w:type="page"/>
      </w:r>
    </w:p>
    <w:p w14:paraId="3E93D553" w14:textId="77777777" w:rsidR="00721501" w:rsidRPr="007E42D2" w:rsidRDefault="00721501" w:rsidP="00721501">
      <w:pPr>
        <w:pStyle w:val="Texto"/>
        <w:spacing w:after="0" w:line="276" w:lineRule="auto"/>
        <w:jc w:val="left"/>
        <w:rPr>
          <w:b/>
          <w:smallCaps/>
          <w:szCs w:val="18"/>
          <w:lang w:val="es-MX"/>
        </w:rPr>
      </w:pPr>
    </w:p>
    <w:p w14:paraId="486BA512" w14:textId="77777777" w:rsidR="00721501" w:rsidRDefault="00721501" w:rsidP="00721501">
      <w:pPr>
        <w:pStyle w:val="Texto"/>
        <w:spacing w:after="0" w:line="276" w:lineRule="auto"/>
        <w:ind w:firstLine="0"/>
        <w:jc w:val="center"/>
        <w:rPr>
          <w:b/>
          <w:szCs w:val="18"/>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r w:rsidRPr="00F522C0">
        <w:rPr>
          <w:b/>
          <w:szCs w:val="18"/>
          <w:lang w:val="es-MX"/>
        </w:rPr>
        <w:t>.</w:t>
      </w:r>
    </w:p>
    <w:p w14:paraId="64A88E29" w14:textId="77777777" w:rsidR="00541D37" w:rsidRDefault="00541D37" w:rsidP="00721501">
      <w:pPr>
        <w:pStyle w:val="Texto"/>
        <w:spacing w:after="0" w:line="276" w:lineRule="auto"/>
        <w:ind w:firstLine="0"/>
        <w:rPr>
          <w:rFonts w:eastAsiaTheme="minorHAnsi"/>
          <w:color w:val="000000"/>
          <w:szCs w:val="18"/>
          <w:lang w:val="es-MX" w:eastAsia="en-US"/>
        </w:rPr>
      </w:pPr>
    </w:p>
    <w:p w14:paraId="3162A6F1" w14:textId="77777777" w:rsidR="00721501" w:rsidRPr="0061609B" w:rsidRDefault="00E6698F" w:rsidP="00721501">
      <w:pPr>
        <w:pStyle w:val="Texto"/>
        <w:spacing w:after="0" w:line="276" w:lineRule="auto"/>
        <w:ind w:firstLine="0"/>
        <w:rPr>
          <w:rFonts w:eastAsiaTheme="minorHAnsi"/>
          <w:color w:val="000000"/>
          <w:szCs w:val="18"/>
          <w:lang w:val="es-MX" w:eastAsia="en-US"/>
        </w:rPr>
      </w:pPr>
      <w:r>
        <w:rPr>
          <w:rFonts w:eastAsiaTheme="minorHAnsi"/>
          <w:color w:val="000000"/>
          <w:szCs w:val="18"/>
          <w:lang w:val="es-MX" w:eastAsia="en-US"/>
        </w:rPr>
        <w:t>S</w:t>
      </w:r>
      <w:r w:rsidR="00721501">
        <w:rPr>
          <w:rFonts w:eastAsiaTheme="minorHAnsi"/>
          <w:color w:val="000000"/>
          <w:szCs w:val="18"/>
          <w:lang w:val="es-MX" w:eastAsia="en-US"/>
        </w:rPr>
        <w:t>e registran en cuentas de orden contable los Bienes Muebles que el Instituto tiene bajo Contratos de Comodato por un importe de $ 10’230,430.</w:t>
      </w:r>
      <w:r>
        <w:rPr>
          <w:rFonts w:eastAsiaTheme="minorHAnsi"/>
          <w:color w:val="000000"/>
          <w:szCs w:val="18"/>
          <w:lang w:val="es-MX" w:eastAsia="en-US"/>
        </w:rPr>
        <w:t>45</w:t>
      </w:r>
    </w:p>
    <w:p w14:paraId="30AB428B" w14:textId="77777777" w:rsidR="00721501" w:rsidRDefault="00721501" w:rsidP="00721501">
      <w:pPr>
        <w:pStyle w:val="Texto"/>
        <w:spacing w:after="0" w:line="276" w:lineRule="auto"/>
        <w:ind w:firstLine="0"/>
        <w:jc w:val="center"/>
        <w:rPr>
          <w:rFonts w:ascii="Soberana Sans Light" w:hAnsi="Soberana Sans Light"/>
          <w:b/>
          <w:sz w:val="22"/>
          <w:szCs w:val="22"/>
          <w:lang w:val="es-MX"/>
        </w:rPr>
      </w:pPr>
    </w:p>
    <w:p w14:paraId="3524A3EA" w14:textId="77777777" w:rsidR="00721501" w:rsidRPr="00540418" w:rsidRDefault="00721501" w:rsidP="00721501">
      <w:pPr>
        <w:pStyle w:val="Texto"/>
        <w:spacing w:after="0" w:line="276" w:lineRule="auto"/>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59B1248B" w14:textId="77777777" w:rsidR="00721501" w:rsidRPr="00540418" w:rsidRDefault="00721501" w:rsidP="00721501">
      <w:pPr>
        <w:pStyle w:val="Texto"/>
        <w:spacing w:after="0" w:line="276" w:lineRule="auto"/>
        <w:ind w:firstLine="0"/>
        <w:jc w:val="left"/>
        <w:rPr>
          <w:rFonts w:ascii="Soberana Sans Light" w:hAnsi="Soberana Sans Light"/>
          <w:b/>
          <w:sz w:val="22"/>
          <w:szCs w:val="22"/>
          <w:lang w:val="es-MX"/>
        </w:rPr>
      </w:pPr>
    </w:p>
    <w:p w14:paraId="7BD3CED8" w14:textId="77777777" w:rsidR="00721501" w:rsidRPr="007E42D2" w:rsidRDefault="00721501" w:rsidP="00721501">
      <w:pPr>
        <w:pStyle w:val="Default"/>
        <w:numPr>
          <w:ilvl w:val="0"/>
          <w:numId w:val="6"/>
        </w:numPr>
        <w:spacing w:line="276" w:lineRule="auto"/>
        <w:ind w:right="-235" w:firstLine="0"/>
        <w:jc w:val="both"/>
        <w:rPr>
          <w:rFonts w:ascii="Arial" w:hAnsi="Arial" w:cs="Arial"/>
          <w:b/>
          <w:bCs/>
          <w:sz w:val="18"/>
          <w:szCs w:val="18"/>
        </w:rPr>
      </w:pPr>
      <w:r w:rsidRPr="007E42D2">
        <w:rPr>
          <w:rFonts w:ascii="Arial" w:hAnsi="Arial" w:cs="Arial"/>
          <w:b/>
          <w:bCs/>
          <w:sz w:val="18"/>
          <w:szCs w:val="18"/>
        </w:rPr>
        <w:t xml:space="preserve">Introducción: </w:t>
      </w:r>
    </w:p>
    <w:p w14:paraId="07B33952" w14:textId="77777777" w:rsidR="00721501" w:rsidRPr="007E42D2" w:rsidRDefault="00721501" w:rsidP="00721501">
      <w:pPr>
        <w:pStyle w:val="Default"/>
        <w:spacing w:line="276" w:lineRule="auto"/>
        <w:ind w:left="720" w:right="-235" w:firstLine="708"/>
        <w:jc w:val="both"/>
        <w:rPr>
          <w:rFonts w:ascii="Arial" w:hAnsi="Arial" w:cs="Arial"/>
          <w:sz w:val="18"/>
          <w:szCs w:val="18"/>
        </w:rPr>
      </w:pPr>
    </w:p>
    <w:p w14:paraId="01AAB438" w14:textId="77777777"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 xml:space="preserve">El Instituto Tlaxcalteca para la Educación de los Adultos, es un organismo público descentralizado de la Administración </w:t>
      </w:r>
      <w:r w:rsidR="00F92F41" w:rsidRPr="00595EF7">
        <w:rPr>
          <w:rFonts w:ascii="Arial" w:hAnsi="Arial" w:cs="Arial"/>
          <w:color w:val="000000"/>
          <w:sz w:val="18"/>
          <w:szCs w:val="18"/>
        </w:rPr>
        <w:t>Pública</w:t>
      </w:r>
      <w:r w:rsidRPr="00595EF7">
        <w:rPr>
          <w:rFonts w:ascii="Arial" w:hAnsi="Arial" w:cs="Arial"/>
          <w:color w:val="000000"/>
          <w:sz w:val="18"/>
          <w:szCs w:val="18"/>
        </w:rPr>
        <w:t xml:space="preserve"> del Estado de Tlaxcala, con personalidad jurídica propia y patrimonio propios, sujeto a la normatividad del Poder Ejecutivo del Estado de Tlaxcala, de conformidad con lo establecido en la de Educación del Estado de Tlaxcala, Ley </w:t>
      </w:r>
      <w:r w:rsidR="00F92F41">
        <w:rPr>
          <w:rFonts w:ascii="Arial" w:hAnsi="Arial" w:cs="Arial"/>
          <w:color w:val="000000"/>
          <w:sz w:val="18"/>
          <w:szCs w:val="18"/>
        </w:rPr>
        <w:t>Orgánica de la Administración Pú</w:t>
      </w:r>
      <w:r w:rsidRPr="00595EF7">
        <w:rPr>
          <w:rFonts w:ascii="Arial" w:hAnsi="Arial" w:cs="Arial"/>
          <w:color w:val="000000"/>
          <w:sz w:val="18"/>
          <w:szCs w:val="18"/>
        </w:rPr>
        <w:t xml:space="preserve">blica del Estado de Tlaxcala, y la Ley de Entidades Paraestatales. </w:t>
      </w:r>
    </w:p>
    <w:p w14:paraId="0CD06904" w14:textId="77777777" w:rsidR="00595EF7" w:rsidRPr="00595EF7" w:rsidRDefault="00595EF7" w:rsidP="00E6698F">
      <w:pPr>
        <w:ind w:right="-235"/>
        <w:jc w:val="both"/>
        <w:rPr>
          <w:rFonts w:ascii="Arial" w:hAnsi="Arial" w:cs="Arial"/>
          <w:color w:val="000000"/>
          <w:sz w:val="18"/>
          <w:szCs w:val="18"/>
        </w:rPr>
      </w:pPr>
    </w:p>
    <w:p w14:paraId="3259796D" w14:textId="77777777"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 xml:space="preserve">El Instituto Tlaxcalteca para la Educación de los Adultos tiene como objetivo el de prestar los servicios de Educación Básica para adultos mayores de 15 años, la cual comprende la Alfabetización, la Educación primaria y la secundaria, así como la Formación para el Trabajo. </w:t>
      </w:r>
    </w:p>
    <w:p w14:paraId="2D941332" w14:textId="77777777" w:rsidR="00595EF7" w:rsidRPr="00595EF7" w:rsidRDefault="00595EF7" w:rsidP="00E6698F">
      <w:pPr>
        <w:ind w:right="-235"/>
        <w:jc w:val="both"/>
        <w:rPr>
          <w:rFonts w:ascii="Arial" w:hAnsi="Arial" w:cs="Arial"/>
          <w:color w:val="000000"/>
          <w:sz w:val="18"/>
          <w:szCs w:val="18"/>
        </w:rPr>
      </w:pPr>
    </w:p>
    <w:p w14:paraId="24B13022" w14:textId="77777777"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w:t>
      </w:r>
      <w:r w:rsidRPr="00595EF7">
        <w:rPr>
          <w:rFonts w:ascii="Arial" w:hAnsi="Arial" w:cs="Arial"/>
          <w:color w:val="000000"/>
          <w:sz w:val="18"/>
          <w:szCs w:val="18"/>
        </w:rPr>
        <w:tab/>
        <w:t xml:space="preserve">Misión: Somos una institución encargada de ofrecer, servicios educativos de calidad a los jóvenes y adultos que presentan rezago educativo, en materia de educación básica, proporcionándoles herramientas para su crecimiento y desarrollo personal. </w:t>
      </w:r>
    </w:p>
    <w:p w14:paraId="3C9044B5" w14:textId="77777777" w:rsidR="00595EF7" w:rsidRPr="00595EF7" w:rsidRDefault="00595EF7" w:rsidP="00E6698F">
      <w:pPr>
        <w:ind w:right="-235"/>
        <w:jc w:val="both"/>
        <w:rPr>
          <w:rFonts w:ascii="Arial" w:hAnsi="Arial" w:cs="Arial"/>
          <w:color w:val="000000"/>
          <w:sz w:val="18"/>
          <w:szCs w:val="18"/>
        </w:rPr>
      </w:pPr>
    </w:p>
    <w:p w14:paraId="05A8A65E" w14:textId="77777777" w:rsidR="00595EF7" w:rsidRPr="00595EF7" w:rsidRDefault="00595EF7" w:rsidP="00E6698F">
      <w:pPr>
        <w:ind w:right="-235"/>
        <w:jc w:val="both"/>
        <w:rPr>
          <w:rFonts w:ascii="Arial" w:hAnsi="Arial" w:cs="Arial"/>
          <w:color w:val="000000"/>
          <w:sz w:val="18"/>
          <w:szCs w:val="18"/>
        </w:rPr>
      </w:pPr>
      <w:r w:rsidRPr="00595EF7">
        <w:rPr>
          <w:rFonts w:ascii="Arial" w:hAnsi="Arial" w:cs="Arial"/>
          <w:color w:val="000000"/>
          <w:sz w:val="18"/>
          <w:szCs w:val="18"/>
        </w:rPr>
        <w:t>•</w:t>
      </w:r>
      <w:r w:rsidRPr="00595EF7">
        <w:rPr>
          <w:rFonts w:ascii="Arial" w:hAnsi="Arial" w:cs="Arial"/>
          <w:color w:val="000000"/>
          <w:sz w:val="18"/>
          <w:szCs w:val="18"/>
        </w:rPr>
        <w:tab/>
        <w:t>Visión: Ser una institución de educación básica para los jóvenes y adultos de reconocido prestigio, a través de los diferente</w:t>
      </w:r>
      <w:r w:rsidR="00C774B8">
        <w:rPr>
          <w:rFonts w:ascii="Arial" w:hAnsi="Arial" w:cs="Arial"/>
          <w:color w:val="000000"/>
          <w:sz w:val="18"/>
          <w:szCs w:val="18"/>
        </w:rPr>
        <w:t>s</w:t>
      </w:r>
      <w:r w:rsidRPr="00595EF7">
        <w:rPr>
          <w:rFonts w:ascii="Arial" w:hAnsi="Arial" w:cs="Arial"/>
          <w:color w:val="000000"/>
          <w:sz w:val="18"/>
          <w:szCs w:val="18"/>
        </w:rPr>
        <w:t xml:space="preserve"> programas institucionales, agilizando los procesos educativos, con el apoyo de tecnología que brinde un servicio de calidad y que reduzca el rezago educativo en el estado.</w:t>
      </w:r>
    </w:p>
    <w:p w14:paraId="32030E69" w14:textId="77777777" w:rsidR="00595EF7" w:rsidRPr="00595EF7" w:rsidRDefault="00595EF7" w:rsidP="00E6698F">
      <w:pPr>
        <w:ind w:right="-235"/>
        <w:jc w:val="both"/>
        <w:rPr>
          <w:rFonts w:ascii="Arial" w:hAnsi="Arial" w:cs="Arial"/>
          <w:color w:val="000000"/>
          <w:sz w:val="18"/>
          <w:szCs w:val="18"/>
        </w:rPr>
      </w:pPr>
    </w:p>
    <w:p w14:paraId="3A4C96B4" w14:textId="77777777" w:rsidR="00721501" w:rsidRPr="007E42D2" w:rsidRDefault="00595EF7" w:rsidP="00E6698F">
      <w:pPr>
        <w:ind w:right="-235"/>
        <w:jc w:val="both"/>
        <w:rPr>
          <w:rFonts w:ascii="Arial" w:hAnsi="Arial" w:cs="Arial"/>
          <w:sz w:val="18"/>
          <w:szCs w:val="18"/>
        </w:rPr>
      </w:pPr>
      <w:r w:rsidRPr="00595EF7">
        <w:rPr>
          <w:rFonts w:ascii="Arial" w:hAnsi="Arial" w:cs="Arial"/>
          <w:color w:val="000000"/>
          <w:sz w:val="18"/>
          <w:szCs w:val="18"/>
        </w:rPr>
        <w:t>•</w:t>
      </w:r>
      <w:r w:rsidRPr="00595EF7">
        <w:rPr>
          <w:rFonts w:ascii="Arial" w:hAnsi="Arial" w:cs="Arial"/>
          <w:color w:val="000000"/>
          <w:sz w:val="18"/>
          <w:szCs w:val="18"/>
        </w:rPr>
        <w:tab/>
        <w:t>Valores: Respeto, Honestidad, Solidaridad, Trabajo en Equipo, Subsidiaridad, Pro-actividad y Actitud de Servicio, Perseverancia, Lealtad, Responsabilidad.</w:t>
      </w:r>
    </w:p>
    <w:p w14:paraId="273E58F3" w14:textId="77777777" w:rsidR="00721501" w:rsidRPr="007E42D2" w:rsidRDefault="00721501" w:rsidP="00721501">
      <w:pPr>
        <w:pStyle w:val="Default"/>
        <w:pageBreakBefore/>
        <w:spacing w:line="276" w:lineRule="auto"/>
        <w:ind w:right="-235"/>
        <w:jc w:val="both"/>
        <w:rPr>
          <w:rFonts w:ascii="Arial" w:hAnsi="Arial" w:cs="Arial"/>
          <w:b/>
          <w:bCs/>
          <w:sz w:val="18"/>
          <w:szCs w:val="18"/>
        </w:rPr>
      </w:pPr>
      <w:r w:rsidRPr="007E42D2">
        <w:rPr>
          <w:rFonts w:ascii="Arial" w:hAnsi="Arial" w:cs="Arial"/>
          <w:b/>
          <w:bCs/>
          <w:sz w:val="18"/>
          <w:szCs w:val="18"/>
        </w:rPr>
        <w:lastRenderedPageBreak/>
        <w:t xml:space="preserve">2. Descripción del panorama Económico y Financiero: </w:t>
      </w:r>
    </w:p>
    <w:p w14:paraId="1DE728CA" w14:textId="77777777" w:rsidR="00721501" w:rsidRPr="007E42D2" w:rsidRDefault="00721501" w:rsidP="00721501">
      <w:pPr>
        <w:pStyle w:val="Default"/>
        <w:spacing w:line="276" w:lineRule="auto"/>
        <w:ind w:right="-235"/>
        <w:jc w:val="both"/>
        <w:rPr>
          <w:rFonts w:ascii="Arial" w:hAnsi="Arial" w:cs="Arial"/>
          <w:sz w:val="18"/>
          <w:szCs w:val="18"/>
        </w:rPr>
      </w:pPr>
    </w:p>
    <w:p w14:paraId="48147DF0" w14:textId="77777777" w:rsidR="00721501" w:rsidRPr="007E42D2" w:rsidRDefault="00595EF7" w:rsidP="00721501">
      <w:pPr>
        <w:pStyle w:val="Default"/>
        <w:spacing w:line="276" w:lineRule="auto"/>
        <w:ind w:right="-235"/>
        <w:jc w:val="both"/>
        <w:rPr>
          <w:rFonts w:ascii="Arial" w:hAnsi="Arial" w:cs="Arial"/>
          <w:sz w:val="18"/>
          <w:szCs w:val="18"/>
        </w:rPr>
      </w:pPr>
      <w:r w:rsidRPr="00595EF7">
        <w:rPr>
          <w:rFonts w:ascii="Arial" w:hAnsi="Arial" w:cs="Arial"/>
          <w:sz w:val="18"/>
          <w:szCs w:val="18"/>
        </w:rPr>
        <w:t xml:space="preserve">El Instituto Tlaxcalteca de educación para adultos cuenta con Presupuesto de Egresos </w:t>
      </w:r>
      <w:r w:rsidR="00DC0287">
        <w:rPr>
          <w:rFonts w:ascii="Arial" w:hAnsi="Arial" w:cs="Arial"/>
          <w:sz w:val="18"/>
          <w:szCs w:val="18"/>
        </w:rPr>
        <w:t>en donde</w:t>
      </w:r>
      <w:r w:rsidRPr="00595EF7">
        <w:rPr>
          <w:rFonts w:ascii="Arial" w:hAnsi="Arial" w:cs="Arial"/>
          <w:sz w:val="18"/>
          <w:szCs w:val="18"/>
        </w:rPr>
        <w:t xml:space="preserve"> se contempla el panorama económico y financiero del Instituto y el cual es aprobado por la Junta de Gobierno, que es el órgano supremo de nuestra dependencia.</w:t>
      </w:r>
    </w:p>
    <w:p w14:paraId="55302EA3" w14:textId="77777777" w:rsidR="00721501" w:rsidRPr="007E42D2" w:rsidRDefault="00721501" w:rsidP="00721501">
      <w:pPr>
        <w:pStyle w:val="Default"/>
        <w:spacing w:line="276" w:lineRule="auto"/>
        <w:ind w:right="-235"/>
        <w:jc w:val="both"/>
        <w:rPr>
          <w:rFonts w:ascii="Arial" w:hAnsi="Arial" w:cs="Arial"/>
          <w:b/>
          <w:bCs/>
          <w:sz w:val="18"/>
          <w:szCs w:val="18"/>
        </w:rPr>
      </w:pPr>
    </w:p>
    <w:p w14:paraId="347A03E0" w14:textId="77777777"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3. Autorización e Historia: </w:t>
      </w:r>
    </w:p>
    <w:p w14:paraId="47F367FD" w14:textId="77777777" w:rsidR="00721501" w:rsidRPr="007E42D2" w:rsidRDefault="00721501" w:rsidP="00721501">
      <w:pPr>
        <w:pStyle w:val="Default"/>
        <w:spacing w:line="276" w:lineRule="auto"/>
        <w:ind w:right="-235"/>
        <w:jc w:val="both"/>
        <w:rPr>
          <w:rFonts w:ascii="Arial" w:hAnsi="Arial" w:cs="Arial"/>
          <w:b/>
          <w:bCs/>
          <w:sz w:val="18"/>
          <w:szCs w:val="18"/>
        </w:rPr>
      </w:pPr>
    </w:p>
    <w:p w14:paraId="5FE936EA" w14:textId="77777777"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a) Fecha de creación del el Instituto Tlaxcalteca de educación para adultos.</w:t>
      </w:r>
    </w:p>
    <w:p w14:paraId="10EC9F54" w14:textId="77777777" w:rsidR="00595EF7" w:rsidRPr="00595EF7" w:rsidRDefault="00595EF7" w:rsidP="00595EF7">
      <w:pPr>
        <w:pStyle w:val="Default"/>
        <w:ind w:right="-235"/>
        <w:jc w:val="both"/>
        <w:rPr>
          <w:rFonts w:ascii="Arial" w:hAnsi="Arial" w:cs="Arial"/>
          <w:sz w:val="18"/>
          <w:szCs w:val="18"/>
        </w:rPr>
      </w:pPr>
    </w:p>
    <w:p w14:paraId="60A917B4" w14:textId="77777777"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Las grandes reformas educativas y de los compromisos adquiridos internacionalmente en 1978 hicieron que se diera inicio al programa “Educación para todos” bajo la responsabilidad de la Dirección General de Educación para adultos, creándose posteriormente el Instituto Nacional Para la Educación de los Adultos (INEA), por parte del Gobierno Federal el 31 de </w:t>
      </w:r>
      <w:proofErr w:type="gramStart"/>
      <w:r w:rsidRPr="00595EF7">
        <w:rPr>
          <w:rFonts w:ascii="Arial" w:hAnsi="Arial" w:cs="Arial"/>
          <w:sz w:val="18"/>
          <w:szCs w:val="18"/>
        </w:rPr>
        <w:t>Agosto</w:t>
      </w:r>
      <w:proofErr w:type="gramEnd"/>
      <w:r w:rsidRPr="00595EF7">
        <w:rPr>
          <w:rFonts w:ascii="Arial" w:hAnsi="Arial" w:cs="Arial"/>
          <w:sz w:val="18"/>
          <w:szCs w:val="18"/>
        </w:rPr>
        <w:t xml:space="preserve"> de 1981, como un organismo descentralizado de la Administración Pública Federal, con personalidad y patrimonio propio.</w:t>
      </w:r>
    </w:p>
    <w:p w14:paraId="51FF4B73" w14:textId="77777777" w:rsidR="00595EF7" w:rsidRPr="00595EF7" w:rsidRDefault="00595EF7" w:rsidP="00595EF7">
      <w:pPr>
        <w:pStyle w:val="Default"/>
        <w:ind w:right="-235"/>
        <w:jc w:val="both"/>
        <w:rPr>
          <w:rFonts w:ascii="Arial" w:hAnsi="Arial" w:cs="Arial"/>
          <w:sz w:val="18"/>
          <w:szCs w:val="18"/>
        </w:rPr>
      </w:pPr>
    </w:p>
    <w:p w14:paraId="49FE6CAB" w14:textId="77777777"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b) Principales cambios en su estructura (interna históricamente). </w:t>
      </w:r>
    </w:p>
    <w:p w14:paraId="409BB98F" w14:textId="77777777" w:rsidR="00595EF7" w:rsidRPr="00595EF7" w:rsidRDefault="00595EF7" w:rsidP="00595EF7">
      <w:pPr>
        <w:pStyle w:val="Default"/>
        <w:ind w:right="-235"/>
        <w:jc w:val="both"/>
        <w:rPr>
          <w:rFonts w:ascii="Arial" w:hAnsi="Arial" w:cs="Arial"/>
          <w:sz w:val="18"/>
          <w:szCs w:val="18"/>
        </w:rPr>
      </w:pPr>
    </w:p>
    <w:p w14:paraId="312A69D5" w14:textId="77777777" w:rsidR="00721501" w:rsidRPr="007E42D2" w:rsidRDefault="00595EF7" w:rsidP="00595EF7">
      <w:pPr>
        <w:pStyle w:val="Default"/>
        <w:spacing w:line="276" w:lineRule="auto"/>
        <w:ind w:right="-235"/>
        <w:jc w:val="both"/>
        <w:rPr>
          <w:rFonts w:ascii="Arial" w:hAnsi="Arial" w:cs="Arial"/>
          <w:b/>
          <w:bCs/>
          <w:sz w:val="18"/>
          <w:szCs w:val="18"/>
        </w:rPr>
      </w:pPr>
      <w:r w:rsidRPr="00595EF7">
        <w:rPr>
          <w:rFonts w:ascii="Arial" w:hAnsi="Arial" w:cs="Arial"/>
          <w:sz w:val="18"/>
          <w:szCs w:val="18"/>
        </w:rPr>
        <w:t xml:space="preserve">El 22 de </w:t>
      </w:r>
      <w:proofErr w:type="gramStart"/>
      <w:r w:rsidRPr="00595EF7">
        <w:rPr>
          <w:rFonts w:ascii="Arial" w:hAnsi="Arial" w:cs="Arial"/>
          <w:sz w:val="18"/>
          <w:szCs w:val="18"/>
        </w:rPr>
        <w:t>Mayo</w:t>
      </w:r>
      <w:proofErr w:type="gramEnd"/>
      <w:r w:rsidRPr="00595EF7">
        <w:rPr>
          <w:rFonts w:ascii="Arial" w:hAnsi="Arial" w:cs="Arial"/>
          <w:sz w:val="18"/>
          <w:szCs w:val="18"/>
        </w:rPr>
        <w:t xml:space="preserve"> de 2001 se creó el Instituto Tlaxcalteca de educación para adultos, estableciéndose para su funcionalidad como un Organismo Descentralizado de la Administración Pública Estatal, con personalidad jurídica y patrimonio propio y cuyo objetivo es el de promover, organizar e impartir a la población adulta los servicios de alfabetización y educación básica, considerándose en esta última, los servicios de primaria y secundaria.</w:t>
      </w:r>
    </w:p>
    <w:p w14:paraId="432AE3C6" w14:textId="77777777" w:rsidR="00595EF7" w:rsidRDefault="00595EF7" w:rsidP="00721501">
      <w:pPr>
        <w:pStyle w:val="Default"/>
        <w:spacing w:line="276" w:lineRule="auto"/>
        <w:ind w:right="-235"/>
        <w:jc w:val="both"/>
        <w:rPr>
          <w:rFonts w:ascii="Arial" w:hAnsi="Arial" w:cs="Arial"/>
          <w:b/>
          <w:bCs/>
          <w:sz w:val="18"/>
          <w:szCs w:val="18"/>
        </w:rPr>
      </w:pPr>
    </w:p>
    <w:p w14:paraId="5F710323" w14:textId="77777777"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4. Organización y Objeto Social: </w:t>
      </w:r>
    </w:p>
    <w:p w14:paraId="0D923840" w14:textId="77777777" w:rsidR="00595EF7" w:rsidRDefault="00595EF7" w:rsidP="00595EF7">
      <w:pPr>
        <w:pStyle w:val="Default"/>
        <w:ind w:right="-235"/>
        <w:jc w:val="both"/>
        <w:rPr>
          <w:rFonts w:ascii="Arial" w:hAnsi="Arial" w:cs="Arial"/>
          <w:b/>
          <w:bCs/>
          <w:sz w:val="18"/>
          <w:szCs w:val="18"/>
        </w:rPr>
      </w:pPr>
    </w:p>
    <w:p w14:paraId="3D849D42" w14:textId="77777777" w:rsidR="00595EF7" w:rsidRDefault="00721501" w:rsidP="00595EF7">
      <w:pPr>
        <w:pStyle w:val="Default"/>
        <w:ind w:right="-235"/>
        <w:jc w:val="both"/>
        <w:rPr>
          <w:rFonts w:ascii="Arial" w:hAnsi="Arial" w:cs="Arial"/>
          <w:sz w:val="18"/>
          <w:szCs w:val="18"/>
        </w:rPr>
      </w:pPr>
      <w:r w:rsidRPr="00595EF7">
        <w:rPr>
          <w:rFonts w:ascii="Arial" w:hAnsi="Arial" w:cs="Arial"/>
          <w:bCs/>
          <w:sz w:val="18"/>
          <w:szCs w:val="18"/>
        </w:rPr>
        <w:t>a)</w:t>
      </w:r>
      <w:r w:rsidRPr="007E42D2">
        <w:rPr>
          <w:rFonts w:ascii="Arial" w:hAnsi="Arial" w:cs="Arial"/>
          <w:b/>
          <w:bCs/>
          <w:sz w:val="18"/>
          <w:szCs w:val="18"/>
        </w:rPr>
        <w:t xml:space="preserve"> </w:t>
      </w:r>
      <w:r w:rsidR="00595EF7">
        <w:rPr>
          <w:rFonts w:ascii="Arial" w:hAnsi="Arial" w:cs="Arial"/>
          <w:sz w:val="18"/>
          <w:szCs w:val="18"/>
        </w:rPr>
        <w:t>Objeto social.</w:t>
      </w:r>
    </w:p>
    <w:p w14:paraId="2391B4AF" w14:textId="77777777" w:rsidR="00595EF7" w:rsidRPr="00595EF7" w:rsidRDefault="00595EF7" w:rsidP="00595EF7">
      <w:pPr>
        <w:pStyle w:val="Default"/>
        <w:ind w:right="-235"/>
        <w:jc w:val="both"/>
        <w:rPr>
          <w:rFonts w:ascii="Arial" w:hAnsi="Arial" w:cs="Arial"/>
          <w:sz w:val="18"/>
          <w:szCs w:val="18"/>
        </w:rPr>
      </w:pPr>
    </w:p>
    <w:p w14:paraId="27CD70E5" w14:textId="77777777"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El Instituto Tlaxcalteca para la Educación de los Adultos, tendrá por objeto prestar los servicios de educación básica, la formación para el trabajo, así como el buen uso del tiempo libre, orientado a los individuos mayores de 15 años de edad, con los contenidos particulares para atender las necesidades educativas </w:t>
      </w:r>
      <w:r w:rsidR="00C774B8" w:rsidRPr="00595EF7">
        <w:rPr>
          <w:rFonts w:ascii="Arial" w:hAnsi="Arial" w:cs="Arial"/>
          <w:sz w:val="18"/>
          <w:szCs w:val="18"/>
        </w:rPr>
        <w:t>específicas</w:t>
      </w:r>
      <w:r w:rsidRPr="00595EF7">
        <w:rPr>
          <w:rFonts w:ascii="Arial" w:hAnsi="Arial" w:cs="Arial"/>
          <w:sz w:val="18"/>
          <w:szCs w:val="18"/>
        </w:rPr>
        <w:t xml:space="preserve"> de ese sector de la población la cual estará apoyada en la solidaridad social.</w:t>
      </w:r>
    </w:p>
    <w:p w14:paraId="0F70DA6F" w14:textId="77777777" w:rsidR="00721501" w:rsidRPr="007E42D2" w:rsidRDefault="00595EF7" w:rsidP="00595EF7">
      <w:pPr>
        <w:pStyle w:val="Default"/>
        <w:spacing w:line="276" w:lineRule="auto"/>
        <w:ind w:right="-235"/>
        <w:jc w:val="both"/>
        <w:rPr>
          <w:rFonts w:ascii="Arial" w:hAnsi="Arial" w:cs="Arial"/>
          <w:sz w:val="18"/>
          <w:szCs w:val="18"/>
        </w:rPr>
      </w:pPr>
      <w:r w:rsidRPr="00595EF7">
        <w:rPr>
          <w:rFonts w:ascii="Arial" w:hAnsi="Arial" w:cs="Arial"/>
          <w:sz w:val="18"/>
          <w:szCs w:val="18"/>
        </w:rPr>
        <w:t xml:space="preserve">La educación para los adultos en el Estado, </w:t>
      </w:r>
      <w:r w:rsidR="00C774B8" w:rsidRPr="00595EF7">
        <w:rPr>
          <w:rFonts w:ascii="Arial" w:hAnsi="Arial" w:cs="Arial"/>
          <w:sz w:val="18"/>
          <w:szCs w:val="18"/>
        </w:rPr>
        <w:t>formará</w:t>
      </w:r>
      <w:r w:rsidRPr="00595EF7">
        <w:rPr>
          <w:rFonts w:ascii="Arial" w:hAnsi="Arial" w:cs="Arial"/>
          <w:sz w:val="18"/>
          <w:szCs w:val="18"/>
        </w:rPr>
        <w:t xml:space="preserve"> parte del Sistema Educativo Nacional y deberá cumplir con los planes y programas de estudio que rigen esta modalidad educativa no escolarizada, en congruencia con la normatividad establecida por el Instituto Nacional para la Educación de los Adultos.</w:t>
      </w:r>
    </w:p>
    <w:p w14:paraId="7778949C" w14:textId="77777777" w:rsidR="00595EF7" w:rsidRDefault="00595EF7" w:rsidP="00721501">
      <w:pPr>
        <w:pStyle w:val="Default"/>
        <w:spacing w:line="276" w:lineRule="auto"/>
        <w:ind w:right="-235"/>
        <w:jc w:val="both"/>
        <w:rPr>
          <w:rFonts w:ascii="Arial" w:hAnsi="Arial" w:cs="Arial"/>
          <w:b/>
          <w:bCs/>
          <w:sz w:val="18"/>
          <w:szCs w:val="18"/>
        </w:rPr>
      </w:pPr>
    </w:p>
    <w:p w14:paraId="67EA1F07" w14:textId="77777777" w:rsidR="00721501" w:rsidRDefault="00721501" w:rsidP="00721501">
      <w:pPr>
        <w:pStyle w:val="Default"/>
        <w:spacing w:line="276" w:lineRule="auto"/>
        <w:ind w:right="-235"/>
        <w:jc w:val="both"/>
        <w:rPr>
          <w:rFonts w:ascii="Arial" w:hAnsi="Arial" w:cs="Arial"/>
          <w:sz w:val="18"/>
          <w:szCs w:val="18"/>
        </w:rPr>
      </w:pPr>
      <w:r w:rsidRPr="00595EF7">
        <w:rPr>
          <w:rFonts w:ascii="Arial" w:hAnsi="Arial" w:cs="Arial"/>
          <w:bCs/>
          <w:sz w:val="18"/>
          <w:szCs w:val="18"/>
        </w:rPr>
        <w:t>b)</w:t>
      </w:r>
      <w:r w:rsidRPr="007E42D2">
        <w:rPr>
          <w:rFonts w:ascii="Arial" w:hAnsi="Arial" w:cs="Arial"/>
          <w:b/>
          <w:bCs/>
          <w:sz w:val="18"/>
          <w:szCs w:val="18"/>
        </w:rPr>
        <w:t xml:space="preserve"> </w:t>
      </w:r>
      <w:r w:rsidR="00595EF7">
        <w:rPr>
          <w:rFonts w:ascii="Arial" w:hAnsi="Arial" w:cs="Arial"/>
          <w:sz w:val="18"/>
          <w:szCs w:val="18"/>
        </w:rPr>
        <w:t>Principal actividad.</w:t>
      </w:r>
    </w:p>
    <w:p w14:paraId="1BB54136" w14:textId="77777777" w:rsidR="00595EF7" w:rsidRPr="007E42D2" w:rsidRDefault="00595EF7" w:rsidP="00721501">
      <w:pPr>
        <w:pStyle w:val="Default"/>
        <w:spacing w:line="276" w:lineRule="auto"/>
        <w:ind w:right="-235"/>
        <w:jc w:val="both"/>
        <w:rPr>
          <w:rFonts w:ascii="Arial" w:hAnsi="Arial" w:cs="Arial"/>
          <w:sz w:val="18"/>
          <w:szCs w:val="18"/>
        </w:rPr>
      </w:pPr>
    </w:p>
    <w:p w14:paraId="13937D27"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 Promover, organizar, ofrecer e impartir educación básica, así como la formación para el trabajo y el buen uso del tiempo libre orientado a los individuos mayores de 15 años de edad;</w:t>
      </w:r>
    </w:p>
    <w:p w14:paraId="1C34EE0D" w14:textId="77777777" w:rsidR="00595EF7" w:rsidRPr="00595EF7" w:rsidRDefault="00595EF7" w:rsidP="00595EF7">
      <w:pPr>
        <w:pStyle w:val="Default"/>
        <w:ind w:right="-235"/>
        <w:jc w:val="both"/>
        <w:rPr>
          <w:rFonts w:ascii="Arial" w:hAnsi="Arial" w:cs="Arial"/>
          <w:color w:val="auto"/>
          <w:sz w:val="18"/>
          <w:szCs w:val="18"/>
        </w:rPr>
      </w:pPr>
    </w:p>
    <w:p w14:paraId="359D3AFF"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II.- Resguardar el desarrollo de las funciones sustantivas y de apoyo a cargo de los órganos institucionales en materia de educación para adultos;</w:t>
      </w:r>
    </w:p>
    <w:p w14:paraId="6BED0D0B" w14:textId="77777777" w:rsidR="00595EF7" w:rsidRPr="00595EF7" w:rsidRDefault="00595EF7" w:rsidP="00595EF7">
      <w:pPr>
        <w:pStyle w:val="Default"/>
        <w:ind w:right="-235"/>
        <w:jc w:val="both"/>
        <w:rPr>
          <w:rFonts w:ascii="Arial" w:hAnsi="Arial" w:cs="Arial"/>
          <w:color w:val="auto"/>
          <w:sz w:val="18"/>
          <w:szCs w:val="18"/>
        </w:rPr>
      </w:pPr>
    </w:p>
    <w:p w14:paraId="001A58FC"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III.- Crear conciencia sobre la problemática relacionada con el rezago educativo existente en la población adulta; así como fomentar y realizar investigaciones y estudios al respecto de esta prioridad nacional y estatal, a fin de adoptar las técnicas adecuadas para motivar y propiciar la acción comunitaria;</w:t>
      </w:r>
    </w:p>
    <w:p w14:paraId="0DD463F0" w14:textId="77777777" w:rsidR="00595EF7" w:rsidRPr="00595EF7" w:rsidRDefault="00595EF7" w:rsidP="00595EF7">
      <w:pPr>
        <w:pStyle w:val="Default"/>
        <w:ind w:right="-235"/>
        <w:jc w:val="both"/>
        <w:rPr>
          <w:rFonts w:ascii="Arial" w:hAnsi="Arial" w:cs="Arial"/>
          <w:color w:val="auto"/>
          <w:sz w:val="18"/>
          <w:szCs w:val="18"/>
        </w:rPr>
      </w:pPr>
    </w:p>
    <w:p w14:paraId="280A9DFF"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 xml:space="preserve">IV.- Elaborar, reproducir y distribuir en el estado, materiales didácticos aplicables a los individuos mayores de 15 años de edad; </w:t>
      </w:r>
    </w:p>
    <w:p w14:paraId="3A5BFD23" w14:textId="77777777" w:rsidR="00595EF7" w:rsidRPr="00595EF7" w:rsidRDefault="00595EF7" w:rsidP="00595EF7">
      <w:pPr>
        <w:pStyle w:val="Default"/>
        <w:ind w:right="-235"/>
        <w:jc w:val="both"/>
        <w:rPr>
          <w:rFonts w:ascii="Arial" w:hAnsi="Arial" w:cs="Arial"/>
          <w:color w:val="auto"/>
          <w:sz w:val="18"/>
          <w:szCs w:val="18"/>
        </w:rPr>
      </w:pPr>
    </w:p>
    <w:p w14:paraId="760AE7ED"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 Prestar servicios de formación, actualización y capacitación del personal que requieran los servicios de educación para adultos;</w:t>
      </w:r>
    </w:p>
    <w:p w14:paraId="1B70627D" w14:textId="77777777" w:rsidR="00595EF7" w:rsidRPr="00595EF7" w:rsidRDefault="00595EF7" w:rsidP="00595EF7">
      <w:pPr>
        <w:pStyle w:val="Default"/>
        <w:ind w:right="-235"/>
        <w:jc w:val="both"/>
        <w:rPr>
          <w:rFonts w:ascii="Arial" w:hAnsi="Arial" w:cs="Arial"/>
          <w:color w:val="auto"/>
          <w:sz w:val="18"/>
          <w:szCs w:val="18"/>
        </w:rPr>
      </w:pPr>
    </w:p>
    <w:p w14:paraId="417F24C2"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VI.- Coadyuvar a la extensión de los servicios de educación comunitaria destinada a los adultos en los diferentes niveles de educación básica, así como para la difusión cultural;</w:t>
      </w:r>
    </w:p>
    <w:p w14:paraId="45B20E07" w14:textId="77777777" w:rsidR="00595EF7" w:rsidRPr="00595EF7" w:rsidRDefault="00595EF7" w:rsidP="00595EF7">
      <w:pPr>
        <w:pStyle w:val="Default"/>
        <w:ind w:right="-235"/>
        <w:jc w:val="both"/>
        <w:rPr>
          <w:rFonts w:ascii="Arial" w:hAnsi="Arial" w:cs="Arial"/>
          <w:color w:val="auto"/>
          <w:sz w:val="18"/>
          <w:szCs w:val="18"/>
        </w:rPr>
      </w:pPr>
    </w:p>
    <w:p w14:paraId="5AD0FD6E"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VII.- Establecer Delegaciones y Coordinaciones en los municipios y regiones del Estado, en caso de ser necesario, a través de las cuales se coordinen eficientemente la ejecución de los planes y programas de educación para los individuos mayores de 15 años de edad;</w:t>
      </w:r>
    </w:p>
    <w:p w14:paraId="1E974B77" w14:textId="77777777" w:rsidR="00595EF7" w:rsidRPr="00595EF7" w:rsidRDefault="00595EF7" w:rsidP="00595EF7">
      <w:pPr>
        <w:pStyle w:val="Default"/>
        <w:ind w:right="-235"/>
        <w:jc w:val="both"/>
        <w:rPr>
          <w:rFonts w:ascii="Arial" w:hAnsi="Arial" w:cs="Arial"/>
          <w:color w:val="auto"/>
          <w:sz w:val="18"/>
          <w:szCs w:val="18"/>
        </w:rPr>
      </w:pPr>
    </w:p>
    <w:p w14:paraId="2D36DA4A"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VIII.- Expedir constancias y certificados que acrediten el nivel educativo que imparta el Instituto, conforme a los programas de estudio, normatividad y procedimientos vigentes;</w:t>
      </w:r>
    </w:p>
    <w:p w14:paraId="2C611C5B" w14:textId="77777777" w:rsidR="00595EF7" w:rsidRPr="00595EF7" w:rsidRDefault="00595EF7" w:rsidP="00595EF7">
      <w:pPr>
        <w:pStyle w:val="Default"/>
        <w:ind w:right="-235"/>
        <w:jc w:val="both"/>
        <w:rPr>
          <w:rFonts w:ascii="Arial" w:hAnsi="Arial" w:cs="Arial"/>
          <w:color w:val="auto"/>
          <w:sz w:val="18"/>
          <w:szCs w:val="18"/>
        </w:rPr>
      </w:pPr>
    </w:p>
    <w:p w14:paraId="24898FE0"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IX.- Auspiciar y organizar el servicio social educativo y dar oportunidad a los estudiantes para que participen voluntariamente en los programas de educación para los individuos mayores de 15 años de edad;</w:t>
      </w:r>
    </w:p>
    <w:p w14:paraId="4C613C6C" w14:textId="77777777" w:rsidR="00595EF7" w:rsidRPr="00595EF7" w:rsidRDefault="00595EF7" w:rsidP="00595EF7">
      <w:pPr>
        <w:pStyle w:val="Default"/>
        <w:ind w:right="-235"/>
        <w:jc w:val="both"/>
        <w:rPr>
          <w:rFonts w:ascii="Arial" w:hAnsi="Arial" w:cs="Arial"/>
          <w:color w:val="auto"/>
          <w:sz w:val="18"/>
          <w:szCs w:val="18"/>
        </w:rPr>
      </w:pPr>
    </w:p>
    <w:p w14:paraId="4957CFFA"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 Coordinar sus actividades con instituciones que ofrezcan servicios educativos similares o complementarios;</w:t>
      </w:r>
    </w:p>
    <w:p w14:paraId="48D2945E" w14:textId="77777777" w:rsidR="00595EF7" w:rsidRPr="00595EF7" w:rsidRDefault="00595EF7" w:rsidP="00595EF7">
      <w:pPr>
        <w:pStyle w:val="Default"/>
        <w:ind w:right="-235"/>
        <w:jc w:val="both"/>
        <w:rPr>
          <w:rFonts w:ascii="Arial" w:hAnsi="Arial" w:cs="Arial"/>
          <w:color w:val="auto"/>
          <w:sz w:val="18"/>
          <w:szCs w:val="18"/>
        </w:rPr>
      </w:pPr>
    </w:p>
    <w:p w14:paraId="5192BF3A"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 Promover la constitución en el Estado, de un patronato Pro – Educación de los Adultos del Estado de Tlaxcala, con las características jurídicas de una asociación civil, que tenga por objeto participar y apoyar al Instituto en el desarrollo de las tareas educativas a su cargo;</w:t>
      </w:r>
    </w:p>
    <w:p w14:paraId="05BEEF30" w14:textId="77777777" w:rsidR="00595EF7" w:rsidRPr="00595EF7" w:rsidRDefault="00595EF7" w:rsidP="00595EF7">
      <w:pPr>
        <w:pStyle w:val="Default"/>
        <w:ind w:right="-235"/>
        <w:jc w:val="both"/>
        <w:rPr>
          <w:rFonts w:ascii="Arial" w:hAnsi="Arial" w:cs="Arial"/>
          <w:color w:val="auto"/>
          <w:sz w:val="18"/>
          <w:szCs w:val="18"/>
        </w:rPr>
      </w:pPr>
    </w:p>
    <w:p w14:paraId="08EAB31F"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XII.- Patrocinar la edición de obras y realizar actividades de difusión cultural, que complementen y apoyen sus programas;</w:t>
      </w:r>
    </w:p>
    <w:p w14:paraId="2EE665F5" w14:textId="77777777" w:rsidR="00595EF7" w:rsidRPr="00595EF7" w:rsidRDefault="00595EF7" w:rsidP="00595EF7">
      <w:pPr>
        <w:pStyle w:val="Default"/>
        <w:ind w:right="-235"/>
        <w:jc w:val="both"/>
        <w:rPr>
          <w:rFonts w:ascii="Arial" w:hAnsi="Arial" w:cs="Arial"/>
          <w:color w:val="auto"/>
          <w:sz w:val="18"/>
          <w:szCs w:val="18"/>
        </w:rPr>
      </w:pPr>
    </w:p>
    <w:p w14:paraId="57E23C99"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XIII.- Difundir a través de los medios de comunicación masiva la extensión de los servicios educativos que preste y los programas que desarrolle, así como proporcionar orientación e información al público para el mejor conocimiento de sus actividades;</w:t>
      </w:r>
    </w:p>
    <w:p w14:paraId="1D3B9632" w14:textId="77777777" w:rsidR="00595EF7" w:rsidRPr="00595EF7" w:rsidRDefault="00595EF7" w:rsidP="00595EF7">
      <w:pPr>
        <w:pStyle w:val="Default"/>
        <w:ind w:right="-235"/>
        <w:jc w:val="both"/>
        <w:rPr>
          <w:rFonts w:ascii="Arial" w:hAnsi="Arial" w:cs="Arial"/>
          <w:color w:val="auto"/>
          <w:sz w:val="18"/>
          <w:szCs w:val="18"/>
        </w:rPr>
      </w:pPr>
    </w:p>
    <w:p w14:paraId="11FDC320"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XIV.- Patrocinar y organizar la realización de reuniones, seminarios y otros eventos de orientación, capacitación y actualización del marco jurídico administrativo que rige en materia de educación para los adultos en el marco del Sistema Educativo Nacional;</w:t>
      </w:r>
    </w:p>
    <w:p w14:paraId="4F3356A0" w14:textId="77777777" w:rsidR="00595EF7" w:rsidRPr="00595EF7" w:rsidRDefault="00595EF7" w:rsidP="00595EF7">
      <w:pPr>
        <w:pStyle w:val="Default"/>
        <w:ind w:right="-235"/>
        <w:jc w:val="both"/>
        <w:rPr>
          <w:rFonts w:ascii="Arial" w:hAnsi="Arial" w:cs="Arial"/>
          <w:color w:val="auto"/>
          <w:sz w:val="18"/>
          <w:szCs w:val="18"/>
        </w:rPr>
      </w:pPr>
    </w:p>
    <w:p w14:paraId="7F8F1435"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XV.- Otorgar estímulos y recompensas a los agentes operativos solidarios que se distingan por los eficientes servicios de apoyo a la educación para los individuos mayores de 15 años de edad, en el marco del Sistema Educativo Nacional</w:t>
      </w:r>
    </w:p>
    <w:p w14:paraId="2F073E86" w14:textId="77777777" w:rsidR="00595EF7" w:rsidRPr="00595EF7" w:rsidRDefault="00595EF7" w:rsidP="00595EF7">
      <w:pPr>
        <w:pStyle w:val="Default"/>
        <w:ind w:right="-235"/>
        <w:jc w:val="both"/>
        <w:rPr>
          <w:rFonts w:ascii="Arial" w:hAnsi="Arial" w:cs="Arial"/>
          <w:color w:val="auto"/>
          <w:sz w:val="18"/>
          <w:szCs w:val="18"/>
        </w:rPr>
      </w:pPr>
    </w:p>
    <w:p w14:paraId="43F66B87" w14:textId="77777777" w:rsidR="00595EF7" w:rsidRPr="00595EF7" w:rsidRDefault="00595EF7" w:rsidP="00595EF7">
      <w:pPr>
        <w:pStyle w:val="Default"/>
        <w:ind w:right="-235"/>
        <w:jc w:val="both"/>
        <w:rPr>
          <w:rFonts w:ascii="Arial" w:hAnsi="Arial" w:cs="Arial"/>
          <w:color w:val="auto"/>
          <w:sz w:val="18"/>
          <w:szCs w:val="18"/>
        </w:rPr>
      </w:pPr>
      <w:r w:rsidRPr="00595EF7">
        <w:rPr>
          <w:rFonts w:ascii="Arial" w:hAnsi="Arial" w:cs="Arial"/>
          <w:color w:val="auto"/>
          <w:sz w:val="18"/>
          <w:szCs w:val="18"/>
        </w:rPr>
        <w:t>XVI.- Fungir como cuerpo consultivo de las Instituciones Oficiales y Privadas en la materia educativa de su competencia; y</w:t>
      </w:r>
    </w:p>
    <w:p w14:paraId="5F87F381" w14:textId="77777777" w:rsidR="00595EF7" w:rsidRPr="00595EF7" w:rsidRDefault="00595EF7" w:rsidP="00595EF7">
      <w:pPr>
        <w:pStyle w:val="Default"/>
        <w:ind w:right="-235"/>
        <w:jc w:val="both"/>
        <w:rPr>
          <w:rFonts w:ascii="Arial" w:hAnsi="Arial" w:cs="Arial"/>
          <w:color w:val="auto"/>
          <w:sz w:val="18"/>
          <w:szCs w:val="18"/>
        </w:rPr>
      </w:pPr>
    </w:p>
    <w:p w14:paraId="7D95976B" w14:textId="77777777" w:rsidR="00721501" w:rsidRPr="007E42D2" w:rsidRDefault="00595EF7" w:rsidP="00595EF7">
      <w:pPr>
        <w:pStyle w:val="Default"/>
        <w:spacing w:line="276" w:lineRule="auto"/>
        <w:ind w:right="-235"/>
        <w:jc w:val="both"/>
        <w:rPr>
          <w:rFonts w:ascii="Arial" w:hAnsi="Arial" w:cs="Arial"/>
          <w:sz w:val="18"/>
          <w:szCs w:val="18"/>
        </w:rPr>
      </w:pPr>
      <w:r w:rsidRPr="00595EF7">
        <w:rPr>
          <w:rFonts w:ascii="Arial" w:hAnsi="Arial" w:cs="Arial"/>
          <w:color w:val="auto"/>
          <w:sz w:val="18"/>
          <w:szCs w:val="18"/>
        </w:rPr>
        <w:t>XVII.- Las demás que resulten necesarias para el cumplimiento de su objeto.</w:t>
      </w:r>
    </w:p>
    <w:p w14:paraId="6EDED1DD" w14:textId="77777777" w:rsidR="00721501" w:rsidRPr="007E42D2" w:rsidRDefault="00721501" w:rsidP="00721501">
      <w:pPr>
        <w:pStyle w:val="Default"/>
        <w:spacing w:line="276" w:lineRule="auto"/>
        <w:ind w:right="-235"/>
        <w:jc w:val="both"/>
        <w:rPr>
          <w:rFonts w:ascii="Arial" w:hAnsi="Arial" w:cs="Arial"/>
          <w:sz w:val="18"/>
          <w:szCs w:val="18"/>
        </w:rPr>
      </w:pPr>
    </w:p>
    <w:p w14:paraId="7525FDFF" w14:textId="77777777" w:rsidR="00721501" w:rsidRPr="007E42D2" w:rsidRDefault="00721501" w:rsidP="00721501">
      <w:pPr>
        <w:pStyle w:val="Default"/>
        <w:spacing w:line="276" w:lineRule="auto"/>
        <w:ind w:right="-235"/>
        <w:jc w:val="both"/>
        <w:rPr>
          <w:rFonts w:ascii="Arial" w:hAnsi="Arial" w:cs="Arial"/>
          <w:b/>
          <w:bCs/>
          <w:sz w:val="18"/>
          <w:szCs w:val="18"/>
        </w:rPr>
      </w:pPr>
    </w:p>
    <w:p w14:paraId="4D8E236F" w14:textId="77777777" w:rsidR="00721501" w:rsidRPr="007E42D2" w:rsidRDefault="00721501" w:rsidP="00721501">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sz w:val="18"/>
          <w:szCs w:val="18"/>
        </w:rPr>
        <w:t xml:space="preserve">Ejercicio fiscal </w:t>
      </w:r>
    </w:p>
    <w:p w14:paraId="60F246A5" w14:textId="77777777" w:rsidR="00721501" w:rsidRPr="007E42D2" w:rsidRDefault="00721501" w:rsidP="00721501">
      <w:pPr>
        <w:pStyle w:val="Default"/>
        <w:spacing w:line="276" w:lineRule="auto"/>
        <w:ind w:right="-235"/>
        <w:jc w:val="both"/>
        <w:rPr>
          <w:rFonts w:ascii="Arial" w:hAnsi="Arial" w:cs="Arial"/>
          <w:sz w:val="18"/>
          <w:szCs w:val="18"/>
        </w:rPr>
      </w:pPr>
    </w:p>
    <w:p w14:paraId="498D024E" w14:textId="114E6319" w:rsid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 xml:space="preserve">Ejercicio fiscal </w:t>
      </w:r>
      <w:r w:rsidR="00985CFA">
        <w:rPr>
          <w:rFonts w:ascii="Arial" w:hAnsi="Arial" w:cs="Arial"/>
          <w:sz w:val="18"/>
          <w:szCs w:val="18"/>
        </w:rPr>
        <w:t>20</w:t>
      </w:r>
      <w:r w:rsidR="007D4895">
        <w:rPr>
          <w:rFonts w:ascii="Arial" w:hAnsi="Arial" w:cs="Arial"/>
          <w:sz w:val="18"/>
          <w:szCs w:val="18"/>
        </w:rPr>
        <w:t>20</w:t>
      </w:r>
      <w:r w:rsidRPr="00595EF7">
        <w:rPr>
          <w:rFonts w:ascii="Arial" w:hAnsi="Arial" w:cs="Arial"/>
          <w:sz w:val="18"/>
          <w:szCs w:val="18"/>
        </w:rPr>
        <w:t xml:space="preserve"> (periodo de </w:t>
      </w:r>
      <w:proofErr w:type="gramStart"/>
      <w:r w:rsidRPr="00595EF7">
        <w:rPr>
          <w:rFonts w:ascii="Arial" w:hAnsi="Arial" w:cs="Arial"/>
          <w:sz w:val="18"/>
          <w:szCs w:val="18"/>
        </w:rPr>
        <w:t>Enero</w:t>
      </w:r>
      <w:proofErr w:type="gramEnd"/>
      <w:r w:rsidRPr="00595EF7">
        <w:rPr>
          <w:rFonts w:ascii="Arial" w:hAnsi="Arial" w:cs="Arial"/>
          <w:sz w:val="18"/>
          <w:szCs w:val="18"/>
        </w:rPr>
        <w:t xml:space="preserve"> a </w:t>
      </w:r>
      <w:r w:rsidR="00B170AE">
        <w:rPr>
          <w:rFonts w:ascii="Arial" w:hAnsi="Arial" w:cs="Arial"/>
          <w:sz w:val="18"/>
          <w:szCs w:val="18"/>
        </w:rPr>
        <w:t>Dic</w:t>
      </w:r>
      <w:r w:rsidR="00EC3845">
        <w:rPr>
          <w:rFonts w:ascii="Arial" w:hAnsi="Arial" w:cs="Arial"/>
          <w:sz w:val="18"/>
          <w:szCs w:val="18"/>
        </w:rPr>
        <w:t>iembre</w:t>
      </w:r>
      <w:r w:rsidR="00886A13">
        <w:rPr>
          <w:rFonts w:ascii="Arial" w:hAnsi="Arial" w:cs="Arial"/>
          <w:sz w:val="18"/>
          <w:szCs w:val="18"/>
        </w:rPr>
        <w:t xml:space="preserve"> 20</w:t>
      </w:r>
      <w:r w:rsidR="007D4895">
        <w:rPr>
          <w:rFonts w:ascii="Arial" w:hAnsi="Arial" w:cs="Arial"/>
          <w:sz w:val="18"/>
          <w:szCs w:val="18"/>
        </w:rPr>
        <w:t>20</w:t>
      </w:r>
      <w:r w:rsidRPr="00595EF7">
        <w:rPr>
          <w:rFonts w:ascii="Arial" w:hAnsi="Arial" w:cs="Arial"/>
          <w:sz w:val="18"/>
          <w:szCs w:val="18"/>
        </w:rPr>
        <w:t xml:space="preserve">). </w:t>
      </w:r>
    </w:p>
    <w:p w14:paraId="419E466C" w14:textId="77777777" w:rsidR="00595EF7" w:rsidRDefault="00595EF7" w:rsidP="00595EF7">
      <w:pPr>
        <w:pStyle w:val="Default"/>
        <w:ind w:right="-235"/>
        <w:jc w:val="both"/>
        <w:rPr>
          <w:rFonts w:ascii="Arial" w:hAnsi="Arial" w:cs="Arial"/>
          <w:sz w:val="18"/>
          <w:szCs w:val="18"/>
        </w:rPr>
      </w:pPr>
    </w:p>
    <w:p w14:paraId="70008023" w14:textId="77777777"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d) Régimen jurídico </w:t>
      </w:r>
    </w:p>
    <w:p w14:paraId="5E40B5ED" w14:textId="77777777" w:rsidR="00595EF7" w:rsidRPr="00595EF7" w:rsidRDefault="00595EF7" w:rsidP="00595EF7">
      <w:pPr>
        <w:pStyle w:val="Default"/>
        <w:ind w:left="720" w:right="-235"/>
        <w:jc w:val="both"/>
        <w:rPr>
          <w:rFonts w:ascii="Arial" w:hAnsi="Arial" w:cs="Arial"/>
          <w:sz w:val="18"/>
          <w:szCs w:val="18"/>
        </w:rPr>
      </w:pPr>
    </w:p>
    <w:p w14:paraId="73901EA2" w14:textId="77777777" w:rsidR="00595EF7" w:rsidRP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 xml:space="preserve">Organismo público descentralizado de Poder Ejecutivo, con personalidad jurídica y patrimonio propios. </w:t>
      </w:r>
    </w:p>
    <w:p w14:paraId="7AF42F60" w14:textId="77777777" w:rsidR="00595EF7" w:rsidRPr="00595EF7" w:rsidRDefault="00595EF7" w:rsidP="00595EF7">
      <w:pPr>
        <w:pStyle w:val="Default"/>
        <w:ind w:left="720" w:right="-235"/>
        <w:jc w:val="both"/>
        <w:rPr>
          <w:rFonts w:ascii="Arial" w:hAnsi="Arial" w:cs="Arial"/>
          <w:sz w:val="18"/>
          <w:szCs w:val="18"/>
        </w:rPr>
      </w:pPr>
    </w:p>
    <w:p w14:paraId="04CA5FE7" w14:textId="77777777" w:rsidR="00595EF7" w:rsidRP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El Instituto Tlaxcalteca para la Educación de los Adultos se encuentra registrado ante la S.H.C.P. como Persona Moral con servicios no remunerados de asistencia social (Título III de la Ley de I.S.R).</w:t>
      </w:r>
    </w:p>
    <w:p w14:paraId="62CDD54B" w14:textId="77777777" w:rsidR="00595EF7" w:rsidRPr="00595EF7" w:rsidRDefault="00595EF7" w:rsidP="00595EF7">
      <w:pPr>
        <w:pStyle w:val="Default"/>
        <w:ind w:left="720" w:right="-235"/>
        <w:jc w:val="both"/>
        <w:rPr>
          <w:rFonts w:ascii="Arial" w:hAnsi="Arial" w:cs="Arial"/>
          <w:sz w:val="18"/>
          <w:szCs w:val="18"/>
        </w:rPr>
      </w:pPr>
    </w:p>
    <w:p w14:paraId="0D7C76D1" w14:textId="77777777" w:rsidR="00595EF7" w:rsidRPr="00595EF7" w:rsidRDefault="00595EF7" w:rsidP="00595EF7">
      <w:pPr>
        <w:pStyle w:val="Default"/>
        <w:ind w:right="-235"/>
        <w:jc w:val="both"/>
        <w:rPr>
          <w:rFonts w:ascii="Arial" w:hAnsi="Arial" w:cs="Arial"/>
          <w:sz w:val="18"/>
          <w:szCs w:val="18"/>
        </w:rPr>
      </w:pPr>
      <w:r w:rsidRPr="00595EF7">
        <w:rPr>
          <w:rFonts w:ascii="Arial" w:hAnsi="Arial" w:cs="Arial"/>
          <w:sz w:val="18"/>
          <w:szCs w:val="18"/>
        </w:rPr>
        <w:t xml:space="preserve">e) Consideraciones fiscales del ente: revelar el tipo de contribuciones que esté obligado a pagar o retener. </w:t>
      </w:r>
    </w:p>
    <w:p w14:paraId="7AE6D7DC" w14:textId="77777777" w:rsidR="00595EF7" w:rsidRPr="00595EF7" w:rsidRDefault="00595EF7" w:rsidP="00595EF7">
      <w:pPr>
        <w:pStyle w:val="Default"/>
        <w:ind w:left="720" w:right="-235"/>
        <w:jc w:val="both"/>
        <w:rPr>
          <w:rFonts w:ascii="Arial" w:hAnsi="Arial" w:cs="Arial"/>
          <w:sz w:val="18"/>
          <w:szCs w:val="18"/>
        </w:rPr>
      </w:pPr>
    </w:p>
    <w:p w14:paraId="04F40C03" w14:textId="77777777" w:rsidR="00595EF7" w:rsidRPr="00595EF7" w:rsidRDefault="00595EF7" w:rsidP="00595EF7">
      <w:pPr>
        <w:pStyle w:val="Default"/>
        <w:ind w:left="720" w:right="-235"/>
        <w:jc w:val="both"/>
        <w:rPr>
          <w:rFonts w:ascii="Arial" w:hAnsi="Arial" w:cs="Arial"/>
          <w:sz w:val="18"/>
          <w:szCs w:val="18"/>
        </w:rPr>
      </w:pPr>
      <w:r w:rsidRPr="00595EF7">
        <w:rPr>
          <w:rFonts w:ascii="Arial" w:hAnsi="Arial" w:cs="Arial"/>
          <w:sz w:val="18"/>
          <w:szCs w:val="18"/>
        </w:rPr>
        <w:t xml:space="preserve">El Instituto Tlaxcalteca para la Educación de los Adultos se ubica dentro de las personas morales a que se refiere al art. 95 y 102 de la L.I.S.R., por lo que de acuerdo con el art. 93 de la misma ley no se consideran como contribuyente del I.S.R. Pero tiene otras obligaciones como: </w:t>
      </w:r>
    </w:p>
    <w:p w14:paraId="217D7096" w14:textId="77777777" w:rsidR="00595EF7" w:rsidRDefault="00595EF7" w:rsidP="00595EF7">
      <w:pPr>
        <w:pStyle w:val="Default"/>
        <w:ind w:left="360" w:right="-235"/>
        <w:jc w:val="both"/>
        <w:rPr>
          <w:rFonts w:ascii="Arial" w:hAnsi="Arial" w:cs="Arial"/>
          <w:sz w:val="18"/>
          <w:szCs w:val="18"/>
        </w:rPr>
      </w:pPr>
    </w:p>
    <w:p w14:paraId="6454E562" w14:textId="77777777"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y pago provisional mensual de retenciones del Impuesto Sobre la Renta (ISR) por sueldos y salarios. </w:t>
      </w:r>
    </w:p>
    <w:p w14:paraId="27F0D7F7" w14:textId="77777777" w:rsidR="00595EF7" w:rsidRPr="00595EF7" w:rsidRDefault="00595EF7" w:rsidP="00595EF7">
      <w:pPr>
        <w:pStyle w:val="Default"/>
        <w:ind w:left="720" w:right="-235"/>
        <w:jc w:val="both"/>
        <w:rPr>
          <w:rFonts w:ascii="Arial" w:hAnsi="Arial" w:cs="Arial"/>
          <w:sz w:val="18"/>
          <w:szCs w:val="18"/>
        </w:rPr>
      </w:pPr>
    </w:p>
    <w:p w14:paraId="5D99DFC4" w14:textId="77777777"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anual del ISR donde se informe sobre los pagos y retenciones de servicios profesionales. </w:t>
      </w:r>
    </w:p>
    <w:p w14:paraId="732A5584" w14:textId="77777777" w:rsidR="00595EF7" w:rsidRPr="00595EF7" w:rsidRDefault="00595EF7" w:rsidP="00595EF7">
      <w:pPr>
        <w:pStyle w:val="Default"/>
        <w:ind w:left="720" w:right="-235"/>
        <w:jc w:val="both"/>
        <w:rPr>
          <w:rFonts w:ascii="Arial" w:hAnsi="Arial" w:cs="Arial"/>
          <w:sz w:val="18"/>
          <w:szCs w:val="18"/>
        </w:rPr>
      </w:pPr>
    </w:p>
    <w:p w14:paraId="3A1F97B3" w14:textId="77777777" w:rsidR="00595EF7" w:rsidRPr="00595EF7" w:rsidRDefault="00595EF7" w:rsidP="00595EF7">
      <w:pPr>
        <w:pStyle w:val="Default"/>
        <w:ind w:left="1418" w:right="-235" w:hanging="1058"/>
        <w:jc w:val="both"/>
        <w:rPr>
          <w:rFonts w:ascii="Arial" w:hAnsi="Arial" w:cs="Arial"/>
          <w:sz w:val="18"/>
          <w:szCs w:val="18"/>
        </w:rPr>
      </w:pPr>
      <w:r>
        <w:rPr>
          <w:rFonts w:ascii="Arial" w:hAnsi="Arial" w:cs="Arial"/>
          <w:sz w:val="18"/>
          <w:szCs w:val="18"/>
        </w:rPr>
        <w:tab/>
      </w:r>
      <w:r w:rsidRPr="00595EF7">
        <w:rPr>
          <w:rFonts w:ascii="Arial" w:hAnsi="Arial" w:cs="Arial"/>
          <w:sz w:val="18"/>
          <w:szCs w:val="18"/>
        </w:rPr>
        <w:t xml:space="preserve">Presentar la declaración anual donde se informe sobre las retenciones de los trabajadores que recibieron sueldos y salarios y trabajadores asimilados a salarios. </w:t>
      </w:r>
    </w:p>
    <w:p w14:paraId="690B737C" w14:textId="77777777" w:rsidR="00595EF7" w:rsidRDefault="00595EF7" w:rsidP="00595EF7">
      <w:pPr>
        <w:pStyle w:val="Default"/>
        <w:ind w:left="720" w:right="-235"/>
        <w:jc w:val="both"/>
        <w:rPr>
          <w:rFonts w:ascii="Arial" w:hAnsi="Arial" w:cs="Arial"/>
          <w:sz w:val="18"/>
          <w:szCs w:val="18"/>
        </w:rPr>
      </w:pPr>
    </w:p>
    <w:p w14:paraId="775A447E" w14:textId="77777777"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y pago provisional mensual del ISR por las retenciones realizadas a los trabajadores asimilados a salarios. </w:t>
      </w:r>
    </w:p>
    <w:p w14:paraId="5D029DEB" w14:textId="77777777" w:rsidR="00595EF7" w:rsidRPr="00595EF7" w:rsidRDefault="00595EF7" w:rsidP="00595EF7">
      <w:pPr>
        <w:pStyle w:val="Default"/>
        <w:ind w:left="720" w:right="-235"/>
        <w:jc w:val="both"/>
        <w:rPr>
          <w:rFonts w:ascii="Arial" w:hAnsi="Arial" w:cs="Arial"/>
          <w:sz w:val="18"/>
          <w:szCs w:val="18"/>
        </w:rPr>
      </w:pPr>
    </w:p>
    <w:p w14:paraId="48711BDC" w14:textId="77777777" w:rsidR="00595EF7" w:rsidRPr="00595EF7" w:rsidRDefault="00595EF7" w:rsidP="00595EF7">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informativa anual de Subsidio para el Empleo. </w:t>
      </w:r>
    </w:p>
    <w:p w14:paraId="36469872" w14:textId="77777777" w:rsidR="00595EF7" w:rsidRPr="00595EF7" w:rsidRDefault="00595EF7" w:rsidP="00595EF7">
      <w:pPr>
        <w:pStyle w:val="Default"/>
        <w:ind w:left="720" w:right="-235"/>
        <w:jc w:val="both"/>
        <w:rPr>
          <w:rFonts w:ascii="Arial" w:hAnsi="Arial" w:cs="Arial"/>
          <w:sz w:val="18"/>
          <w:szCs w:val="18"/>
        </w:rPr>
      </w:pPr>
    </w:p>
    <w:p w14:paraId="4D5318DE" w14:textId="77777777" w:rsidR="00721501" w:rsidRPr="007E42D2" w:rsidRDefault="00595EF7" w:rsidP="00595EF7">
      <w:pPr>
        <w:pStyle w:val="Default"/>
        <w:spacing w:line="276" w:lineRule="auto"/>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Presentar la declaración y pago provisional mensual del ISR por las retenciones realizadas por servicios profesionales.</w:t>
      </w:r>
    </w:p>
    <w:p w14:paraId="07EDD31F" w14:textId="77777777" w:rsidR="00721501" w:rsidRPr="007E42D2" w:rsidRDefault="00721501" w:rsidP="00595EF7">
      <w:pPr>
        <w:pStyle w:val="Default"/>
        <w:spacing w:line="276" w:lineRule="auto"/>
        <w:ind w:right="-235"/>
        <w:jc w:val="both"/>
        <w:rPr>
          <w:rFonts w:ascii="Arial" w:hAnsi="Arial" w:cs="Arial"/>
          <w:sz w:val="18"/>
          <w:szCs w:val="18"/>
        </w:rPr>
      </w:pPr>
    </w:p>
    <w:p w14:paraId="49C8F0E7" w14:textId="77777777" w:rsidR="00721501" w:rsidRDefault="00CC380F" w:rsidP="00721501">
      <w:pPr>
        <w:pStyle w:val="Default"/>
        <w:pageBreakBefore/>
        <w:spacing w:line="276" w:lineRule="auto"/>
        <w:ind w:right="-235"/>
        <w:rPr>
          <w:rFonts w:ascii="Arial" w:hAnsi="Arial" w:cs="Arial"/>
          <w:sz w:val="18"/>
          <w:szCs w:val="18"/>
        </w:rPr>
      </w:pPr>
      <w:r w:rsidRPr="00CC380F">
        <w:rPr>
          <w:rFonts w:ascii="Arial" w:hAnsi="Arial" w:cs="Arial"/>
          <w:bCs/>
          <w:noProof/>
          <w:sz w:val="18"/>
          <w:szCs w:val="18"/>
          <w:lang w:eastAsia="es-MX"/>
        </w:rPr>
        <w:lastRenderedPageBreak/>
        <w:drawing>
          <wp:anchor distT="0" distB="0" distL="114300" distR="114300" simplePos="0" relativeHeight="251662336" behindDoc="1" locked="0" layoutInCell="1" allowOverlap="1" wp14:anchorId="004C4033" wp14:editId="084791DD">
            <wp:simplePos x="0" y="0"/>
            <wp:positionH relativeFrom="margin">
              <wp:posOffset>685800</wp:posOffset>
            </wp:positionH>
            <wp:positionV relativeFrom="paragraph">
              <wp:posOffset>295275</wp:posOffset>
            </wp:positionV>
            <wp:extent cx="7760970" cy="4867275"/>
            <wp:effectExtent l="19050" t="0" r="0" b="0"/>
            <wp:wrapThrough wrapText="bothSides">
              <wp:wrapPolygon edited="0">
                <wp:start x="8112" y="0"/>
                <wp:lineTo x="8112" y="1353"/>
                <wp:lineTo x="9013" y="2705"/>
                <wp:lineTo x="9066" y="2874"/>
                <wp:lineTo x="10922" y="4058"/>
                <wp:lineTo x="7582" y="4227"/>
                <wp:lineTo x="7582" y="5411"/>
                <wp:lineTo x="2598" y="6002"/>
                <wp:lineTo x="2174" y="6171"/>
                <wp:lineTo x="2174" y="6763"/>
                <wp:lineTo x="530" y="7270"/>
                <wp:lineTo x="530" y="8116"/>
                <wp:lineTo x="53" y="9046"/>
                <wp:lineTo x="-53" y="9468"/>
                <wp:lineTo x="-53" y="20290"/>
                <wp:lineTo x="53" y="21050"/>
                <wp:lineTo x="106" y="21050"/>
                <wp:lineTo x="21473" y="21050"/>
                <wp:lineTo x="21526" y="21050"/>
                <wp:lineTo x="21579" y="20543"/>
                <wp:lineTo x="21579" y="7270"/>
                <wp:lineTo x="21367" y="7101"/>
                <wp:lineTo x="19776" y="6763"/>
                <wp:lineTo x="19882" y="6171"/>
                <wp:lineTo x="15057" y="5411"/>
                <wp:lineTo x="15163" y="4227"/>
                <wp:lineTo x="11664" y="4058"/>
                <wp:lineTo x="13520" y="2874"/>
                <wp:lineTo x="13573" y="2705"/>
                <wp:lineTo x="14474" y="1437"/>
                <wp:lineTo x="14474" y="0"/>
                <wp:lineTo x="8112"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P Transparencia_1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760970" cy="4867275"/>
                    </a:xfrm>
                    <a:prstGeom prst="rect">
                      <a:avLst/>
                    </a:prstGeom>
                    <a:noFill/>
                    <a:ln>
                      <a:noFill/>
                    </a:ln>
                  </pic:spPr>
                </pic:pic>
              </a:graphicData>
            </a:graphic>
          </wp:anchor>
        </w:drawing>
      </w:r>
      <w:r w:rsidR="00721501" w:rsidRPr="00CC380F">
        <w:rPr>
          <w:rFonts w:ascii="Arial" w:hAnsi="Arial" w:cs="Arial"/>
          <w:bCs/>
          <w:sz w:val="18"/>
          <w:szCs w:val="18"/>
        </w:rPr>
        <w:t>f)</w:t>
      </w:r>
      <w:r w:rsidR="00721501" w:rsidRPr="007E42D2">
        <w:rPr>
          <w:rFonts w:ascii="Arial" w:hAnsi="Arial" w:cs="Arial"/>
          <w:b/>
          <w:bCs/>
          <w:sz w:val="18"/>
          <w:szCs w:val="18"/>
        </w:rPr>
        <w:t xml:space="preserve"> </w:t>
      </w:r>
      <w:r w:rsidR="00721501" w:rsidRPr="007E42D2">
        <w:rPr>
          <w:rFonts w:ascii="Arial" w:hAnsi="Arial" w:cs="Arial"/>
          <w:sz w:val="18"/>
          <w:szCs w:val="18"/>
        </w:rPr>
        <w:t xml:space="preserve">Estructura organizacional básica.  </w:t>
      </w:r>
    </w:p>
    <w:p w14:paraId="3CCEA0F0" w14:textId="77777777" w:rsidR="00CC380F" w:rsidRPr="007E42D2" w:rsidRDefault="00CC380F" w:rsidP="00721501">
      <w:pPr>
        <w:pStyle w:val="Default"/>
        <w:pageBreakBefore/>
        <w:spacing w:line="276" w:lineRule="auto"/>
        <w:ind w:right="-235"/>
        <w:rPr>
          <w:rFonts w:ascii="Arial" w:hAnsi="Arial" w:cs="Arial"/>
          <w:sz w:val="18"/>
          <w:szCs w:val="18"/>
        </w:rPr>
      </w:pPr>
    </w:p>
    <w:p w14:paraId="5E00FAEA" w14:textId="77777777" w:rsidR="00721501" w:rsidRPr="007E42D2" w:rsidRDefault="00721501" w:rsidP="00721501">
      <w:pPr>
        <w:pStyle w:val="Default"/>
        <w:spacing w:line="276" w:lineRule="auto"/>
        <w:ind w:right="-235"/>
        <w:jc w:val="both"/>
        <w:rPr>
          <w:rFonts w:ascii="Arial" w:hAnsi="Arial" w:cs="Arial"/>
          <w:sz w:val="18"/>
          <w:szCs w:val="18"/>
        </w:rPr>
      </w:pPr>
      <w:r w:rsidRPr="00CC380F">
        <w:rPr>
          <w:rFonts w:ascii="Arial" w:hAnsi="Arial" w:cs="Arial"/>
          <w:bCs/>
          <w:sz w:val="18"/>
          <w:szCs w:val="18"/>
        </w:rPr>
        <w:t>g)</w:t>
      </w:r>
      <w:r w:rsidRPr="007E42D2">
        <w:rPr>
          <w:rFonts w:ascii="Arial" w:hAnsi="Arial" w:cs="Arial"/>
          <w:b/>
          <w:bCs/>
          <w:sz w:val="18"/>
          <w:szCs w:val="18"/>
        </w:rPr>
        <w:t xml:space="preserve"> </w:t>
      </w:r>
      <w:r w:rsidRPr="007E42D2">
        <w:rPr>
          <w:rFonts w:ascii="Arial" w:hAnsi="Arial" w:cs="Arial"/>
          <w:sz w:val="18"/>
          <w:szCs w:val="18"/>
        </w:rPr>
        <w:t>El Instituto Tlaxcalteca para la Educación de los Adultos no se encuentra en el caso de ser fideicomitente o fiduciario.</w:t>
      </w:r>
    </w:p>
    <w:p w14:paraId="66A6DA24" w14:textId="77777777" w:rsidR="00721501" w:rsidRPr="007E42D2" w:rsidRDefault="00721501" w:rsidP="00721501">
      <w:pPr>
        <w:pStyle w:val="Default"/>
        <w:spacing w:line="276" w:lineRule="auto"/>
        <w:ind w:right="-235"/>
        <w:jc w:val="both"/>
        <w:rPr>
          <w:rFonts w:ascii="Arial" w:hAnsi="Arial" w:cs="Arial"/>
          <w:b/>
          <w:bCs/>
          <w:sz w:val="18"/>
          <w:szCs w:val="18"/>
        </w:rPr>
      </w:pPr>
    </w:p>
    <w:p w14:paraId="2A0B8FF0" w14:textId="77777777" w:rsidR="00721501" w:rsidRPr="007E42D2" w:rsidRDefault="00721501" w:rsidP="00721501">
      <w:pPr>
        <w:pStyle w:val="Default"/>
        <w:spacing w:line="276" w:lineRule="auto"/>
        <w:ind w:right="-235"/>
        <w:jc w:val="both"/>
        <w:rPr>
          <w:rFonts w:ascii="Arial" w:hAnsi="Arial" w:cs="Arial"/>
          <w:b/>
          <w:bCs/>
          <w:sz w:val="18"/>
          <w:szCs w:val="18"/>
        </w:rPr>
      </w:pPr>
      <w:r w:rsidRPr="007E42D2">
        <w:rPr>
          <w:rFonts w:ascii="Arial" w:hAnsi="Arial" w:cs="Arial"/>
          <w:b/>
          <w:bCs/>
          <w:sz w:val="18"/>
          <w:szCs w:val="18"/>
        </w:rPr>
        <w:t>5.- Bases de preparación de los Estados Financieros.</w:t>
      </w:r>
    </w:p>
    <w:p w14:paraId="189DC381" w14:textId="77777777" w:rsidR="00721501" w:rsidRPr="00CC380F" w:rsidRDefault="00721501" w:rsidP="00721501">
      <w:pPr>
        <w:pStyle w:val="Default"/>
        <w:spacing w:line="276" w:lineRule="auto"/>
        <w:ind w:right="-235"/>
        <w:jc w:val="both"/>
        <w:rPr>
          <w:rFonts w:ascii="Arial" w:hAnsi="Arial" w:cs="Arial"/>
          <w:bCs/>
          <w:sz w:val="18"/>
          <w:szCs w:val="18"/>
        </w:rPr>
      </w:pPr>
    </w:p>
    <w:p w14:paraId="7761F31E" w14:textId="4DB3EDC1"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a) Se ha aplicado la normatividad emitida por el Consejo Nacional de Armonización Contable (CONAC) y sus disposiciones legales aplicables y la Ley General de Contabilidad Gubernamental (LGCG) para la emisión de los estados financieros contables. Asimismo, se ha observado el Código Financiero para el Estado de Tlaxcala y sus Municipios, (aplicables para el p</w:t>
      </w:r>
      <w:r>
        <w:rPr>
          <w:rFonts w:ascii="Arial" w:hAnsi="Arial" w:cs="Arial"/>
          <w:bCs/>
          <w:sz w:val="18"/>
          <w:szCs w:val="18"/>
        </w:rPr>
        <w:t xml:space="preserve">eriodo </w:t>
      </w:r>
      <w:r w:rsidR="00B170AE">
        <w:rPr>
          <w:rFonts w:ascii="Arial" w:hAnsi="Arial" w:cs="Arial"/>
          <w:bCs/>
          <w:sz w:val="18"/>
          <w:szCs w:val="18"/>
        </w:rPr>
        <w:t>e</w:t>
      </w:r>
      <w:r>
        <w:rPr>
          <w:rFonts w:ascii="Arial" w:hAnsi="Arial" w:cs="Arial"/>
          <w:bCs/>
          <w:sz w:val="18"/>
          <w:szCs w:val="18"/>
        </w:rPr>
        <w:t xml:space="preserve">nero a </w:t>
      </w:r>
      <w:r w:rsidR="00B170AE">
        <w:rPr>
          <w:rFonts w:ascii="Arial" w:hAnsi="Arial" w:cs="Arial"/>
          <w:bCs/>
          <w:sz w:val="18"/>
          <w:szCs w:val="18"/>
        </w:rPr>
        <w:t>dici</w:t>
      </w:r>
      <w:r w:rsidR="00EC3845">
        <w:rPr>
          <w:rFonts w:ascii="Arial" w:hAnsi="Arial" w:cs="Arial"/>
          <w:bCs/>
          <w:sz w:val="18"/>
          <w:szCs w:val="18"/>
        </w:rPr>
        <w:t>embre</w:t>
      </w:r>
      <w:r w:rsidR="00886A13">
        <w:rPr>
          <w:rFonts w:ascii="Arial" w:hAnsi="Arial" w:cs="Arial"/>
          <w:bCs/>
          <w:sz w:val="18"/>
          <w:szCs w:val="18"/>
        </w:rPr>
        <w:t xml:space="preserve"> </w:t>
      </w:r>
      <w:r w:rsidR="007D4895">
        <w:rPr>
          <w:rFonts w:ascii="Arial" w:hAnsi="Arial" w:cs="Arial"/>
          <w:bCs/>
          <w:sz w:val="18"/>
          <w:szCs w:val="18"/>
        </w:rPr>
        <w:t>2020</w:t>
      </w:r>
      <w:r>
        <w:rPr>
          <w:rFonts w:ascii="Arial" w:hAnsi="Arial" w:cs="Arial"/>
          <w:bCs/>
          <w:sz w:val="18"/>
          <w:szCs w:val="18"/>
        </w:rPr>
        <w:t>).</w:t>
      </w:r>
    </w:p>
    <w:p w14:paraId="03B8BC24" w14:textId="77777777" w:rsidR="00CC380F" w:rsidRPr="00CC380F" w:rsidRDefault="00CC380F" w:rsidP="00CC380F">
      <w:pPr>
        <w:pStyle w:val="Default"/>
        <w:ind w:right="-235"/>
        <w:jc w:val="both"/>
        <w:rPr>
          <w:rFonts w:ascii="Arial" w:hAnsi="Arial" w:cs="Arial"/>
          <w:bCs/>
          <w:sz w:val="18"/>
          <w:szCs w:val="18"/>
        </w:rPr>
      </w:pPr>
    </w:p>
    <w:p w14:paraId="61165677"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Todos los eventos que afectan económicamente al Instituto Tlaxcalteca para la Educación de los Adultos están cuantificados en términos monetarios y se registran al costo histórico. El costo histórico de las operaciones corresponde al monto erogado para su adquisición conforme a la documentación contable original justificativa y comprobatoria, </w:t>
      </w:r>
    </w:p>
    <w:p w14:paraId="31000593" w14:textId="77777777" w:rsidR="00CC380F" w:rsidRPr="00CC380F" w:rsidRDefault="00CC380F" w:rsidP="00CC380F">
      <w:pPr>
        <w:pStyle w:val="Default"/>
        <w:ind w:right="-235"/>
        <w:jc w:val="both"/>
        <w:rPr>
          <w:rFonts w:ascii="Arial" w:hAnsi="Arial" w:cs="Arial"/>
          <w:bCs/>
          <w:sz w:val="18"/>
          <w:szCs w:val="18"/>
        </w:rPr>
      </w:pPr>
    </w:p>
    <w:p w14:paraId="68E292EB"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c) Postulados básicos. La preparación de los Estados Financieros del Instituto Tlaxcalteca para la Educación de los Adultos, aplica los Postulados Básicos de sustancia económica, entes públicos, existencia permanente, revelación suficiente, importancia relativa, registro e integración presupuestaria, devengo contable del ingreso, valuación, dualidad económica y consistencia. </w:t>
      </w:r>
    </w:p>
    <w:p w14:paraId="572B3C41" w14:textId="77777777" w:rsidR="00CC380F" w:rsidRPr="00CC380F" w:rsidRDefault="00CC380F" w:rsidP="00CC380F">
      <w:pPr>
        <w:pStyle w:val="Default"/>
        <w:ind w:right="-235"/>
        <w:jc w:val="both"/>
        <w:rPr>
          <w:rFonts w:ascii="Arial" w:hAnsi="Arial" w:cs="Arial"/>
          <w:bCs/>
          <w:sz w:val="18"/>
          <w:szCs w:val="18"/>
        </w:rPr>
      </w:pPr>
    </w:p>
    <w:p w14:paraId="30B35F4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  No se aplica normatividad supletoria contablemente. </w:t>
      </w:r>
    </w:p>
    <w:p w14:paraId="6C5A320D" w14:textId="77777777" w:rsidR="00CC380F" w:rsidRPr="00CC380F" w:rsidRDefault="00CC380F" w:rsidP="00CC380F">
      <w:pPr>
        <w:pStyle w:val="Default"/>
        <w:ind w:right="-235"/>
        <w:jc w:val="both"/>
        <w:rPr>
          <w:rFonts w:ascii="Arial" w:hAnsi="Arial" w:cs="Arial"/>
          <w:bCs/>
          <w:sz w:val="18"/>
          <w:szCs w:val="18"/>
        </w:rPr>
      </w:pPr>
    </w:p>
    <w:p w14:paraId="5B3F1D13"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 En el Instituto Tlaxcalteca para la Educación de los Adultos se aplica la base </w:t>
      </w:r>
      <w:r w:rsidR="00766D79">
        <w:rPr>
          <w:rFonts w:ascii="Arial" w:hAnsi="Arial" w:cs="Arial"/>
          <w:bCs/>
          <w:sz w:val="18"/>
          <w:szCs w:val="18"/>
        </w:rPr>
        <w:t xml:space="preserve">de </w:t>
      </w:r>
      <w:r w:rsidRPr="00CC380F">
        <w:rPr>
          <w:rFonts w:ascii="Arial" w:hAnsi="Arial" w:cs="Arial"/>
          <w:bCs/>
          <w:sz w:val="18"/>
          <w:szCs w:val="18"/>
        </w:rPr>
        <w:t>devengado de acuerdo a la Ley de Contabilidad.</w:t>
      </w:r>
    </w:p>
    <w:p w14:paraId="1F4B4197" w14:textId="77777777" w:rsidR="00CC380F" w:rsidRPr="00CC380F" w:rsidRDefault="00CC380F" w:rsidP="00CC380F">
      <w:pPr>
        <w:pStyle w:val="Default"/>
        <w:ind w:right="-235"/>
        <w:jc w:val="both"/>
        <w:rPr>
          <w:rFonts w:ascii="Arial" w:hAnsi="Arial" w:cs="Arial"/>
          <w:bCs/>
          <w:sz w:val="18"/>
          <w:szCs w:val="18"/>
        </w:rPr>
      </w:pPr>
    </w:p>
    <w:p w14:paraId="251FEF9C"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Los ingresos se reconocen de acuerdo a los lineamientos emitidos por el Consejo Nacional de Armonización Contable (CONAC) y la Ley General de Contabilidad Gubernamental (LGCG) referente a las ministraciones de recursos federales, Ramo 33, Ramo 11 y Gobierno del Estado de Tlaxcala. Con la finalidad de atender a los momentos contables del ingreso se consideran los siguientes lineamientos de registro: </w:t>
      </w:r>
    </w:p>
    <w:p w14:paraId="5537FE86" w14:textId="77777777" w:rsidR="00CC380F" w:rsidRPr="00CC380F" w:rsidRDefault="00CC380F" w:rsidP="00CC380F">
      <w:pPr>
        <w:pStyle w:val="Default"/>
        <w:ind w:right="-235"/>
        <w:jc w:val="both"/>
        <w:rPr>
          <w:rFonts w:ascii="Arial" w:hAnsi="Arial" w:cs="Arial"/>
          <w:bCs/>
          <w:sz w:val="18"/>
          <w:szCs w:val="18"/>
        </w:rPr>
      </w:pPr>
    </w:p>
    <w:p w14:paraId="602C4620"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momento contable del ingreso estimado es el que se aprueba anualmente por la Junta de Gobierno de ITEA, e incluyen los ingresos, estatales y federales. </w:t>
      </w:r>
    </w:p>
    <w:p w14:paraId="1D8B2599" w14:textId="77777777" w:rsidR="00CC380F" w:rsidRPr="00CC380F" w:rsidRDefault="00CC380F" w:rsidP="00CC380F">
      <w:pPr>
        <w:pStyle w:val="Default"/>
        <w:ind w:right="-235"/>
        <w:jc w:val="both"/>
        <w:rPr>
          <w:rFonts w:ascii="Arial" w:hAnsi="Arial" w:cs="Arial"/>
          <w:bCs/>
          <w:sz w:val="18"/>
          <w:szCs w:val="18"/>
        </w:rPr>
      </w:pPr>
    </w:p>
    <w:p w14:paraId="7E2E2E9A"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ingreso modificado consiste en incorporar en su caso, las modificaciones al ingreso aprobado. </w:t>
      </w:r>
    </w:p>
    <w:p w14:paraId="4CBEC9D9" w14:textId="77777777" w:rsidR="00CC380F" w:rsidRPr="00CC380F" w:rsidRDefault="00CC380F" w:rsidP="00CC380F">
      <w:pPr>
        <w:pStyle w:val="Default"/>
        <w:ind w:right="-235"/>
        <w:jc w:val="both"/>
        <w:rPr>
          <w:rFonts w:ascii="Arial" w:hAnsi="Arial" w:cs="Arial"/>
          <w:bCs/>
          <w:sz w:val="18"/>
          <w:szCs w:val="18"/>
        </w:rPr>
      </w:pPr>
    </w:p>
    <w:p w14:paraId="4E526611"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ingreso devengado se realizará en los siguientes casos: </w:t>
      </w:r>
    </w:p>
    <w:p w14:paraId="4A228B04" w14:textId="77777777" w:rsidR="00CC380F" w:rsidRPr="00CC380F" w:rsidRDefault="00CC380F" w:rsidP="00CC380F">
      <w:pPr>
        <w:pStyle w:val="Default"/>
        <w:ind w:right="-235"/>
        <w:jc w:val="both"/>
        <w:rPr>
          <w:rFonts w:ascii="Arial" w:hAnsi="Arial" w:cs="Arial"/>
          <w:bCs/>
          <w:sz w:val="18"/>
          <w:szCs w:val="18"/>
        </w:rPr>
      </w:pPr>
    </w:p>
    <w:p w14:paraId="2A3C076C"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Cuando se cuente con los elementos que identifiquen el hecho imponible al deudor (acreditado o terceros) y que pueda establecer un importe, emitiendo un documento de pago, señalando fecha límite para realizarlo conforme a las leyes y lineamientos aplicables. </w:t>
      </w:r>
    </w:p>
    <w:p w14:paraId="5BF59472" w14:textId="77777777" w:rsidR="00CC380F" w:rsidRPr="00CC380F" w:rsidRDefault="00CC380F" w:rsidP="00CC380F">
      <w:pPr>
        <w:pStyle w:val="Default"/>
        <w:ind w:right="-235"/>
        <w:jc w:val="both"/>
        <w:rPr>
          <w:rFonts w:ascii="Arial" w:hAnsi="Arial" w:cs="Arial"/>
          <w:bCs/>
          <w:sz w:val="18"/>
          <w:szCs w:val="18"/>
        </w:rPr>
      </w:pPr>
    </w:p>
    <w:p w14:paraId="774CCDED"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Las participaciones se registrarán al momento de la percepción de los recursos. </w:t>
      </w:r>
    </w:p>
    <w:p w14:paraId="5884E83E" w14:textId="77777777" w:rsidR="00CC380F" w:rsidRPr="00CC380F" w:rsidRDefault="00CC380F" w:rsidP="00CC380F">
      <w:pPr>
        <w:pStyle w:val="Default"/>
        <w:ind w:right="-235"/>
        <w:jc w:val="both"/>
        <w:rPr>
          <w:rFonts w:ascii="Arial" w:hAnsi="Arial" w:cs="Arial"/>
          <w:bCs/>
          <w:sz w:val="18"/>
          <w:szCs w:val="18"/>
        </w:rPr>
      </w:pPr>
    </w:p>
    <w:p w14:paraId="7DCE892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Las aportaciones federales se registran conforme al calendario de pago. </w:t>
      </w:r>
    </w:p>
    <w:p w14:paraId="776FCBCB" w14:textId="77777777" w:rsidR="00CC380F" w:rsidRDefault="00CC380F" w:rsidP="00CC380F">
      <w:pPr>
        <w:pStyle w:val="Default"/>
        <w:ind w:right="-235"/>
        <w:jc w:val="both"/>
        <w:rPr>
          <w:rFonts w:ascii="Arial" w:hAnsi="Arial" w:cs="Arial"/>
          <w:bCs/>
          <w:sz w:val="18"/>
          <w:szCs w:val="18"/>
        </w:rPr>
      </w:pPr>
    </w:p>
    <w:p w14:paraId="16EA2110" w14:textId="77777777" w:rsidR="00CC380F" w:rsidRPr="00CC380F" w:rsidRDefault="00CC380F" w:rsidP="00CC380F">
      <w:pPr>
        <w:pStyle w:val="Default"/>
        <w:ind w:right="-235"/>
        <w:jc w:val="both"/>
        <w:rPr>
          <w:rFonts w:ascii="Arial" w:hAnsi="Arial" w:cs="Arial"/>
          <w:bCs/>
          <w:sz w:val="18"/>
          <w:szCs w:val="18"/>
        </w:rPr>
      </w:pPr>
    </w:p>
    <w:p w14:paraId="2F030F19"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Los egresos se encuentran reconocidos al costo histórico en el momento en que se devengan. </w:t>
      </w:r>
    </w:p>
    <w:p w14:paraId="2366F2F9" w14:textId="77777777" w:rsidR="00CC380F" w:rsidRPr="00CC380F" w:rsidRDefault="00CC380F" w:rsidP="00CC380F">
      <w:pPr>
        <w:pStyle w:val="Default"/>
        <w:ind w:right="-235"/>
        <w:jc w:val="both"/>
        <w:rPr>
          <w:rFonts w:ascii="Arial" w:hAnsi="Arial" w:cs="Arial"/>
          <w:bCs/>
          <w:sz w:val="18"/>
          <w:szCs w:val="18"/>
        </w:rPr>
      </w:pPr>
    </w:p>
    <w:p w14:paraId="3F83F979"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 </w:t>
      </w:r>
    </w:p>
    <w:p w14:paraId="45066794" w14:textId="77777777" w:rsidR="00CC380F" w:rsidRPr="00CC380F" w:rsidRDefault="00CC380F" w:rsidP="00CC380F">
      <w:pPr>
        <w:pStyle w:val="Default"/>
        <w:ind w:right="-235"/>
        <w:jc w:val="both"/>
        <w:rPr>
          <w:rFonts w:ascii="Arial" w:hAnsi="Arial" w:cs="Arial"/>
          <w:bCs/>
          <w:sz w:val="18"/>
          <w:szCs w:val="18"/>
        </w:rPr>
      </w:pPr>
    </w:p>
    <w:p w14:paraId="21C083B1"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w:t>
      </w:r>
      <w:r w:rsidRPr="00CC380F">
        <w:rPr>
          <w:rFonts w:ascii="Arial" w:hAnsi="Arial" w:cs="Arial"/>
          <w:bCs/>
          <w:sz w:val="18"/>
          <w:szCs w:val="18"/>
        </w:rPr>
        <w:tab/>
        <w:t xml:space="preserve">El gasto devengado, refleja el reconocimiento de obligaciones de pago a favor de terceros por la recepción de conformidad de bienes, servicios y obras oportunamente contratados. </w:t>
      </w:r>
    </w:p>
    <w:p w14:paraId="7188D87E" w14:textId="77777777" w:rsidR="00CC380F" w:rsidRPr="00CC380F" w:rsidRDefault="00CC380F" w:rsidP="00CC380F">
      <w:pPr>
        <w:pStyle w:val="Default"/>
        <w:ind w:right="-235"/>
        <w:jc w:val="both"/>
        <w:rPr>
          <w:rFonts w:ascii="Arial" w:hAnsi="Arial" w:cs="Arial"/>
          <w:bCs/>
          <w:sz w:val="18"/>
          <w:szCs w:val="18"/>
        </w:rPr>
      </w:pPr>
    </w:p>
    <w:p w14:paraId="29E646A5"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gasto pagado, refleja la cancelación total o parcial de las obligaciones de pago, que se concreta mediante el desembolso de efectivo o cualquier otro medio de pago. </w:t>
      </w:r>
    </w:p>
    <w:p w14:paraId="0230FEF0" w14:textId="77777777" w:rsidR="00CC380F" w:rsidRPr="00CC380F" w:rsidRDefault="00CC380F" w:rsidP="00CC380F">
      <w:pPr>
        <w:pStyle w:val="Default"/>
        <w:ind w:right="-235"/>
        <w:jc w:val="both"/>
        <w:rPr>
          <w:rFonts w:ascii="Arial" w:hAnsi="Arial" w:cs="Arial"/>
          <w:bCs/>
          <w:sz w:val="18"/>
          <w:szCs w:val="18"/>
        </w:rPr>
      </w:pPr>
    </w:p>
    <w:p w14:paraId="2CB0EC3E" w14:textId="77777777" w:rsidR="00CC380F" w:rsidRPr="00CC380F" w:rsidRDefault="00CC380F" w:rsidP="00CC380F">
      <w:pPr>
        <w:pStyle w:val="Default"/>
        <w:ind w:right="-235"/>
        <w:jc w:val="both"/>
        <w:rPr>
          <w:rFonts w:ascii="Arial" w:hAnsi="Arial" w:cs="Arial"/>
          <w:bCs/>
          <w:sz w:val="18"/>
          <w:szCs w:val="18"/>
        </w:rPr>
      </w:pPr>
    </w:p>
    <w:p w14:paraId="1A63E311" w14:textId="77777777" w:rsidR="00CC380F" w:rsidRPr="00CC380F" w:rsidRDefault="00CC380F" w:rsidP="00CC380F">
      <w:pPr>
        <w:pStyle w:val="Default"/>
        <w:ind w:right="-235"/>
        <w:jc w:val="both"/>
        <w:rPr>
          <w:rFonts w:ascii="Arial" w:hAnsi="Arial" w:cs="Arial"/>
          <w:bCs/>
          <w:sz w:val="18"/>
          <w:szCs w:val="18"/>
        </w:rPr>
      </w:pPr>
    </w:p>
    <w:p w14:paraId="050AB3CF"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6. Políticas de Contabilidad Significativas: </w:t>
      </w:r>
    </w:p>
    <w:p w14:paraId="06A0BB42" w14:textId="77777777" w:rsidR="00CC380F" w:rsidRPr="00CC380F" w:rsidRDefault="00CC380F" w:rsidP="00CC380F">
      <w:pPr>
        <w:pStyle w:val="Default"/>
        <w:ind w:right="-235"/>
        <w:jc w:val="both"/>
        <w:rPr>
          <w:rFonts w:ascii="Arial" w:hAnsi="Arial" w:cs="Arial"/>
          <w:bCs/>
          <w:sz w:val="18"/>
          <w:szCs w:val="18"/>
        </w:rPr>
      </w:pPr>
    </w:p>
    <w:p w14:paraId="5F3C8926"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La valuación de las operaciones del inventario inmobiliario se realiza mediante costeo directo, el registro de las cuentas de inventarios se realiza por medio de costos históricos, consistente en acumular los elementos del costo incurridos para la adquisición o producción de los bienes inmuebles. </w:t>
      </w:r>
    </w:p>
    <w:p w14:paraId="30665D28" w14:textId="77777777" w:rsidR="00CC380F" w:rsidRPr="00CC380F" w:rsidRDefault="00CC380F" w:rsidP="00CC380F">
      <w:pPr>
        <w:pStyle w:val="Default"/>
        <w:ind w:right="-235"/>
        <w:jc w:val="both"/>
        <w:rPr>
          <w:rFonts w:ascii="Arial" w:hAnsi="Arial" w:cs="Arial"/>
          <w:bCs/>
          <w:sz w:val="18"/>
          <w:szCs w:val="18"/>
        </w:rPr>
      </w:pPr>
    </w:p>
    <w:p w14:paraId="6210A604"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La realización de operaciones en el extranjero y de sus efectos en la información financiera gubernamental no aplica. </w:t>
      </w:r>
    </w:p>
    <w:p w14:paraId="33BDC32B" w14:textId="77777777" w:rsidR="00CC380F" w:rsidRPr="00CC380F" w:rsidRDefault="00CC380F" w:rsidP="00CC380F">
      <w:pPr>
        <w:pStyle w:val="Default"/>
        <w:ind w:right="-235"/>
        <w:jc w:val="both"/>
        <w:rPr>
          <w:rFonts w:ascii="Arial" w:hAnsi="Arial" w:cs="Arial"/>
          <w:bCs/>
          <w:sz w:val="18"/>
          <w:szCs w:val="18"/>
        </w:rPr>
      </w:pPr>
    </w:p>
    <w:p w14:paraId="11F508B0"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c) El Método de valuación de la inversión en acciones de Compañías subsidiarias no consolidadas y asociadas no aplica.</w:t>
      </w:r>
    </w:p>
    <w:p w14:paraId="005B0708" w14:textId="77777777" w:rsidR="00CC380F" w:rsidRPr="00CC380F" w:rsidRDefault="00CC380F" w:rsidP="00CC380F">
      <w:pPr>
        <w:pStyle w:val="Default"/>
        <w:ind w:right="-235"/>
        <w:jc w:val="both"/>
        <w:rPr>
          <w:rFonts w:ascii="Arial" w:hAnsi="Arial" w:cs="Arial"/>
          <w:bCs/>
          <w:sz w:val="18"/>
          <w:szCs w:val="18"/>
        </w:rPr>
      </w:pPr>
    </w:p>
    <w:p w14:paraId="3F296F2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 El Instituto Tlaxcalteca para la Educación de los Adultos cuenta con un inventario mobiliario, el cual está constituido por el mobiliario y equipo en propiedad del Instituto, en comodato y en comodato-renta; se controla contablemente a través del sistema de inventarios perpetuos, lo que permite registrar con cada ingreso realizado el costo al que fueron adquiridos. </w:t>
      </w:r>
    </w:p>
    <w:p w14:paraId="33995228" w14:textId="77777777" w:rsidR="00CC380F" w:rsidRPr="00CC380F" w:rsidRDefault="00CC380F" w:rsidP="00CC380F">
      <w:pPr>
        <w:pStyle w:val="Default"/>
        <w:ind w:right="-235"/>
        <w:jc w:val="both"/>
        <w:rPr>
          <w:rFonts w:ascii="Arial" w:hAnsi="Arial" w:cs="Arial"/>
          <w:bCs/>
          <w:sz w:val="18"/>
          <w:szCs w:val="18"/>
        </w:rPr>
      </w:pPr>
    </w:p>
    <w:p w14:paraId="1BF1927D" w14:textId="77777777" w:rsidR="00CC380F" w:rsidRPr="00CC380F" w:rsidRDefault="00CC380F" w:rsidP="00CC380F">
      <w:pPr>
        <w:pStyle w:val="Default"/>
        <w:ind w:right="-235"/>
        <w:jc w:val="both"/>
        <w:rPr>
          <w:rFonts w:ascii="Arial" w:hAnsi="Arial" w:cs="Arial"/>
          <w:bCs/>
          <w:sz w:val="18"/>
          <w:szCs w:val="18"/>
        </w:rPr>
      </w:pPr>
    </w:p>
    <w:p w14:paraId="1D8D839A"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 Existe un contrato colectivo de trabajo en donde se regulan las relaciones laborales entre el Instituto Tlaxcalteca para la Educación de los Adultos, normatividad aplicable a trabajadores sindicalizados y por otra parte los empleados de confianza y honorarios también regulan sus actividades basados en la Ley Federal del Trabajo</w:t>
      </w:r>
      <w:r w:rsidR="00A336A3">
        <w:rPr>
          <w:rFonts w:ascii="Arial" w:hAnsi="Arial" w:cs="Arial"/>
          <w:bCs/>
          <w:sz w:val="18"/>
          <w:szCs w:val="18"/>
        </w:rPr>
        <w:t xml:space="preserve"> y la </w:t>
      </w:r>
      <w:r w:rsidR="00A336A3" w:rsidRPr="00A336A3">
        <w:rPr>
          <w:rFonts w:ascii="Arial" w:hAnsi="Arial" w:cs="Arial"/>
          <w:bCs/>
          <w:sz w:val="18"/>
          <w:szCs w:val="18"/>
        </w:rPr>
        <w:t>Ley Laboral de los Servidores Públicos del Estado de Tlaxcala y sus Municipios</w:t>
      </w:r>
      <w:r w:rsidRPr="00CC380F">
        <w:rPr>
          <w:rFonts w:ascii="Arial" w:hAnsi="Arial" w:cs="Arial"/>
          <w:bCs/>
          <w:sz w:val="18"/>
          <w:szCs w:val="18"/>
        </w:rPr>
        <w:t>.</w:t>
      </w:r>
    </w:p>
    <w:p w14:paraId="58FE7BA4" w14:textId="77777777" w:rsidR="00CC380F" w:rsidRPr="00CC380F" w:rsidRDefault="00CC380F" w:rsidP="00CC380F">
      <w:pPr>
        <w:pStyle w:val="Default"/>
        <w:ind w:right="-235"/>
        <w:jc w:val="both"/>
        <w:rPr>
          <w:rFonts w:ascii="Arial" w:hAnsi="Arial" w:cs="Arial"/>
          <w:bCs/>
          <w:sz w:val="18"/>
          <w:szCs w:val="18"/>
        </w:rPr>
      </w:pPr>
    </w:p>
    <w:p w14:paraId="35DA3478"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f) En el Instituto Tlaxcalteca para la Educación de los Adultos no existen provisiones.</w:t>
      </w:r>
    </w:p>
    <w:p w14:paraId="0F1BBD08" w14:textId="77777777" w:rsidR="00CC380F" w:rsidRPr="00CC380F" w:rsidRDefault="00CC380F" w:rsidP="00CC380F">
      <w:pPr>
        <w:pStyle w:val="Default"/>
        <w:ind w:right="-235"/>
        <w:jc w:val="both"/>
        <w:rPr>
          <w:rFonts w:ascii="Arial" w:hAnsi="Arial" w:cs="Arial"/>
          <w:bCs/>
          <w:sz w:val="18"/>
          <w:szCs w:val="18"/>
        </w:rPr>
      </w:pPr>
    </w:p>
    <w:p w14:paraId="362FA2CA"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g) En el Instituto Tlaxcalteca para la Educación de los Adultos no existen reservas.</w:t>
      </w:r>
    </w:p>
    <w:p w14:paraId="5C84F2C7" w14:textId="77777777" w:rsidR="00CC380F" w:rsidRPr="00CC380F" w:rsidRDefault="00CC380F" w:rsidP="00CC380F">
      <w:pPr>
        <w:pStyle w:val="Default"/>
        <w:ind w:right="-235"/>
        <w:jc w:val="both"/>
        <w:rPr>
          <w:rFonts w:ascii="Arial" w:hAnsi="Arial" w:cs="Arial"/>
          <w:bCs/>
          <w:sz w:val="18"/>
          <w:szCs w:val="18"/>
        </w:rPr>
      </w:pPr>
    </w:p>
    <w:p w14:paraId="73629C80"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h) Cambios en políticas contables y corrección de errores junto con la revelación de los efectos que se tendrá en la información financiera del ente público, ya sea retrospectivos o prospectivos: </w:t>
      </w:r>
    </w:p>
    <w:p w14:paraId="291ABD08" w14:textId="77777777" w:rsidR="00CC380F" w:rsidRPr="00CC380F" w:rsidRDefault="00CC380F" w:rsidP="00CC380F">
      <w:pPr>
        <w:pStyle w:val="Default"/>
        <w:ind w:right="-235"/>
        <w:jc w:val="both"/>
        <w:rPr>
          <w:rFonts w:ascii="Arial" w:hAnsi="Arial" w:cs="Arial"/>
          <w:bCs/>
          <w:sz w:val="18"/>
          <w:szCs w:val="18"/>
        </w:rPr>
      </w:pPr>
    </w:p>
    <w:p w14:paraId="01D2B05B"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La adecuación de las estructuras contables y presupuestales en el marco de la armonización implican cambios en las políticas contables.</w:t>
      </w:r>
    </w:p>
    <w:p w14:paraId="0AC43B60" w14:textId="77777777" w:rsidR="00CC380F" w:rsidRPr="00CC380F" w:rsidRDefault="00CC380F" w:rsidP="00CC380F">
      <w:pPr>
        <w:pStyle w:val="Default"/>
        <w:ind w:right="-235"/>
        <w:jc w:val="both"/>
        <w:rPr>
          <w:rFonts w:ascii="Arial" w:hAnsi="Arial" w:cs="Arial"/>
          <w:bCs/>
          <w:sz w:val="18"/>
          <w:szCs w:val="18"/>
        </w:rPr>
      </w:pPr>
    </w:p>
    <w:p w14:paraId="25267AB7"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i) Reclasificaciones. </w:t>
      </w:r>
    </w:p>
    <w:p w14:paraId="503E88B9" w14:textId="77777777" w:rsidR="00CC380F" w:rsidRPr="00CC380F" w:rsidRDefault="00CC380F" w:rsidP="00CC380F">
      <w:pPr>
        <w:pStyle w:val="Default"/>
        <w:ind w:right="-235"/>
        <w:jc w:val="both"/>
        <w:rPr>
          <w:rFonts w:ascii="Arial" w:hAnsi="Arial" w:cs="Arial"/>
          <w:bCs/>
          <w:sz w:val="18"/>
          <w:szCs w:val="18"/>
        </w:rPr>
      </w:pPr>
    </w:p>
    <w:p w14:paraId="0A101264"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Se lleva a cabo el análisis para realizar la reclasificación de una o más cuentas, en donde el saldo de la cuenta a reclasificar, debe ser trasladado a otra cuenta, de forma tal que la presentación de los estados financieros y la información contable sea lo más adecuada y armonizada posible.</w:t>
      </w:r>
    </w:p>
    <w:p w14:paraId="259E34C9" w14:textId="77777777" w:rsidR="00CC380F" w:rsidRPr="00CC380F" w:rsidRDefault="00CC380F" w:rsidP="00CC380F">
      <w:pPr>
        <w:pStyle w:val="Default"/>
        <w:ind w:right="-235"/>
        <w:jc w:val="both"/>
        <w:rPr>
          <w:rFonts w:ascii="Arial" w:hAnsi="Arial" w:cs="Arial"/>
          <w:bCs/>
          <w:sz w:val="18"/>
          <w:szCs w:val="18"/>
        </w:rPr>
      </w:pPr>
    </w:p>
    <w:p w14:paraId="415BCE2C"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j) Depuración y cancelación de saldos: </w:t>
      </w:r>
    </w:p>
    <w:p w14:paraId="7A014EF0" w14:textId="77777777" w:rsidR="00CC380F" w:rsidRPr="00CC380F" w:rsidRDefault="00CC380F" w:rsidP="00CC380F">
      <w:pPr>
        <w:pStyle w:val="Default"/>
        <w:ind w:right="-235"/>
        <w:jc w:val="both"/>
        <w:rPr>
          <w:rFonts w:ascii="Arial" w:hAnsi="Arial" w:cs="Arial"/>
          <w:bCs/>
          <w:sz w:val="18"/>
          <w:szCs w:val="18"/>
        </w:rPr>
      </w:pPr>
    </w:p>
    <w:p w14:paraId="1F3E4F0A"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Se están realizando las actividades tendientes a depurar los saldos de cuentas por cobrar y cuentas por pagar.</w:t>
      </w:r>
    </w:p>
    <w:p w14:paraId="346B043B" w14:textId="77777777" w:rsidR="00CC380F" w:rsidRPr="00CC380F" w:rsidRDefault="00CC380F" w:rsidP="00CC380F">
      <w:pPr>
        <w:pStyle w:val="Default"/>
        <w:ind w:right="-235"/>
        <w:jc w:val="both"/>
        <w:rPr>
          <w:rFonts w:ascii="Arial" w:hAnsi="Arial" w:cs="Arial"/>
          <w:bCs/>
          <w:sz w:val="18"/>
          <w:szCs w:val="18"/>
        </w:rPr>
      </w:pPr>
    </w:p>
    <w:p w14:paraId="088E1DDC" w14:textId="77777777" w:rsidR="00CC380F" w:rsidRPr="00CC380F" w:rsidRDefault="00CC380F" w:rsidP="00CC380F">
      <w:pPr>
        <w:pStyle w:val="Default"/>
        <w:ind w:right="-235"/>
        <w:jc w:val="both"/>
        <w:rPr>
          <w:rFonts w:ascii="Arial" w:hAnsi="Arial" w:cs="Arial"/>
          <w:bCs/>
          <w:sz w:val="18"/>
          <w:szCs w:val="18"/>
        </w:rPr>
      </w:pPr>
    </w:p>
    <w:p w14:paraId="4F1C2CE7"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 xml:space="preserve">7. Posición en Moneda Extranjera y Protección por Riesgo Cambiario: </w:t>
      </w:r>
    </w:p>
    <w:p w14:paraId="06F38BAA" w14:textId="77777777" w:rsidR="00CC380F" w:rsidRPr="00CC380F" w:rsidRDefault="00CC380F" w:rsidP="00CC380F">
      <w:pPr>
        <w:pStyle w:val="Default"/>
        <w:ind w:right="-235"/>
        <w:jc w:val="both"/>
        <w:rPr>
          <w:rFonts w:ascii="Arial" w:hAnsi="Arial" w:cs="Arial"/>
          <w:bCs/>
          <w:sz w:val="18"/>
          <w:szCs w:val="18"/>
        </w:rPr>
      </w:pPr>
    </w:p>
    <w:p w14:paraId="4841A1E5"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No aplica Activos en moneda extranjera: </w:t>
      </w:r>
    </w:p>
    <w:p w14:paraId="18EC9D5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 </w:t>
      </w:r>
    </w:p>
    <w:p w14:paraId="485BFF1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No aplica Pasivos en moneda extranjera: </w:t>
      </w:r>
    </w:p>
    <w:p w14:paraId="0C553CCB" w14:textId="77777777" w:rsidR="00CC380F" w:rsidRPr="00CC380F" w:rsidRDefault="00CC380F" w:rsidP="00CC380F">
      <w:pPr>
        <w:pStyle w:val="Default"/>
        <w:ind w:right="-235"/>
        <w:jc w:val="both"/>
        <w:rPr>
          <w:rFonts w:ascii="Arial" w:hAnsi="Arial" w:cs="Arial"/>
          <w:bCs/>
          <w:sz w:val="18"/>
          <w:szCs w:val="18"/>
        </w:rPr>
      </w:pPr>
    </w:p>
    <w:p w14:paraId="3D09F6C3"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c) No aplica Posición en moneda extranjera: </w:t>
      </w:r>
    </w:p>
    <w:p w14:paraId="424C6776" w14:textId="77777777" w:rsidR="00CC380F" w:rsidRPr="00CC380F" w:rsidRDefault="00CC380F" w:rsidP="00CC380F">
      <w:pPr>
        <w:pStyle w:val="Default"/>
        <w:ind w:right="-235"/>
        <w:jc w:val="both"/>
        <w:rPr>
          <w:rFonts w:ascii="Arial" w:hAnsi="Arial" w:cs="Arial"/>
          <w:bCs/>
          <w:sz w:val="18"/>
          <w:szCs w:val="18"/>
        </w:rPr>
      </w:pPr>
    </w:p>
    <w:p w14:paraId="082A04CB"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d) No aplica tipo de cambio</w:t>
      </w:r>
    </w:p>
    <w:p w14:paraId="4F069AF0" w14:textId="77777777" w:rsidR="00CC380F" w:rsidRPr="00CC380F" w:rsidRDefault="00CC380F" w:rsidP="00CC380F">
      <w:pPr>
        <w:pStyle w:val="Default"/>
        <w:ind w:right="-235"/>
        <w:jc w:val="both"/>
        <w:rPr>
          <w:rFonts w:ascii="Arial" w:hAnsi="Arial" w:cs="Arial"/>
          <w:bCs/>
          <w:sz w:val="18"/>
          <w:szCs w:val="18"/>
        </w:rPr>
      </w:pPr>
    </w:p>
    <w:p w14:paraId="4B72D60F"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 No aplica equivalente en moneda nacional: </w:t>
      </w:r>
    </w:p>
    <w:p w14:paraId="0F8AD45F" w14:textId="77777777" w:rsidR="00CC380F" w:rsidRPr="00CC380F" w:rsidRDefault="00CC380F" w:rsidP="00CC380F">
      <w:pPr>
        <w:pStyle w:val="Default"/>
        <w:ind w:right="-235"/>
        <w:jc w:val="both"/>
        <w:rPr>
          <w:rFonts w:ascii="Arial" w:hAnsi="Arial" w:cs="Arial"/>
          <w:bCs/>
          <w:sz w:val="18"/>
          <w:szCs w:val="18"/>
        </w:rPr>
      </w:pPr>
    </w:p>
    <w:p w14:paraId="5C01E899" w14:textId="77777777" w:rsidR="00CC380F" w:rsidRPr="00CC380F" w:rsidRDefault="00CC380F" w:rsidP="00CC380F">
      <w:pPr>
        <w:pStyle w:val="Default"/>
        <w:ind w:right="-235"/>
        <w:jc w:val="both"/>
        <w:rPr>
          <w:rFonts w:ascii="Arial" w:hAnsi="Arial" w:cs="Arial"/>
          <w:bCs/>
          <w:sz w:val="18"/>
          <w:szCs w:val="18"/>
        </w:rPr>
      </w:pPr>
    </w:p>
    <w:p w14:paraId="5045163D"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8. Reporte Analítico del Activo: </w:t>
      </w:r>
    </w:p>
    <w:p w14:paraId="05730824" w14:textId="77777777" w:rsidR="00CC380F" w:rsidRPr="00CC380F" w:rsidRDefault="00CC380F" w:rsidP="00CC380F">
      <w:pPr>
        <w:pStyle w:val="Default"/>
        <w:ind w:right="-235"/>
        <w:jc w:val="both"/>
        <w:rPr>
          <w:rFonts w:ascii="Arial" w:hAnsi="Arial" w:cs="Arial"/>
          <w:bCs/>
          <w:sz w:val="18"/>
          <w:szCs w:val="18"/>
        </w:rPr>
      </w:pPr>
    </w:p>
    <w:p w14:paraId="290C08B9"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Debe mostrar la siguiente información: </w:t>
      </w:r>
    </w:p>
    <w:p w14:paraId="4DB76B29" w14:textId="77777777" w:rsidR="00CC380F" w:rsidRPr="00CC380F" w:rsidRDefault="00CC380F" w:rsidP="00CC380F">
      <w:pPr>
        <w:pStyle w:val="Default"/>
        <w:ind w:right="-235"/>
        <w:jc w:val="both"/>
        <w:rPr>
          <w:rFonts w:ascii="Arial" w:hAnsi="Arial" w:cs="Arial"/>
          <w:bCs/>
          <w:sz w:val="18"/>
          <w:szCs w:val="18"/>
        </w:rPr>
      </w:pPr>
    </w:p>
    <w:p w14:paraId="1096E874"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a) b) y c): La vida útil o porcentajes de depreciación, deterioro o amortización utilizados en los diferentes tipos de activos, los cambios en el porcentaje de depreciación o valor residual de los activos, así como el importe de los gastos capitalizados en el ejercicio, tanto financieros como de investigación y desarrollo no aplican en el Instituto Tlaxcalteca para la Educación de los Adultos.</w:t>
      </w:r>
    </w:p>
    <w:p w14:paraId="0860547B" w14:textId="77777777" w:rsidR="00CC380F" w:rsidRPr="00CC380F" w:rsidRDefault="00CC380F" w:rsidP="00CC380F">
      <w:pPr>
        <w:pStyle w:val="Default"/>
        <w:ind w:right="-235"/>
        <w:jc w:val="both"/>
        <w:rPr>
          <w:rFonts w:ascii="Arial" w:hAnsi="Arial" w:cs="Arial"/>
          <w:bCs/>
          <w:sz w:val="18"/>
          <w:szCs w:val="18"/>
        </w:rPr>
      </w:pPr>
    </w:p>
    <w:p w14:paraId="729597D8"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d) En el Instituto Tlaxcalteca para la Educación de los Adultos los riegos por tipo de cambio o tipo de interés de las inversiones financieras no aplican.</w:t>
      </w:r>
    </w:p>
    <w:p w14:paraId="6FEF3D44" w14:textId="77777777" w:rsidR="00CC380F" w:rsidRPr="00CC380F" w:rsidRDefault="00CC380F" w:rsidP="00CC380F">
      <w:pPr>
        <w:pStyle w:val="Default"/>
        <w:ind w:right="-235"/>
        <w:jc w:val="both"/>
        <w:rPr>
          <w:rFonts w:ascii="Arial" w:hAnsi="Arial" w:cs="Arial"/>
          <w:bCs/>
          <w:sz w:val="18"/>
          <w:szCs w:val="18"/>
        </w:rPr>
      </w:pPr>
    </w:p>
    <w:p w14:paraId="480E4706"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 En el Instituto Tlaxcalteca para la Educación de los Adultos </w:t>
      </w:r>
      <w:proofErr w:type="gramStart"/>
      <w:r w:rsidRPr="00CC380F">
        <w:rPr>
          <w:rFonts w:ascii="Arial" w:hAnsi="Arial" w:cs="Arial"/>
          <w:bCs/>
          <w:sz w:val="18"/>
          <w:szCs w:val="18"/>
        </w:rPr>
        <w:t>el valor activado en el ejercicio de los bienes construidos por la entidad no aplican</w:t>
      </w:r>
      <w:proofErr w:type="gramEnd"/>
      <w:r w:rsidRPr="00CC380F">
        <w:rPr>
          <w:rFonts w:ascii="Arial" w:hAnsi="Arial" w:cs="Arial"/>
          <w:bCs/>
          <w:sz w:val="18"/>
          <w:szCs w:val="18"/>
        </w:rPr>
        <w:t>.</w:t>
      </w:r>
    </w:p>
    <w:p w14:paraId="66C78B9E"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 </w:t>
      </w:r>
    </w:p>
    <w:p w14:paraId="10440F75"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g) El desmantelamiento de Activos, procedimientos, implicaciones, efectos contables no aplica en el Instituto Tlaxcalteca para la Educación de los Adultos.</w:t>
      </w:r>
    </w:p>
    <w:p w14:paraId="1E11B3ED" w14:textId="77777777" w:rsidR="00CC380F" w:rsidRPr="00CC380F" w:rsidRDefault="00CC380F" w:rsidP="00CC380F">
      <w:pPr>
        <w:pStyle w:val="Default"/>
        <w:ind w:right="-235"/>
        <w:jc w:val="both"/>
        <w:rPr>
          <w:rFonts w:ascii="Arial" w:hAnsi="Arial" w:cs="Arial"/>
          <w:bCs/>
          <w:sz w:val="18"/>
          <w:szCs w:val="18"/>
        </w:rPr>
      </w:pPr>
    </w:p>
    <w:p w14:paraId="28305C5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h) En cuanto a la administración de activos, la planeación con el objetivo de que el Instituto Tlaxcalteca para la Educación de los Adultos los utilice de manera más efectiva no Aplica. </w:t>
      </w:r>
    </w:p>
    <w:p w14:paraId="62528BBB" w14:textId="77777777" w:rsidR="00CC380F" w:rsidRPr="00CC380F" w:rsidRDefault="00CC380F" w:rsidP="00CC380F">
      <w:pPr>
        <w:pStyle w:val="Default"/>
        <w:ind w:right="-235"/>
        <w:jc w:val="both"/>
        <w:rPr>
          <w:rFonts w:ascii="Arial" w:hAnsi="Arial" w:cs="Arial"/>
          <w:bCs/>
          <w:sz w:val="18"/>
          <w:szCs w:val="18"/>
        </w:rPr>
      </w:pPr>
    </w:p>
    <w:p w14:paraId="13C76BE3"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Adicionalmente, se deben incluir las explicaciones de las principales variaciones en el activo, en cuadros comparativos como sigue: </w:t>
      </w:r>
    </w:p>
    <w:p w14:paraId="6482ACF8" w14:textId="77777777" w:rsidR="00CC380F" w:rsidRPr="00CC380F" w:rsidRDefault="00CC380F" w:rsidP="00CC380F">
      <w:pPr>
        <w:pStyle w:val="Default"/>
        <w:ind w:right="-235"/>
        <w:jc w:val="both"/>
        <w:rPr>
          <w:rFonts w:ascii="Arial" w:hAnsi="Arial" w:cs="Arial"/>
          <w:bCs/>
          <w:sz w:val="18"/>
          <w:szCs w:val="18"/>
        </w:rPr>
      </w:pPr>
    </w:p>
    <w:p w14:paraId="04328734"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a) Inversiones en valores: Actualmente en el Instituto Tlaxcalteca para la Educación de los Adultos se manejan cuentas de cheques productivas.</w:t>
      </w:r>
    </w:p>
    <w:p w14:paraId="217998F4" w14:textId="77777777" w:rsidR="00CC380F" w:rsidRPr="00CC380F" w:rsidRDefault="00CC380F" w:rsidP="00CC380F">
      <w:pPr>
        <w:pStyle w:val="Default"/>
        <w:ind w:right="-235"/>
        <w:jc w:val="both"/>
        <w:rPr>
          <w:rFonts w:ascii="Arial" w:hAnsi="Arial" w:cs="Arial"/>
          <w:bCs/>
          <w:sz w:val="18"/>
          <w:szCs w:val="18"/>
        </w:rPr>
      </w:pPr>
    </w:p>
    <w:p w14:paraId="50ED91EB"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Patrimonio de Organismos descentralizados de Control Presupuestario Indirecto no aplica. </w:t>
      </w:r>
    </w:p>
    <w:p w14:paraId="4503D6F0" w14:textId="77777777" w:rsidR="00CC380F" w:rsidRPr="00CC380F" w:rsidRDefault="00CC380F" w:rsidP="00CC380F">
      <w:pPr>
        <w:pStyle w:val="Default"/>
        <w:ind w:right="-235"/>
        <w:jc w:val="both"/>
        <w:rPr>
          <w:rFonts w:ascii="Arial" w:hAnsi="Arial" w:cs="Arial"/>
          <w:bCs/>
          <w:sz w:val="18"/>
          <w:szCs w:val="18"/>
        </w:rPr>
      </w:pPr>
    </w:p>
    <w:p w14:paraId="3F59849D"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c) Asimismo las inversiones en empresas de participación mayoritaria no aplican. </w:t>
      </w:r>
    </w:p>
    <w:p w14:paraId="68414330" w14:textId="77777777" w:rsidR="00CC380F" w:rsidRPr="00CC380F" w:rsidRDefault="00CC380F" w:rsidP="00CC380F">
      <w:pPr>
        <w:pStyle w:val="Default"/>
        <w:ind w:right="-235"/>
        <w:jc w:val="both"/>
        <w:rPr>
          <w:rFonts w:ascii="Arial" w:hAnsi="Arial" w:cs="Arial"/>
          <w:bCs/>
          <w:sz w:val="18"/>
          <w:szCs w:val="18"/>
        </w:rPr>
      </w:pPr>
    </w:p>
    <w:p w14:paraId="2ABB859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d) A su vez, las Inversiones en empresas de participación minoritaria no aplican.  </w:t>
      </w:r>
    </w:p>
    <w:p w14:paraId="76FFF28D" w14:textId="77777777" w:rsidR="00CC380F" w:rsidRPr="00CC380F" w:rsidRDefault="00CC380F" w:rsidP="00CC380F">
      <w:pPr>
        <w:pStyle w:val="Default"/>
        <w:ind w:right="-235"/>
        <w:jc w:val="both"/>
        <w:rPr>
          <w:rFonts w:ascii="Arial" w:hAnsi="Arial" w:cs="Arial"/>
          <w:bCs/>
          <w:sz w:val="18"/>
          <w:szCs w:val="18"/>
        </w:rPr>
      </w:pPr>
    </w:p>
    <w:p w14:paraId="5408F41F"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  En el Instituto Tlaxcalteca para la Educación de los Adultos no existe patrimonio de organismos descentralizados de control presupuestario directo.</w:t>
      </w:r>
    </w:p>
    <w:p w14:paraId="768A2E7D" w14:textId="77777777" w:rsidR="00CC380F" w:rsidRPr="00CC380F" w:rsidRDefault="00CC380F" w:rsidP="00CC380F">
      <w:pPr>
        <w:pStyle w:val="Default"/>
        <w:ind w:right="-235"/>
        <w:jc w:val="both"/>
        <w:rPr>
          <w:rFonts w:ascii="Arial" w:hAnsi="Arial" w:cs="Arial"/>
          <w:bCs/>
          <w:sz w:val="18"/>
          <w:szCs w:val="18"/>
        </w:rPr>
      </w:pPr>
    </w:p>
    <w:p w14:paraId="2E265A76" w14:textId="77777777" w:rsidR="00CC380F" w:rsidRPr="00CC380F" w:rsidRDefault="00CC380F" w:rsidP="00CC380F">
      <w:pPr>
        <w:pStyle w:val="Default"/>
        <w:ind w:right="-235"/>
        <w:jc w:val="both"/>
        <w:rPr>
          <w:rFonts w:ascii="Arial" w:hAnsi="Arial" w:cs="Arial"/>
          <w:bCs/>
          <w:sz w:val="18"/>
          <w:szCs w:val="18"/>
        </w:rPr>
      </w:pPr>
    </w:p>
    <w:p w14:paraId="10692DD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9. Fideicomisos, Mandatos y Análogos: </w:t>
      </w:r>
    </w:p>
    <w:p w14:paraId="2E0F99AC" w14:textId="77777777" w:rsidR="00CC380F" w:rsidRPr="00CC380F" w:rsidRDefault="00CC380F" w:rsidP="00CC380F">
      <w:pPr>
        <w:pStyle w:val="Default"/>
        <w:ind w:right="-235"/>
        <w:jc w:val="both"/>
        <w:rPr>
          <w:rFonts w:ascii="Arial" w:hAnsi="Arial" w:cs="Arial"/>
          <w:bCs/>
          <w:sz w:val="18"/>
          <w:szCs w:val="18"/>
        </w:rPr>
      </w:pPr>
    </w:p>
    <w:p w14:paraId="278720CB"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a) En el Instituto Tlaxcalteca para la Educación de los Adultos no existen fideicomisos.</w:t>
      </w:r>
    </w:p>
    <w:p w14:paraId="0601E643" w14:textId="77777777" w:rsidR="00CC380F" w:rsidRPr="00CC380F" w:rsidRDefault="00CC380F" w:rsidP="00CC380F">
      <w:pPr>
        <w:pStyle w:val="Default"/>
        <w:ind w:right="-235"/>
        <w:jc w:val="both"/>
        <w:rPr>
          <w:rFonts w:ascii="Arial" w:hAnsi="Arial" w:cs="Arial"/>
          <w:bCs/>
          <w:sz w:val="18"/>
          <w:szCs w:val="18"/>
        </w:rPr>
      </w:pPr>
    </w:p>
    <w:p w14:paraId="11EB5C01" w14:textId="77777777" w:rsidR="00CC380F" w:rsidRPr="00CC380F" w:rsidRDefault="00CC380F" w:rsidP="00CC380F">
      <w:pPr>
        <w:pStyle w:val="Default"/>
        <w:ind w:right="-235"/>
        <w:jc w:val="both"/>
        <w:rPr>
          <w:rFonts w:ascii="Arial" w:hAnsi="Arial" w:cs="Arial"/>
          <w:bCs/>
          <w:sz w:val="18"/>
          <w:szCs w:val="18"/>
        </w:rPr>
      </w:pPr>
    </w:p>
    <w:p w14:paraId="0D3546AB"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10. Reporte de la Recaudación: </w:t>
      </w:r>
    </w:p>
    <w:p w14:paraId="4FE4B95B" w14:textId="77777777" w:rsidR="00CC380F" w:rsidRPr="00CC380F" w:rsidRDefault="00CC380F" w:rsidP="00CC380F">
      <w:pPr>
        <w:pStyle w:val="Default"/>
        <w:ind w:right="-235"/>
        <w:jc w:val="both"/>
        <w:rPr>
          <w:rFonts w:ascii="Arial" w:hAnsi="Arial" w:cs="Arial"/>
          <w:bCs/>
          <w:sz w:val="18"/>
          <w:szCs w:val="18"/>
        </w:rPr>
      </w:pPr>
    </w:p>
    <w:p w14:paraId="14A7AA7C"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El análisis del comportamiento de la recaudación correspondiente al Instituto Tlaxcalteca para la Educación de los Adultos público, en forma separada los ingresos locales de los federales a continuación se detallan: </w:t>
      </w:r>
    </w:p>
    <w:p w14:paraId="7F440307" w14:textId="77777777" w:rsidR="00CC380F" w:rsidRPr="00CC380F" w:rsidRDefault="00CC380F" w:rsidP="00CC380F">
      <w:pPr>
        <w:pStyle w:val="Default"/>
        <w:ind w:right="-235"/>
        <w:jc w:val="both"/>
        <w:rPr>
          <w:rFonts w:ascii="Arial" w:hAnsi="Arial" w:cs="Arial"/>
          <w:bCs/>
          <w:sz w:val="18"/>
          <w:szCs w:val="18"/>
        </w:rPr>
      </w:pPr>
    </w:p>
    <w:p w14:paraId="6F351548"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Transferencias Estatales  </w:t>
      </w:r>
    </w:p>
    <w:p w14:paraId="627E612B" w14:textId="77777777" w:rsidR="00CC380F" w:rsidRPr="00CC380F" w:rsidRDefault="00CC380F" w:rsidP="00CC380F">
      <w:pPr>
        <w:pStyle w:val="Default"/>
        <w:ind w:right="-235"/>
        <w:jc w:val="both"/>
        <w:rPr>
          <w:rFonts w:ascii="Arial" w:hAnsi="Arial" w:cs="Arial"/>
          <w:bCs/>
          <w:sz w:val="18"/>
          <w:szCs w:val="18"/>
        </w:rPr>
      </w:pPr>
    </w:p>
    <w:p w14:paraId="25628BC2" w14:textId="3DCA8E5C" w:rsidR="00CC380F" w:rsidRPr="00CC380F" w:rsidRDefault="00C54CE8" w:rsidP="00C54CE8">
      <w:pPr>
        <w:pStyle w:val="Default"/>
        <w:tabs>
          <w:tab w:val="decimal" w:pos="2694"/>
        </w:tabs>
        <w:ind w:right="-235"/>
        <w:jc w:val="both"/>
        <w:rPr>
          <w:rFonts w:ascii="Arial" w:hAnsi="Arial" w:cs="Arial"/>
          <w:bCs/>
          <w:sz w:val="18"/>
          <w:szCs w:val="18"/>
        </w:rPr>
      </w:pPr>
      <w:r>
        <w:rPr>
          <w:rFonts w:ascii="Arial" w:hAnsi="Arial" w:cs="Arial"/>
          <w:bCs/>
          <w:sz w:val="18"/>
          <w:szCs w:val="18"/>
        </w:rPr>
        <w:t>Participaciones</w:t>
      </w:r>
      <w:r>
        <w:rPr>
          <w:rFonts w:ascii="Arial" w:hAnsi="Arial" w:cs="Arial"/>
          <w:bCs/>
          <w:sz w:val="18"/>
          <w:szCs w:val="18"/>
        </w:rPr>
        <w:tab/>
        <w:t xml:space="preserve">$   </w:t>
      </w:r>
      <w:r w:rsidR="008F0EEC">
        <w:rPr>
          <w:rFonts w:ascii="Arial" w:hAnsi="Arial" w:cs="Arial"/>
          <w:bCs/>
          <w:sz w:val="18"/>
          <w:szCs w:val="18"/>
        </w:rPr>
        <w:t>3,949,983.19</w:t>
      </w:r>
    </w:p>
    <w:p w14:paraId="509862D9" w14:textId="77777777" w:rsidR="00CC380F" w:rsidRPr="00CC380F" w:rsidRDefault="00CC380F" w:rsidP="00CC380F">
      <w:pPr>
        <w:pStyle w:val="Default"/>
        <w:ind w:right="-235"/>
        <w:jc w:val="both"/>
        <w:rPr>
          <w:rFonts w:ascii="Arial" w:hAnsi="Arial" w:cs="Arial"/>
          <w:bCs/>
          <w:sz w:val="18"/>
          <w:szCs w:val="18"/>
        </w:rPr>
      </w:pPr>
    </w:p>
    <w:p w14:paraId="011502B7"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Transferencias Federales</w:t>
      </w:r>
    </w:p>
    <w:p w14:paraId="1E15DED4" w14:textId="77777777" w:rsidR="00CC380F" w:rsidRPr="00CC380F" w:rsidRDefault="00CC380F" w:rsidP="00CC380F">
      <w:pPr>
        <w:pStyle w:val="Default"/>
        <w:ind w:right="-235"/>
        <w:jc w:val="both"/>
        <w:rPr>
          <w:rFonts w:ascii="Arial" w:hAnsi="Arial" w:cs="Arial"/>
          <w:bCs/>
          <w:sz w:val="18"/>
          <w:szCs w:val="18"/>
        </w:rPr>
      </w:pPr>
    </w:p>
    <w:p w14:paraId="48123545" w14:textId="6F4C3E28" w:rsidR="00CC380F" w:rsidRPr="00CC380F" w:rsidRDefault="00CC380F" w:rsidP="00C54CE8">
      <w:pPr>
        <w:pStyle w:val="Default"/>
        <w:tabs>
          <w:tab w:val="decimal" w:pos="2694"/>
        </w:tabs>
        <w:ind w:right="-235"/>
        <w:jc w:val="both"/>
        <w:rPr>
          <w:rFonts w:ascii="Arial" w:hAnsi="Arial" w:cs="Arial"/>
          <w:bCs/>
          <w:sz w:val="18"/>
          <w:szCs w:val="18"/>
        </w:rPr>
      </w:pPr>
      <w:r w:rsidRPr="00CC380F">
        <w:rPr>
          <w:rFonts w:ascii="Arial" w:hAnsi="Arial" w:cs="Arial"/>
          <w:bCs/>
          <w:sz w:val="18"/>
          <w:szCs w:val="18"/>
        </w:rPr>
        <w:t>Convenios</w:t>
      </w:r>
      <w:r w:rsidR="00C54CE8">
        <w:rPr>
          <w:rFonts w:ascii="Arial" w:hAnsi="Arial" w:cs="Arial"/>
          <w:bCs/>
          <w:sz w:val="18"/>
          <w:szCs w:val="18"/>
        </w:rPr>
        <w:tab/>
      </w:r>
      <w:r w:rsidRPr="00CC380F">
        <w:rPr>
          <w:rFonts w:ascii="Arial" w:hAnsi="Arial" w:cs="Arial"/>
          <w:bCs/>
          <w:sz w:val="18"/>
          <w:szCs w:val="18"/>
        </w:rPr>
        <w:t>$</w:t>
      </w:r>
      <w:r w:rsidR="00C54CE8">
        <w:rPr>
          <w:rFonts w:ascii="Arial" w:hAnsi="Arial" w:cs="Arial"/>
          <w:bCs/>
          <w:sz w:val="18"/>
          <w:szCs w:val="18"/>
        </w:rPr>
        <w:t xml:space="preserve">   </w:t>
      </w:r>
      <w:r w:rsidR="00714483">
        <w:rPr>
          <w:rFonts w:ascii="Arial" w:hAnsi="Arial" w:cs="Arial"/>
          <w:bCs/>
          <w:sz w:val="18"/>
          <w:szCs w:val="18"/>
        </w:rPr>
        <w:t>1,600,000.00</w:t>
      </w:r>
    </w:p>
    <w:p w14:paraId="7D927DA1" w14:textId="77777777" w:rsidR="00CC380F" w:rsidRPr="00CC380F" w:rsidRDefault="00CC380F" w:rsidP="00CC380F">
      <w:pPr>
        <w:pStyle w:val="Default"/>
        <w:ind w:right="-235"/>
        <w:jc w:val="both"/>
        <w:rPr>
          <w:rFonts w:ascii="Arial" w:hAnsi="Arial" w:cs="Arial"/>
          <w:bCs/>
          <w:sz w:val="18"/>
          <w:szCs w:val="18"/>
        </w:rPr>
      </w:pPr>
    </w:p>
    <w:p w14:paraId="77EA7EAC" w14:textId="452C61DF" w:rsidR="00CC380F" w:rsidRPr="00CC380F" w:rsidRDefault="00CC380F" w:rsidP="00C54CE8">
      <w:pPr>
        <w:pStyle w:val="Default"/>
        <w:tabs>
          <w:tab w:val="decimal" w:pos="2694"/>
        </w:tabs>
        <w:ind w:right="-235"/>
        <w:jc w:val="both"/>
        <w:rPr>
          <w:rFonts w:ascii="Arial" w:hAnsi="Arial" w:cs="Arial"/>
          <w:bCs/>
          <w:sz w:val="18"/>
          <w:szCs w:val="18"/>
        </w:rPr>
      </w:pPr>
      <w:r w:rsidRPr="00CC380F">
        <w:rPr>
          <w:rFonts w:ascii="Arial" w:hAnsi="Arial" w:cs="Arial"/>
          <w:bCs/>
          <w:sz w:val="18"/>
          <w:szCs w:val="18"/>
        </w:rPr>
        <w:t xml:space="preserve">Ramo </w:t>
      </w:r>
      <w:r w:rsidR="00F36321">
        <w:rPr>
          <w:rFonts w:ascii="Arial" w:hAnsi="Arial" w:cs="Arial"/>
          <w:bCs/>
          <w:sz w:val="18"/>
          <w:szCs w:val="18"/>
        </w:rPr>
        <w:t>33</w:t>
      </w:r>
      <w:r w:rsidR="00C54CE8">
        <w:rPr>
          <w:rFonts w:ascii="Arial" w:hAnsi="Arial" w:cs="Arial"/>
          <w:bCs/>
          <w:sz w:val="18"/>
          <w:szCs w:val="18"/>
        </w:rPr>
        <w:tab/>
      </w:r>
      <w:r w:rsidRPr="00CC380F">
        <w:rPr>
          <w:rFonts w:ascii="Arial" w:hAnsi="Arial" w:cs="Arial"/>
          <w:bCs/>
          <w:sz w:val="18"/>
          <w:szCs w:val="18"/>
        </w:rPr>
        <w:t>$</w:t>
      </w:r>
      <w:r w:rsidR="006816F0">
        <w:rPr>
          <w:rFonts w:ascii="Arial" w:hAnsi="Arial" w:cs="Arial"/>
          <w:bCs/>
          <w:sz w:val="18"/>
          <w:szCs w:val="18"/>
        </w:rPr>
        <w:t xml:space="preserve">  </w:t>
      </w:r>
      <w:r w:rsidRPr="00CC380F">
        <w:rPr>
          <w:rFonts w:ascii="Arial" w:hAnsi="Arial" w:cs="Arial"/>
          <w:bCs/>
          <w:sz w:val="18"/>
          <w:szCs w:val="18"/>
        </w:rPr>
        <w:t xml:space="preserve"> </w:t>
      </w:r>
      <w:r w:rsidR="00714483">
        <w:rPr>
          <w:rFonts w:ascii="Arial" w:hAnsi="Arial" w:cs="Arial"/>
          <w:bCs/>
          <w:sz w:val="18"/>
          <w:szCs w:val="18"/>
        </w:rPr>
        <w:t>12,588,203.00</w:t>
      </w:r>
    </w:p>
    <w:p w14:paraId="7A0A8FFB" w14:textId="77777777" w:rsidR="00CC380F" w:rsidRPr="00CC380F" w:rsidRDefault="00CC380F" w:rsidP="00CC380F">
      <w:pPr>
        <w:pStyle w:val="Default"/>
        <w:ind w:right="-235"/>
        <w:jc w:val="both"/>
        <w:rPr>
          <w:rFonts w:ascii="Arial" w:hAnsi="Arial" w:cs="Arial"/>
          <w:bCs/>
          <w:sz w:val="18"/>
          <w:szCs w:val="18"/>
        </w:rPr>
      </w:pPr>
    </w:p>
    <w:p w14:paraId="024287FF" w14:textId="77777777" w:rsidR="00CC380F" w:rsidRPr="00CC380F" w:rsidRDefault="00CC380F" w:rsidP="00CC380F">
      <w:pPr>
        <w:pStyle w:val="Default"/>
        <w:ind w:right="-235"/>
        <w:jc w:val="both"/>
        <w:rPr>
          <w:rFonts w:ascii="Arial" w:hAnsi="Arial" w:cs="Arial"/>
          <w:bCs/>
          <w:sz w:val="18"/>
          <w:szCs w:val="18"/>
        </w:rPr>
      </w:pPr>
    </w:p>
    <w:p w14:paraId="4D680632" w14:textId="77777777" w:rsidR="00CC380F" w:rsidRPr="00CC380F" w:rsidRDefault="00CC380F" w:rsidP="00CC380F">
      <w:pPr>
        <w:pStyle w:val="Default"/>
        <w:ind w:right="-235"/>
        <w:jc w:val="both"/>
        <w:rPr>
          <w:rFonts w:ascii="Arial" w:hAnsi="Arial" w:cs="Arial"/>
          <w:bCs/>
          <w:sz w:val="18"/>
          <w:szCs w:val="18"/>
        </w:rPr>
      </w:pPr>
    </w:p>
    <w:p w14:paraId="2AC28DBA"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11. Información sobre la Deuda y el Reporte Analítico de la Deuda: </w:t>
      </w:r>
    </w:p>
    <w:p w14:paraId="04C3CFB9" w14:textId="77777777" w:rsidR="00CC380F" w:rsidRPr="00CC380F" w:rsidRDefault="00CC380F" w:rsidP="00CC380F">
      <w:pPr>
        <w:pStyle w:val="Default"/>
        <w:ind w:right="-235"/>
        <w:jc w:val="both"/>
        <w:rPr>
          <w:rFonts w:ascii="Arial" w:hAnsi="Arial" w:cs="Arial"/>
          <w:bCs/>
          <w:sz w:val="18"/>
          <w:szCs w:val="18"/>
        </w:rPr>
      </w:pPr>
    </w:p>
    <w:p w14:paraId="670493B1"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El Instituto Tlaxcalteca para la Educación de lo</w:t>
      </w:r>
      <w:r w:rsidR="00E6698F">
        <w:rPr>
          <w:rFonts w:ascii="Arial" w:hAnsi="Arial" w:cs="Arial"/>
          <w:bCs/>
          <w:sz w:val="18"/>
          <w:szCs w:val="18"/>
        </w:rPr>
        <w:t>s Adultos no cuenta con deuda pú</w:t>
      </w:r>
      <w:r w:rsidRPr="00CC380F">
        <w:rPr>
          <w:rFonts w:ascii="Arial" w:hAnsi="Arial" w:cs="Arial"/>
          <w:bCs/>
          <w:sz w:val="18"/>
          <w:szCs w:val="18"/>
        </w:rPr>
        <w:t>blica actualmente.</w:t>
      </w:r>
    </w:p>
    <w:p w14:paraId="35A2E2F0" w14:textId="77777777" w:rsidR="00CC380F" w:rsidRPr="00CC380F" w:rsidRDefault="00CC380F" w:rsidP="00CC380F">
      <w:pPr>
        <w:pStyle w:val="Default"/>
        <w:ind w:right="-235"/>
        <w:jc w:val="both"/>
        <w:rPr>
          <w:rFonts w:ascii="Arial" w:hAnsi="Arial" w:cs="Arial"/>
          <w:bCs/>
          <w:sz w:val="18"/>
          <w:szCs w:val="18"/>
        </w:rPr>
      </w:pPr>
    </w:p>
    <w:p w14:paraId="44E8F1C5" w14:textId="77777777" w:rsidR="00CC380F" w:rsidRPr="00CC380F" w:rsidRDefault="00CC380F" w:rsidP="00CC380F">
      <w:pPr>
        <w:pStyle w:val="Default"/>
        <w:ind w:right="-235"/>
        <w:jc w:val="both"/>
        <w:rPr>
          <w:rFonts w:ascii="Arial" w:hAnsi="Arial" w:cs="Arial"/>
          <w:bCs/>
          <w:sz w:val="18"/>
          <w:szCs w:val="18"/>
        </w:rPr>
      </w:pPr>
    </w:p>
    <w:p w14:paraId="378FF194"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12. Calificaciones otorgadas: </w:t>
      </w:r>
    </w:p>
    <w:p w14:paraId="28337A88" w14:textId="77777777" w:rsidR="00CC380F" w:rsidRPr="00CC380F" w:rsidRDefault="00CC380F" w:rsidP="00CC380F">
      <w:pPr>
        <w:pStyle w:val="Default"/>
        <w:ind w:right="-235"/>
        <w:jc w:val="both"/>
        <w:rPr>
          <w:rFonts w:ascii="Arial" w:hAnsi="Arial" w:cs="Arial"/>
          <w:bCs/>
          <w:sz w:val="18"/>
          <w:szCs w:val="18"/>
        </w:rPr>
      </w:pPr>
    </w:p>
    <w:p w14:paraId="59F07CFC"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ha realizado transacciones que hayan sido sujetas a una calificación crediticia: </w:t>
      </w:r>
    </w:p>
    <w:p w14:paraId="79F7B79E" w14:textId="77777777" w:rsidR="00CC380F" w:rsidRPr="00CC380F" w:rsidRDefault="00CC380F" w:rsidP="00CC380F">
      <w:pPr>
        <w:pStyle w:val="Default"/>
        <w:ind w:right="-235"/>
        <w:jc w:val="both"/>
        <w:rPr>
          <w:rFonts w:ascii="Arial" w:hAnsi="Arial" w:cs="Arial"/>
          <w:bCs/>
          <w:sz w:val="18"/>
          <w:szCs w:val="18"/>
        </w:rPr>
      </w:pPr>
    </w:p>
    <w:p w14:paraId="2F4C3411" w14:textId="77777777" w:rsidR="00CC380F" w:rsidRPr="00CC380F" w:rsidRDefault="00CC380F" w:rsidP="00CC380F">
      <w:pPr>
        <w:pStyle w:val="Default"/>
        <w:ind w:right="-235"/>
        <w:jc w:val="both"/>
        <w:rPr>
          <w:rFonts w:ascii="Arial" w:hAnsi="Arial" w:cs="Arial"/>
          <w:bCs/>
          <w:sz w:val="18"/>
          <w:szCs w:val="18"/>
        </w:rPr>
      </w:pPr>
    </w:p>
    <w:p w14:paraId="197639D5"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13. Proceso de Mejora: </w:t>
      </w:r>
    </w:p>
    <w:p w14:paraId="6795690F" w14:textId="77777777" w:rsidR="00CC380F" w:rsidRPr="00CC380F" w:rsidRDefault="00CC380F" w:rsidP="00CC380F">
      <w:pPr>
        <w:pStyle w:val="Default"/>
        <w:ind w:right="-235"/>
        <w:jc w:val="both"/>
        <w:rPr>
          <w:rFonts w:ascii="Arial" w:hAnsi="Arial" w:cs="Arial"/>
          <w:bCs/>
          <w:sz w:val="18"/>
          <w:szCs w:val="18"/>
        </w:rPr>
      </w:pPr>
    </w:p>
    <w:p w14:paraId="69EC45A1"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a) Principales Políticas de control interno: </w:t>
      </w:r>
    </w:p>
    <w:p w14:paraId="283821E2" w14:textId="77777777" w:rsidR="00CC380F" w:rsidRPr="00CC380F" w:rsidRDefault="00CC380F" w:rsidP="00CC380F">
      <w:pPr>
        <w:pStyle w:val="Default"/>
        <w:ind w:right="-235"/>
        <w:jc w:val="both"/>
        <w:rPr>
          <w:rFonts w:ascii="Arial" w:hAnsi="Arial" w:cs="Arial"/>
          <w:bCs/>
          <w:sz w:val="18"/>
          <w:szCs w:val="18"/>
        </w:rPr>
      </w:pPr>
    </w:p>
    <w:p w14:paraId="0C78A044"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La adecuación de las estructuras contables y presupuestales, y en el marco de la armonización contable, implican la modernización a los procesos de registro en el sistema. </w:t>
      </w:r>
    </w:p>
    <w:p w14:paraId="0AA8F6EC"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b) Medidas de desempeño financiero, metas y alcance: </w:t>
      </w:r>
    </w:p>
    <w:p w14:paraId="0F156147" w14:textId="77777777" w:rsidR="00CC380F" w:rsidRPr="00CC380F" w:rsidRDefault="00CC380F" w:rsidP="00CC380F">
      <w:pPr>
        <w:pStyle w:val="Default"/>
        <w:ind w:right="-235"/>
        <w:jc w:val="both"/>
        <w:rPr>
          <w:rFonts w:ascii="Arial" w:hAnsi="Arial" w:cs="Arial"/>
          <w:bCs/>
          <w:sz w:val="18"/>
          <w:szCs w:val="18"/>
        </w:rPr>
      </w:pPr>
    </w:p>
    <w:p w14:paraId="42419458"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Se </w:t>
      </w:r>
      <w:r w:rsidR="00C774B8" w:rsidRPr="00CC380F">
        <w:rPr>
          <w:rFonts w:ascii="Arial" w:hAnsi="Arial" w:cs="Arial"/>
          <w:bCs/>
          <w:sz w:val="18"/>
          <w:szCs w:val="18"/>
        </w:rPr>
        <w:t>continúa</w:t>
      </w:r>
      <w:r w:rsidRPr="00CC380F">
        <w:rPr>
          <w:rFonts w:ascii="Arial" w:hAnsi="Arial" w:cs="Arial"/>
          <w:bCs/>
          <w:sz w:val="18"/>
          <w:szCs w:val="18"/>
        </w:rPr>
        <w:t xml:space="preserve"> trabajando en el cambio transcendental que es el proceso de armonización contable, para atender en tiempo y forma el nuevo esquema de la contabilidad gubernamental y generando así los beneficios en materia de información financiera, transparencia y rendición de cuentas. </w:t>
      </w:r>
    </w:p>
    <w:p w14:paraId="68E4CC9B" w14:textId="77777777" w:rsidR="00CC380F" w:rsidRPr="00CC380F" w:rsidRDefault="00CC380F" w:rsidP="00CC380F">
      <w:pPr>
        <w:pStyle w:val="Default"/>
        <w:ind w:right="-235"/>
        <w:jc w:val="both"/>
        <w:rPr>
          <w:rFonts w:ascii="Arial" w:hAnsi="Arial" w:cs="Arial"/>
          <w:bCs/>
          <w:sz w:val="18"/>
          <w:szCs w:val="18"/>
        </w:rPr>
      </w:pPr>
    </w:p>
    <w:p w14:paraId="2C8A51F1" w14:textId="77777777" w:rsidR="00CC380F" w:rsidRPr="00CC380F" w:rsidRDefault="00CC380F" w:rsidP="00CC380F">
      <w:pPr>
        <w:pStyle w:val="Default"/>
        <w:ind w:right="-235"/>
        <w:jc w:val="both"/>
        <w:rPr>
          <w:rFonts w:ascii="Arial" w:hAnsi="Arial" w:cs="Arial"/>
          <w:bCs/>
          <w:sz w:val="18"/>
          <w:szCs w:val="18"/>
        </w:rPr>
      </w:pPr>
    </w:p>
    <w:p w14:paraId="51765926"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14. Información por Segmentos: </w:t>
      </w:r>
    </w:p>
    <w:p w14:paraId="4446F566" w14:textId="77777777" w:rsidR="00CC380F" w:rsidRPr="00CC380F" w:rsidRDefault="00CC380F" w:rsidP="00CC380F">
      <w:pPr>
        <w:pStyle w:val="Default"/>
        <w:ind w:right="-235"/>
        <w:jc w:val="both"/>
        <w:rPr>
          <w:rFonts w:ascii="Arial" w:hAnsi="Arial" w:cs="Arial"/>
          <w:bCs/>
          <w:sz w:val="18"/>
          <w:szCs w:val="18"/>
        </w:rPr>
      </w:pPr>
    </w:p>
    <w:p w14:paraId="714127CA"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cuenta con operaciones financieras de manera segmentada </w:t>
      </w:r>
    </w:p>
    <w:p w14:paraId="6BA05323" w14:textId="77777777" w:rsidR="00CC380F" w:rsidRPr="00CC380F" w:rsidRDefault="00CC380F" w:rsidP="00CC380F">
      <w:pPr>
        <w:pStyle w:val="Default"/>
        <w:ind w:right="-235"/>
        <w:jc w:val="both"/>
        <w:rPr>
          <w:rFonts w:ascii="Arial" w:hAnsi="Arial" w:cs="Arial"/>
          <w:bCs/>
          <w:sz w:val="18"/>
          <w:szCs w:val="18"/>
        </w:rPr>
      </w:pPr>
    </w:p>
    <w:p w14:paraId="00A24F25"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lastRenderedPageBreak/>
        <w:t xml:space="preserve">15. Eventos Posteriores al Cierre: </w:t>
      </w:r>
    </w:p>
    <w:p w14:paraId="6DC2E16E" w14:textId="77777777" w:rsidR="00CC380F" w:rsidRPr="00CC380F" w:rsidRDefault="00CC380F" w:rsidP="00CC380F">
      <w:pPr>
        <w:pStyle w:val="Default"/>
        <w:ind w:right="-235"/>
        <w:jc w:val="both"/>
        <w:rPr>
          <w:rFonts w:ascii="Arial" w:hAnsi="Arial" w:cs="Arial"/>
          <w:bCs/>
          <w:sz w:val="18"/>
          <w:szCs w:val="18"/>
        </w:rPr>
      </w:pPr>
    </w:p>
    <w:p w14:paraId="684F327E"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existe evidencia sobre eventos que le afectan económicamente y que no se conocían a la fecha de cierre. </w:t>
      </w:r>
    </w:p>
    <w:p w14:paraId="415108FB" w14:textId="77777777" w:rsidR="00CC380F" w:rsidRPr="00CC380F" w:rsidRDefault="00CC380F" w:rsidP="00CC380F">
      <w:pPr>
        <w:pStyle w:val="Default"/>
        <w:ind w:right="-235"/>
        <w:jc w:val="both"/>
        <w:rPr>
          <w:rFonts w:ascii="Arial" w:hAnsi="Arial" w:cs="Arial"/>
          <w:bCs/>
          <w:sz w:val="18"/>
          <w:szCs w:val="18"/>
        </w:rPr>
      </w:pPr>
    </w:p>
    <w:p w14:paraId="5CD24CAA"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16. Partes Relacionadas: </w:t>
      </w:r>
    </w:p>
    <w:p w14:paraId="0AD3FA8A" w14:textId="77777777" w:rsidR="00CC380F" w:rsidRPr="00CC380F" w:rsidRDefault="00CC380F" w:rsidP="00CC380F">
      <w:pPr>
        <w:pStyle w:val="Default"/>
        <w:ind w:right="-235"/>
        <w:jc w:val="both"/>
        <w:rPr>
          <w:rFonts w:ascii="Arial" w:hAnsi="Arial" w:cs="Arial"/>
          <w:bCs/>
          <w:sz w:val="18"/>
          <w:szCs w:val="18"/>
        </w:rPr>
      </w:pPr>
    </w:p>
    <w:p w14:paraId="013F3F60"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En el Instituto Tlaxcalteca para la Educación de los Adultos no existen partes relacionadas que pudieran ejercer influencia significativa sobre la toma de decisiones financieras y operativas. </w:t>
      </w:r>
    </w:p>
    <w:p w14:paraId="726F0509" w14:textId="77777777" w:rsidR="00CC380F" w:rsidRPr="00CC380F" w:rsidRDefault="00CC380F" w:rsidP="00CC380F">
      <w:pPr>
        <w:pStyle w:val="Default"/>
        <w:ind w:right="-235"/>
        <w:jc w:val="both"/>
        <w:rPr>
          <w:rFonts w:ascii="Arial" w:hAnsi="Arial" w:cs="Arial"/>
          <w:bCs/>
          <w:sz w:val="18"/>
          <w:szCs w:val="18"/>
        </w:rPr>
      </w:pPr>
    </w:p>
    <w:p w14:paraId="28212F32" w14:textId="77777777" w:rsidR="00CC380F" w:rsidRPr="00CC380F" w:rsidRDefault="00CC380F" w:rsidP="00CC380F">
      <w:pPr>
        <w:pStyle w:val="Default"/>
        <w:ind w:right="-235"/>
        <w:jc w:val="both"/>
        <w:rPr>
          <w:rFonts w:ascii="Arial" w:hAnsi="Arial" w:cs="Arial"/>
          <w:bCs/>
          <w:sz w:val="18"/>
          <w:szCs w:val="18"/>
        </w:rPr>
      </w:pPr>
      <w:r w:rsidRPr="00CC380F">
        <w:rPr>
          <w:rFonts w:ascii="Arial" w:hAnsi="Arial" w:cs="Arial"/>
          <w:bCs/>
          <w:sz w:val="18"/>
          <w:szCs w:val="18"/>
        </w:rPr>
        <w:t xml:space="preserve">17. Responsabilidad sobre la presentación razonable de los Estados Financieros: </w:t>
      </w:r>
    </w:p>
    <w:p w14:paraId="1C1C5906" w14:textId="77777777" w:rsidR="00CC380F" w:rsidRPr="00CC380F" w:rsidRDefault="00CC380F" w:rsidP="00CC380F">
      <w:pPr>
        <w:pStyle w:val="Default"/>
        <w:ind w:right="-235"/>
        <w:jc w:val="both"/>
        <w:rPr>
          <w:rFonts w:ascii="Arial" w:hAnsi="Arial" w:cs="Arial"/>
          <w:bCs/>
          <w:sz w:val="18"/>
          <w:szCs w:val="18"/>
        </w:rPr>
      </w:pPr>
    </w:p>
    <w:p w14:paraId="068FF614" w14:textId="77777777" w:rsidR="00721501" w:rsidRPr="007E42D2" w:rsidRDefault="00CC380F" w:rsidP="00CC380F">
      <w:pPr>
        <w:pStyle w:val="Default"/>
        <w:spacing w:line="276" w:lineRule="auto"/>
        <w:ind w:right="-235"/>
        <w:jc w:val="both"/>
        <w:rPr>
          <w:rFonts w:ascii="Arial" w:hAnsi="Arial" w:cs="Arial"/>
          <w:sz w:val="18"/>
          <w:szCs w:val="18"/>
        </w:rPr>
      </w:pPr>
      <w:r w:rsidRPr="00CC380F">
        <w:rPr>
          <w:rFonts w:ascii="Arial" w:hAnsi="Arial" w:cs="Arial"/>
          <w:bCs/>
          <w:sz w:val="18"/>
          <w:szCs w:val="18"/>
        </w:rPr>
        <w:t xml:space="preserve"> “Bajo protesta de decir verdad declaramos que los Estados Financieros y sus notas, son razonablemente correctos y son responsabilidad del emisor”.</w:t>
      </w:r>
    </w:p>
    <w:p w14:paraId="5BE007E6" w14:textId="77777777" w:rsidR="00721501" w:rsidRPr="007E42D2" w:rsidRDefault="00721501" w:rsidP="00721501">
      <w:pPr>
        <w:pStyle w:val="Texto"/>
        <w:spacing w:after="0" w:line="276" w:lineRule="auto"/>
        <w:rPr>
          <w:szCs w:val="18"/>
          <w:lang w:val="es-MX"/>
        </w:rPr>
      </w:pPr>
    </w:p>
    <w:p w14:paraId="3C9BE9F5" w14:textId="77777777" w:rsidR="00721501" w:rsidRDefault="00721501" w:rsidP="00721501">
      <w:pPr>
        <w:pStyle w:val="Texto"/>
        <w:spacing w:after="0" w:line="276" w:lineRule="auto"/>
        <w:rPr>
          <w:szCs w:val="18"/>
        </w:rPr>
      </w:pPr>
    </w:p>
    <w:p w14:paraId="446B28F5" w14:textId="77777777" w:rsidR="00CC380F" w:rsidRDefault="00CC380F" w:rsidP="00721501">
      <w:pPr>
        <w:pStyle w:val="Texto"/>
        <w:spacing w:after="0" w:line="276" w:lineRule="auto"/>
        <w:rPr>
          <w:szCs w:val="18"/>
        </w:rPr>
      </w:pPr>
    </w:p>
    <w:p w14:paraId="5E0F0762" w14:textId="77777777" w:rsidR="00CC380F" w:rsidRPr="007E42D2" w:rsidRDefault="00CC380F" w:rsidP="00721501">
      <w:pPr>
        <w:pStyle w:val="Texto"/>
        <w:spacing w:after="0" w:line="276" w:lineRule="auto"/>
        <w:rPr>
          <w:szCs w:val="18"/>
        </w:rPr>
      </w:pPr>
    </w:p>
    <w:p w14:paraId="019B2647" w14:textId="77777777" w:rsidR="00721501" w:rsidRPr="007E42D2" w:rsidRDefault="00721501" w:rsidP="00721501">
      <w:pPr>
        <w:pStyle w:val="Texto"/>
        <w:spacing w:after="0" w:line="276" w:lineRule="auto"/>
        <w:rPr>
          <w:szCs w:val="18"/>
        </w:rPr>
      </w:pPr>
    </w:p>
    <w:p w14:paraId="381825F2" w14:textId="77777777" w:rsidR="00721501" w:rsidRPr="007E42D2" w:rsidRDefault="0042099F" w:rsidP="00721501">
      <w:pPr>
        <w:pStyle w:val="Texto"/>
        <w:spacing w:after="0" w:line="276" w:lineRule="auto"/>
        <w:rPr>
          <w:szCs w:val="18"/>
        </w:rPr>
      </w:pPr>
      <w:r>
        <w:rPr>
          <w:noProof/>
          <w:szCs w:val="18"/>
        </w:rPr>
        <w:object w:dxaOrig="1440" w:dyaOrig="1440" w14:anchorId="3CB37AA4">
          <v:shape id="_x0000_s1061" type="#_x0000_t75" style="position:absolute;left:0;text-align:left;margin-left:3.75pt;margin-top:17.75pt;width:652.1pt;height:43.2pt;z-index:251660288">
            <v:imagedata r:id="rId20" o:title=""/>
            <w10:wrap type="topAndBottom"/>
          </v:shape>
          <o:OLEObject Type="Embed" ProgID="Excel.Sheet.12" ShapeID="_x0000_s1061" DrawAspect="Content" ObjectID="_1647765145" r:id="rId21"/>
        </w:object>
      </w:r>
    </w:p>
    <w:p w14:paraId="11747894" w14:textId="77777777" w:rsidR="00721501" w:rsidRPr="007E42D2" w:rsidRDefault="00721501" w:rsidP="00721501">
      <w:pPr>
        <w:pStyle w:val="Texto"/>
        <w:spacing w:after="0" w:line="276" w:lineRule="auto"/>
        <w:rPr>
          <w:szCs w:val="18"/>
        </w:rPr>
      </w:pPr>
    </w:p>
    <w:p w14:paraId="3C428588" w14:textId="77777777" w:rsidR="00721501" w:rsidRPr="007E42D2" w:rsidRDefault="00721501" w:rsidP="00721501">
      <w:pPr>
        <w:pStyle w:val="Texto"/>
        <w:spacing w:after="0" w:line="276" w:lineRule="auto"/>
        <w:rPr>
          <w:szCs w:val="18"/>
        </w:rPr>
      </w:pPr>
    </w:p>
    <w:p w14:paraId="5F097BFC" w14:textId="77777777" w:rsidR="00721501" w:rsidRPr="007E42D2" w:rsidRDefault="00721501" w:rsidP="00721501">
      <w:pPr>
        <w:pStyle w:val="Texto"/>
        <w:spacing w:after="0" w:line="276" w:lineRule="auto"/>
        <w:rPr>
          <w:szCs w:val="18"/>
        </w:rPr>
      </w:pPr>
    </w:p>
    <w:p w14:paraId="09E65AA0" w14:textId="77777777" w:rsidR="00721501" w:rsidRPr="007E42D2" w:rsidRDefault="00721501" w:rsidP="00721501">
      <w:pPr>
        <w:pStyle w:val="Texto"/>
        <w:spacing w:after="0" w:line="276" w:lineRule="auto"/>
        <w:rPr>
          <w:szCs w:val="18"/>
        </w:rPr>
      </w:pPr>
    </w:p>
    <w:p w14:paraId="652F6B10" w14:textId="77777777" w:rsidR="00721501" w:rsidRPr="007E42D2" w:rsidRDefault="00721501" w:rsidP="00721501">
      <w:pPr>
        <w:pStyle w:val="Texto"/>
        <w:spacing w:after="0" w:line="276" w:lineRule="auto"/>
        <w:rPr>
          <w:szCs w:val="18"/>
        </w:rPr>
      </w:pPr>
    </w:p>
    <w:p w14:paraId="672B34D4" w14:textId="77777777" w:rsidR="00721501" w:rsidRPr="007E42D2" w:rsidRDefault="00721501" w:rsidP="00721501">
      <w:pPr>
        <w:pStyle w:val="Texto"/>
        <w:spacing w:after="0" w:line="276" w:lineRule="auto"/>
        <w:rPr>
          <w:szCs w:val="18"/>
        </w:rPr>
      </w:pPr>
    </w:p>
    <w:p w14:paraId="7F96980E" w14:textId="77777777" w:rsidR="00676043" w:rsidRPr="00721501" w:rsidRDefault="00676043" w:rsidP="00721501">
      <w:pPr>
        <w:shd w:val="clear" w:color="auto" w:fill="FFFFFF" w:themeFill="background1"/>
        <w:jc w:val="center"/>
        <w:rPr>
          <w:rFonts w:ascii="Soberana Sans Light" w:hAnsi="Soberana Sans Light"/>
          <w:lang w:val="es-ES"/>
        </w:rPr>
      </w:pPr>
    </w:p>
    <w:sectPr w:rsidR="00676043" w:rsidRPr="00721501" w:rsidSect="00212B83">
      <w:headerReference w:type="even" r:id="rId22"/>
      <w:headerReference w:type="default" r:id="rId23"/>
      <w:footerReference w:type="even" r:id="rId24"/>
      <w:footerReference w:type="default" r:id="rId25"/>
      <w:pgSz w:w="15840" w:h="12240" w:orient="landscape" w:code="1"/>
      <w:pgMar w:top="1440" w:right="1077" w:bottom="1440" w:left="1077"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AF542" w14:textId="77777777" w:rsidR="0042099F" w:rsidRDefault="0042099F" w:rsidP="00EA5418">
      <w:pPr>
        <w:spacing w:after="0" w:line="240" w:lineRule="auto"/>
      </w:pPr>
      <w:r>
        <w:separator/>
      </w:r>
    </w:p>
  </w:endnote>
  <w:endnote w:type="continuationSeparator" w:id="0">
    <w:p w14:paraId="1F92CB48" w14:textId="77777777" w:rsidR="0042099F" w:rsidRDefault="0042099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12C3" w14:textId="77777777" w:rsidR="00EA1730" w:rsidRPr="0013011C" w:rsidRDefault="0042099F" w:rsidP="0013011C">
    <w:pPr>
      <w:pStyle w:val="Piedepgina"/>
      <w:jc w:val="center"/>
      <w:rPr>
        <w:rFonts w:ascii="Soberana Sans Light" w:hAnsi="Soberana Sans Light"/>
      </w:rPr>
    </w:pPr>
    <w:r>
      <w:rPr>
        <w:rFonts w:ascii="Soberana Sans Light" w:hAnsi="Soberana Sans Light"/>
        <w:noProof/>
        <w:lang w:eastAsia="es-MX"/>
      </w:rPr>
      <w:pict w14:anchorId="5DA6CC85">
        <v:line id="12 Conector recto" o:spid="_x0000_s2050" style="position:absolute;left:0;text-align:left;flip:y;z-index:251667456;visibility:visible;mso-width-relative:margin" from="-51.55pt,-2.8pt" to="742.45pt,-1.5pt" strokecolor="#c0504d [3205]" strokeweight="1.5pt"/>
      </w:pict>
    </w:r>
    <w:r w:rsidR="00EA1730"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EA1730" w:rsidRPr="0013011C">
          <w:rPr>
            <w:rFonts w:ascii="Soberana Sans Light" w:hAnsi="Soberana Sans Light"/>
          </w:rPr>
          <w:fldChar w:fldCharType="begin"/>
        </w:r>
        <w:r w:rsidR="00EA1730" w:rsidRPr="0013011C">
          <w:rPr>
            <w:rFonts w:ascii="Soberana Sans Light" w:hAnsi="Soberana Sans Light"/>
          </w:rPr>
          <w:instrText>PAGE   \* MERGEFORMAT</w:instrText>
        </w:r>
        <w:r w:rsidR="00EA1730" w:rsidRPr="0013011C">
          <w:rPr>
            <w:rFonts w:ascii="Soberana Sans Light" w:hAnsi="Soberana Sans Light"/>
          </w:rPr>
          <w:fldChar w:fldCharType="separate"/>
        </w:r>
        <w:r w:rsidR="00EB0A2B" w:rsidRPr="00EB0A2B">
          <w:rPr>
            <w:rFonts w:ascii="Soberana Sans Light" w:hAnsi="Soberana Sans Light"/>
            <w:noProof/>
            <w:lang w:val="es-ES"/>
          </w:rPr>
          <w:t>4</w:t>
        </w:r>
        <w:r w:rsidR="00EA1730" w:rsidRPr="0013011C">
          <w:rPr>
            <w:rFonts w:ascii="Soberana Sans Light" w:hAnsi="Soberana Sans Light"/>
          </w:rPr>
          <w:fldChar w:fldCharType="end"/>
        </w:r>
      </w:sdtContent>
    </w:sdt>
  </w:p>
  <w:p w14:paraId="0C42A4B4" w14:textId="77777777" w:rsidR="00EA1730" w:rsidRDefault="00EA17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C218" w14:textId="77777777" w:rsidR="00EA1730" w:rsidRPr="008E3652" w:rsidRDefault="0042099F" w:rsidP="008E3652">
    <w:pPr>
      <w:pStyle w:val="Piedepgina"/>
      <w:jc w:val="center"/>
      <w:rPr>
        <w:rFonts w:ascii="Soberana Sans Light" w:hAnsi="Soberana Sans Light"/>
      </w:rPr>
    </w:pPr>
    <w:r>
      <w:rPr>
        <w:rFonts w:ascii="Soberana Sans Light" w:hAnsi="Soberana Sans Light"/>
        <w:noProof/>
        <w:lang w:eastAsia="es-MX"/>
      </w:rPr>
      <w:pict w14:anchorId="6300F097">
        <v:line id="3 Conector recto" o:spid="_x0000_s2049" style="position:absolute;left:0;text-align:left;flip:y;z-index:251661312;visibility:visible;mso-width-relative:margin" from="-56.25pt,-.55pt" to="737.8pt,.75pt" strokecolor="#c0504d [3205]" strokeweight="1.5pt"/>
      </w:pict>
    </w:r>
    <w:sdt>
      <w:sdtPr>
        <w:rPr>
          <w:rFonts w:ascii="Soberana Sans Light" w:hAnsi="Soberana Sans Light"/>
        </w:rPr>
        <w:id w:val="1247304906"/>
        <w:docPartObj>
          <w:docPartGallery w:val="Page Numbers (Bottom of Page)"/>
          <w:docPartUnique/>
        </w:docPartObj>
      </w:sdtPr>
      <w:sdtEndPr/>
      <w:sdtContent>
        <w:r w:rsidR="00EA1730" w:rsidRPr="008E3652">
          <w:rPr>
            <w:rFonts w:ascii="Soberana Sans Light" w:hAnsi="Soberana Sans Light"/>
          </w:rPr>
          <w:t xml:space="preserve">Contable / </w:t>
        </w:r>
        <w:r w:rsidR="00EA1730" w:rsidRPr="008E3652">
          <w:rPr>
            <w:rFonts w:ascii="Soberana Sans Light" w:hAnsi="Soberana Sans Light"/>
          </w:rPr>
          <w:fldChar w:fldCharType="begin"/>
        </w:r>
        <w:r w:rsidR="00EA1730" w:rsidRPr="008E3652">
          <w:rPr>
            <w:rFonts w:ascii="Soberana Sans Light" w:hAnsi="Soberana Sans Light"/>
          </w:rPr>
          <w:instrText>PAGE   \* MERGEFORMAT</w:instrText>
        </w:r>
        <w:r w:rsidR="00EA1730" w:rsidRPr="008E3652">
          <w:rPr>
            <w:rFonts w:ascii="Soberana Sans Light" w:hAnsi="Soberana Sans Light"/>
          </w:rPr>
          <w:fldChar w:fldCharType="separate"/>
        </w:r>
        <w:r w:rsidR="00EB0A2B" w:rsidRPr="00EB0A2B">
          <w:rPr>
            <w:rFonts w:ascii="Soberana Sans Light" w:hAnsi="Soberana Sans Light"/>
            <w:noProof/>
            <w:lang w:val="es-ES"/>
          </w:rPr>
          <w:t>3</w:t>
        </w:r>
        <w:r w:rsidR="00EA173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F1CC3" w14:textId="77777777" w:rsidR="0042099F" w:rsidRDefault="0042099F" w:rsidP="00EA5418">
      <w:pPr>
        <w:spacing w:after="0" w:line="240" w:lineRule="auto"/>
      </w:pPr>
      <w:r>
        <w:separator/>
      </w:r>
    </w:p>
  </w:footnote>
  <w:footnote w:type="continuationSeparator" w:id="0">
    <w:p w14:paraId="6EB434F8" w14:textId="77777777" w:rsidR="0042099F" w:rsidRDefault="0042099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3F8F" w14:textId="77777777" w:rsidR="00EA1730" w:rsidRDefault="0042099F">
    <w:pPr>
      <w:pStyle w:val="Encabezado"/>
    </w:pPr>
    <w:r>
      <w:rPr>
        <w:noProof/>
        <w:lang w:eastAsia="es-MX"/>
      </w:rPr>
      <w:pict w14:anchorId="72417140">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5A3BF081" w14:textId="77777777" w:rsidR="00EA1730" w:rsidRDefault="00EA1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88669CB" w14:textId="77777777" w:rsidR="00EA1730" w:rsidRDefault="00EA1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955DEC" w14:textId="77777777" w:rsidR="00EA1730" w:rsidRPr="00275FC6" w:rsidRDefault="00EA1730"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21441321" w14:textId="383F3DE2" w:rsidR="00EA1730" w:rsidRDefault="00EA1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D34F25">
                      <w:rPr>
                        <w:rFonts w:ascii="Soberana Titular" w:hAnsi="Soberana Titular" w:cs="Arial"/>
                        <w:color w:val="808080" w:themeColor="background1" w:themeShade="80"/>
                        <w:sz w:val="42"/>
                        <w:szCs w:val="42"/>
                      </w:rPr>
                      <w:t>20</w:t>
                    </w:r>
                  </w:p>
                  <w:p w14:paraId="4B9E8E43" w14:textId="77777777" w:rsidR="00EA1730" w:rsidRDefault="00EA1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CC47FCD" w14:textId="77777777" w:rsidR="00EA1730" w:rsidRPr="00275FC6" w:rsidRDefault="00EA1730"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53A2923E">
        <v:line id="4 Conector recto" o:spid="_x0000_s2052" style="position:absolute;flip:y;z-index:251663360;visibility:visible;mso-width-relative:margin" from="-57.75pt,25.2pt" to="736.25pt,26.5pt" strokecolor="#c0504d [32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625D" w14:textId="77777777" w:rsidR="00EA1730" w:rsidRPr="0013011C" w:rsidRDefault="0042099F" w:rsidP="0013011C">
    <w:pPr>
      <w:pStyle w:val="Encabezado"/>
      <w:jc w:val="center"/>
      <w:rPr>
        <w:rFonts w:ascii="Soberana Sans Light" w:hAnsi="Soberana Sans Light"/>
      </w:rPr>
    </w:pPr>
    <w:r>
      <w:rPr>
        <w:rFonts w:ascii="Soberana Sans Light" w:hAnsi="Soberana Sans Light"/>
        <w:noProof/>
        <w:lang w:eastAsia="es-MX"/>
      </w:rPr>
      <w:pict w14:anchorId="1ED1473E">
        <v:line id="1 Conector recto" o:spid="_x0000_s2051" style="position:absolute;left:0;text-align:left;flip:y;z-index:251659264;visibility:visible;mso-width-relative:margin" from="-56.05pt,14.2pt" to="738pt,15.5pt" strokecolor="#c0504d [3205]" strokeweight="1.5pt"/>
      </w:pict>
    </w:r>
    <w:r w:rsidR="00EA1730">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8"/>
  </w:num>
  <w:num w:numId="7">
    <w:abstractNumId w:val="4"/>
  </w:num>
  <w:num w:numId="8">
    <w:abstractNumId w:val="10"/>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9"/>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10812"/>
    <w:rsid w:val="00011D9F"/>
    <w:rsid w:val="00014D8D"/>
    <w:rsid w:val="000207F5"/>
    <w:rsid w:val="00030EA6"/>
    <w:rsid w:val="0003653A"/>
    <w:rsid w:val="00037BA5"/>
    <w:rsid w:val="00040466"/>
    <w:rsid w:val="00045A10"/>
    <w:rsid w:val="0006072D"/>
    <w:rsid w:val="00072BA4"/>
    <w:rsid w:val="00072C96"/>
    <w:rsid w:val="00081D82"/>
    <w:rsid w:val="0009346F"/>
    <w:rsid w:val="00093777"/>
    <w:rsid w:val="00097D72"/>
    <w:rsid w:val="000A2959"/>
    <w:rsid w:val="000B30A9"/>
    <w:rsid w:val="000B6682"/>
    <w:rsid w:val="000C457F"/>
    <w:rsid w:val="000C4A57"/>
    <w:rsid w:val="000D0512"/>
    <w:rsid w:val="000E3D5F"/>
    <w:rsid w:val="001003A1"/>
    <w:rsid w:val="00116D97"/>
    <w:rsid w:val="00117089"/>
    <w:rsid w:val="00124B2A"/>
    <w:rsid w:val="00126A38"/>
    <w:rsid w:val="0013011C"/>
    <w:rsid w:val="001327ED"/>
    <w:rsid w:val="001330AA"/>
    <w:rsid w:val="00133A13"/>
    <w:rsid w:val="001403EB"/>
    <w:rsid w:val="00142B45"/>
    <w:rsid w:val="0014526A"/>
    <w:rsid w:val="00151C43"/>
    <w:rsid w:val="00160612"/>
    <w:rsid w:val="00160AC7"/>
    <w:rsid w:val="00163438"/>
    <w:rsid w:val="00164662"/>
    <w:rsid w:val="00165BB4"/>
    <w:rsid w:val="00171FD5"/>
    <w:rsid w:val="00174ECD"/>
    <w:rsid w:val="00176D2C"/>
    <w:rsid w:val="001814A6"/>
    <w:rsid w:val="00190BE8"/>
    <w:rsid w:val="001A340E"/>
    <w:rsid w:val="001B1B72"/>
    <w:rsid w:val="001C1D6B"/>
    <w:rsid w:val="001C3F88"/>
    <w:rsid w:val="001C4054"/>
    <w:rsid w:val="001C6FD8"/>
    <w:rsid w:val="001D14A4"/>
    <w:rsid w:val="001D4DD8"/>
    <w:rsid w:val="001E7072"/>
    <w:rsid w:val="001F14D9"/>
    <w:rsid w:val="001F1885"/>
    <w:rsid w:val="001F3DD1"/>
    <w:rsid w:val="00203B05"/>
    <w:rsid w:val="00204C86"/>
    <w:rsid w:val="00212B83"/>
    <w:rsid w:val="0021695C"/>
    <w:rsid w:val="00227573"/>
    <w:rsid w:val="0023749B"/>
    <w:rsid w:val="00237B8F"/>
    <w:rsid w:val="00241FC4"/>
    <w:rsid w:val="002579AD"/>
    <w:rsid w:val="00257F00"/>
    <w:rsid w:val="00261730"/>
    <w:rsid w:val="00263347"/>
    <w:rsid w:val="00263496"/>
    <w:rsid w:val="00264426"/>
    <w:rsid w:val="00271F23"/>
    <w:rsid w:val="00280D26"/>
    <w:rsid w:val="002867D2"/>
    <w:rsid w:val="00286DE7"/>
    <w:rsid w:val="002A39D5"/>
    <w:rsid w:val="002A70B3"/>
    <w:rsid w:val="002D4160"/>
    <w:rsid w:val="002E146A"/>
    <w:rsid w:val="002E5837"/>
    <w:rsid w:val="002E5D65"/>
    <w:rsid w:val="002E703B"/>
    <w:rsid w:val="00307316"/>
    <w:rsid w:val="003266DD"/>
    <w:rsid w:val="00330DA8"/>
    <w:rsid w:val="00330DBA"/>
    <w:rsid w:val="003367AD"/>
    <w:rsid w:val="00342FEC"/>
    <w:rsid w:val="00347043"/>
    <w:rsid w:val="00347236"/>
    <w:rsid w:val="00361CEA"/>
    <w:rsid w:val="00363460"/>
    <w:rsid w:val="00363C2F"/>
    <w:rsid w:val="003652FD"/>
    <w:rsid w:val="00370C8C"/>
    <w:rsid w:val="00372F40"/>
    <w:rsid w:val="0039677A"/>
    <w:rsid w:val="00396C2B"/>
    <w:rsid w:val="003A0303"/>
    <w:rsid w:val="003A2CA3"/>
    <w:rsid w:val="003B593D"/>
    <w:rsid w:val="003C22AD"/>
    <w:rsid w:val="003C41E3"/>
    <w:rsid w:val="003C6E21"/>
    <w:rsid w:val="003C742D"/>
    <w:rsid w:val="003D39F7"/>
    <w:rsid w:val="003D48E5"/>
    <w:rsid w:val="003D5DBF"/>
    <w:rsid w:val="003D62D7"/>
    <w:rsid w:val="003D7DC2"/>
    <w:rsid w:val="003E7FD0"/>
    <w:rsid w:val="003F0EA4"/>
    <w:rsid w:val="003F3E14"/>
    <w:rsid w:val="003F4E9A"/>
    <w:rsid w:val="0042099F"/>
    <w:rsid w:val="004311BE"/>
    <w:rsid w:val="0044253C"/>
    <w:rsid w:val="00444B28"/>
    <w:rsid w:val="00467398"/>
    <w:rsid w:val="004714CF"/>
    <w:rsid w:val="00472EE3"/>
    <w:rsid w:val="00484C0D"/>
    <w:rsid w:val="00497D8B"/>
    <w:rsid w:val="004A4059"/>
    <w:rsid w:val="004A5F2C"/>
    <w:rsid w:val="004B2EF1"/>
    <w:rsid w:val="004C1309"/>
    <w:rsid w:val="004C28BA"/>
    <w:rsid w:val="004D31C9"/>
    <w:rsid w:val="004D41B8"/>
    <w:rsid w:val="004E4757"/>
    <w:rsid w:val="004F5641"/>
    <w:rsid w:val="00515F4C"/>
    <w:rsid w:val="0051669E"/>
    <w:rsid w:val="00522632"/>
    <w:rsid w:val="00522EF3"/>
    <w:rsid w:val="00533777"/>
    <w:rsid w:val="00540418"/>
    <w:rsid w:val="00541D37"/>
    <w:rsid w:val="005440A3"/>
    <w:rsid w:val="00550D71"/>
    <w:rsid w:val="005631C9"/>
    <w:rsid w:val="00571B0C"/>
    <w:rsid w:val="005741C6"/>
    <w:rsid w:val="00574266"/>
    <w:rsid w:val="00576D66"/>
    <w:rsid w:val="00585119"/>
    <w:rsid w:val="00591AFA"/>
    <w:rsid w:val="00595EF7"/>
    <w:rsid w:val="005A1446"/>
    <w:rsid w:val="005A3EF2"/>
    <w:rsid w:val="005B5233"/>
    <w:rsid w:val="005C0433"/>
    <w:rsid w:val="005C68EA"/>
    <w:rsid w:val="005D3D25"/>
    <w:rsid w:val="005D3F8C"/>
    <w:rsid w:val="005D5CBB"/>
    <w:rsid w:val="005F042F"/>
    <w:rsid w:val="005F3429"/>
    <w:rsid w:val="0061403E"/>
    <w:rsid w:val="00620851"/>
    <w:rsid w:val="006315C0"/>
    <w:rsid w:val="0066012C"/>
    <w:rsid w:val="006618C5"/>
    <w:rsid w:val="00675E03"/>
    <w:rsid w:val="00676043"/>
    <w:rsid w:val="006816F0"/>
    <w:rsid w:val="00684A0C"/>
    <w:rsid w:val="006A5E74"/>
    <w:rsid w:val="006B1FE7"/>
    <w:rsid w:val="006B3519"/>
    <w:rsid w:val="006B4E04"/>
    <w:rsid w:val="006C0583"/>
    <w:rsid w:val="006C2339"/>
    <w:rsid w:val="006D2FDA"/>
    <w:rsid w:val="006D3398"/>
    <w:rsid w:val="006E5F6D"/>
    <w:rsid w:val="006E77DD"/>
    <w:rsid w:val="006F0077"/>
    <w:rsid w:val="00714483"/>
    <w:rsid w:val="0071495B"/>
    <w:rsid w:val="00721501"/>
    <w:rsid w:val="00730069"/>
    <w:rsid w:val="00735566"/>
    <w:rsid w:val="007500DF"/>
    <w:rsid w:val="00766D79"/>
    <w:rsid w:val="0076707D"/>
    <w:rsid w:val="007702CF"/>
    <w:rsid w:val="007748A4"/>
    <w:rsid w:val="00775806"/>
    <w:rsid w:val="007762B0"/>
    <w:rsid w:val="00776B14"/>
    <w:rsid w:val="00782D83"/>
    <w:rsid w:val="007856CB"/>
    <w:rsid w:val="00786D90"/>
    <w:rsid w:val="00792F3E"/>
    <w:rsid w:val="0079582C"/>
    <w:rsid w:val="007A0F12"/>
    <w:rsid w:val="007A44E5"/>
    <w:rsid w:val="007B2503"/>
    <w:rsid w:val="007C51D1"/>
    <w:rsid w:val="007D0D88"/>
    <w:rsid w:val="007D2BDA"/>
    <w:rsid w:val="007D4895"/>
    <w:rsid w:val="007D6E9A"/>
    <w:rsid w:val="007E216E"/>
    <w:rsid w:val="007E420D"/>
    <w:rsid w:val="007E42D2"/>
    <w:rsid w:val="007F399B"/>
    <w:rsid w:val="007F7B3F"/>
    <w:rsid w:val="0080666D"/>
    <w:rsid w:val="00811DAC"/>
    <w:rsid w:val="008145C6"/>
    <w:rsid w:val="0081774B"/>
    <w:rsid w:val="008242EE"/>
    <w:rsid w:val="00826EEA"/>
    <w:rsid w:val="008412C5"/>
    <w:rsid w:val="008418DD"/>
    <w:rsid w:val="00845773"/>
    <w:rsid w:val="00866E24"/>
    <w:rsid w:val="00871072"/>
    <w:rsid w:val="00876DAE"/>
    <w:rsid w:val="00877FB2"/>
    <w:rsid w:val="008847AB"/>
    <w:rsid w:val="00886A13"/>
    <w:rsid w:val="0089054E"/>
    <w:rsid w:val="008923E7"/>
    <w:rsid w:val="008A0679"/>
    <w:rsid w:val="008A6E4D"/>
    <w:rsid w:val="008A793D"/>
    <w:rsid w:val="008B0017"/>
    <w:rsid w:val="008B3A7F"/>
    <w:rsid w:val="008B4998"/>
    <w:rsid w:val="008C06A2"/>
    <w:rsid w:val="008C2E6A"/>
    <w:rsid w:val="008D4009"/>
    <w:rsid w:val="008D47CA"/>
    <w:rsid w:val="008D7287"/>
    <w:rsid w:val="008E3652"/>
    <w:rsid w:val="008E4688"/>
    <w:rsid w:val="008E776D"/>
    <w:rsid w:val="008F0670"/>
    <w:rsid w:val="008F0EEC"/>
    <w:rsid w:val="008F6D58"/>
    <w:rsid w:val="009220FE"/>
    <w:rsid w:val="009270BD"/>
    <w:rsid w:val="00930D02"/>
    <w:rsid w:val="0093492C"/>
    <w:rsid w:val="00936486"/>
    <w:rsid w:val="00946F63"/>
    <w:rsid w:val="00947D84"/>
    <w:rsid w:val="00950AF1"/>
    <w:rsid w:val="00953F12"/>
    <w:rsid w:val="009553A4"/>
    <w:rsid w:val="00957043"/>
    <w:rsid w:val="00961655"/>
    <w:rsid w:val="00962411"/>
    <w:rsid w:val="0096678C"/>
    <w:rsid w:val="00970359"/>
    <w:rsid w:val="00973827"/>
    <w:rsid w:val="00981596"/>
    <w:rsid w:val="0098590F"/>
    <w:rsid w:val="00985CFA"/>
    <w:rsid w:val="00990EB0"/>
    <w:rsid w:val="009B1F04"/>
    <w:rsid w:val="009B2071"/>
    <w:rsid w:val="009B55F2"/>
    <w:rsid w:val="009B60F6"/>
    <w:rsid w:val="009C44BA"/>
    <w:rsid w:val="009C60D3"/>
    <w:rsid w:val="009D54E1"/>
    <w:rsid w:val="009D5D4C"/>
    <w:rsid w:val="009E2AB5"/>
    <w:rsid w:val="009E77F0"/>
    <w:rsid w:val="009F1D5A"/>
    <w:rsid w:val="009F23C4"/>
    <w:rsid w:val="00A00A4B"/>
    <w:rsid w:val="00A02B65"/>
    <w:rsid w:val="00A05A44"/>
    <w:rsid w:val="00A20210"/>
    <w:rsid w:val="00A22120"/>
    <w:rsid w:val="00A252D6"/>
    <w:rsid w:val="00A336A3"/>
    <w:rsid w:val="00A363B6"/>
    <w:rsid w:val="00A37922"/>
    <w:rsid w:val="00A46BF5"/>
    <w:rsid w:val="00A50FBF"/>
    <w:rsid w:val="00A51AF2"/>
    <w:rsid w:val="00A51EA8"/>
    <w:rsid w:val="00A76237"/>
    <w:rsid w:val="00A76932"/>
    <w:rsid w:val="00A77814"/>
    <w:rsid w:val="00A77897"/>
    <w:rsid w:val="00A82662"/>
    <w:rsid w:val="00A87268"/>
    <w:rsid w:val="00A93FD2"/>
    <w:rsid w:val="00A94BCD"/>
    <w:rsid w:val="00A959E1"/>
    <w:rsid w:val="00AA20A3"/>
    <w:rsid w:val="00AA29A6"/>
    <w:rsid w:val="00AA4A41"/>
    <w:rsid w:val="00AD44D4"/>
    <w:rsid w:val="00AF33AD"/>
    <w:rsid w:val="00AF4D30"/>
    <w:rsid w:val="00B005BA"/>
    <w:rsid w:val="00B00D7A"/>
    <w:rsid w:val="00B07873"/>
    <w:rsid w:val="00B13C91"/>
    <w:rsid w:val="00B146E2"/>
    <w:rsid w:val="00B153DA"/>
    <w:rsid w:val="00B1591A"/>
    <w:rsid w:val="00B170AE"/>
    <w:rsid w:val="00B20E69"/>
    <w:rsid w:val="00B21F61"/>
    <w:rsid w:val="00B40B47"/>
    <w:rsid w:val="00B41303"/>
    <w:rsid w:val="00B5125E"/>
    <w:rsid w:val="00B53E52"/>
    <w:rsid w:val="00B55141"/>
    <w:rsid w:val="00B579D4"/>
    <w:rsid w:val="00B661E1"/>
    <w:rsid w:val="00B678AF"/>
    <w:rsid w:val="00B738F2"/>
    <w:rsid w:val="00B82FB5"/>
    <w:rsid w:val="00B849EE"/>
    <w:rsid w:val="00B84D02"/>
    <w:rsid w:val="00B90202"/>
    <w:rsid w:val="00B924B6"/>
    <w:rsid w:val="00B944D6"/>
    <w:rsid w:val="00B9631D"/>
    <w:rsid w:val="00BA2940"/>
    <w:rsid w:val="00BB5E16"/>
    <w:rsid w:val="00BC088B"/>
    <w:rsid w:val="00BC3A7B"/>
    <w:rsid w:val="00BC4072"/>
    <w:rsid w:val="00BE111E"/>
    <w:rsid w:val="00BE18B7"/>
    <w:rsid w:val="00BE351E"/>
    <w:rsid w:val="00BE395B"/>
    <w:rsid w:val="00BE7825"/>
    <w:rsid w:val="00BF2EBC"/>
    <w:rsid w:val="00C0785F"/>
    <w:rsid w:val="00C125EA"/>
    <w:rsid w:val="00C16E53"/>
    <w:rsid w:val="00C207B7"/>
    <w:rsid w:val="00C20AEB"/>
    <w:rsid w:val="00C431B4"/>
    <w:rsid w:val="00C54BCA"/>
    <w:rsid w:val="00C54CE8"/>
    <w:rsid w:val="00C623DA"/>
    <w:rsid w:val="00C76024"/>
    <w:rsid w:val="00C774B8"/>
    <w:rsid w:val="00C83667"/>
    <w:rsid w:val="00C86C59"/>
    <w:rsid w:val="00C90269"/>
    <w:rsid w:val="00C91C5A"/>
    <w:rsid w:val="00CA5C31"/>
    <w:rsid w:val="00CA6521"/>
    <w:rsid w:val="00CC380F"/>
    <w:rsid w:val="00CC5BE2"/>
    <w:rsid w:val="00CD4089"/>
    <w:rsid w:val="00CD54E5"/>
    <w:rsid w:val="00CD6D9A"/>
    <w:rsid w:val="00CD7583"/>
    <w:rsid w:val="00CE5B45"/>
    <w:rsid w:val="00CF53C2"/>
    <w:rsid w:val="00D00E92"/>
    <w:rsid w:val="00D055EC"/>
    <w:rsid w:val="00D145EC"/>
    <w:rsid w:val="00D17BCE"/>
    <w:rsid w:val="00D273C3"/>
    <w:rsid w:val="00D32F99"/>
    <w:rsid w:val="00D34F25"/>
    <w:rsid w:val="00D44728"/>
    <w:rsid w:val="00D4635E"/>
    <w:rsid w:val="00D54250"/>
    <w:rsid w:val="00D562FF"/>
    <w:rsid w:val="00D6187F"/>
    <w:rsid w:val="00D64F08"/>
    <w:rsid w:val="00D72B45"/>
    <w:rsid w:val="00D7371C"/>
    <w:rsid w:val="00D80DEA"/>
    <w:rsid w:val="00D82D4E"/>
    <w:rsid w:val="00D92E75"/>
    <w:rsid w:val="00DB02F7"/>
    <w:rsid w:val="00DC0287"/>
    <w:rsid w:val="00DC0A26"/>
    <w:rsid w:val="00DC6639"/>
    <w:rsid w:val="00DD143A"/>
    <w:rsid w:val="00DD1EA6"/>
    <w:rsid w:val="00DE22DA"/>
    <w:rsid w:val="00DE459C"/>
    <w:rsid w:val="00DE4B75"/>
    <w:rsid w:val="00DF02FB"/>
    <w:rsid w:val="00DF0F5F"/>
    <w:rsid w:val="00DF3D10"/>
    <w:rsid w:val="00DF45C5"/>
    <w:rsid w:val="00DF56C9"/>
    <w:rsid w:val="00E00729"/>
    <w:rsid w:val="00E0630E"/>
    <w:rsid w:val="00E101CB"/>
    <w:rsid w:val="00E116A7"/>
    <w:rsid w:val="00E123B4"/>
    <w:rsid w:val="00E21BD1"/>
    <w:rsid w:val="00E24DFA"/>
    <w:rsid w:val="00E26D56"/>
    <w:rsid w:val="00E30318"/>
    <w:rsid w:val="00E32708"/>
    <w:rsid w:val="00E3353F"/>
    <w:rsid w:val="00E47902"/>
    <w:rsid w:val="00E47A13"/>
    <w:rsid w:val="00E503DB"/>
    <w:rsid w:val="00E50807"/>
    <w:rsid w:val="00E54008"/>
    <w:rsid w:val="00E5569E"/>
    <w:rsid w:val="00E63BA3"/>
    <w:rsid w:val="00E6698F"/>
    <w:rsid w:val="00E72ED4"/>
    <w:rsid w:val="00E74952"/>
    <w:rsid w:val="00E7619A"/>
    <w:rsid w:val="00E81F5F"/>
    <w:rsid w:val="00E95134"/>
    <w:rsid w:val="00E9790E"/>
    <w:rsid w:val="00EA1523"/>
    <w:rsid w:val="00EA1730"/>
    <w:rsid w:val="00EA5418"/>
    <w:rsid w:val="00EB0A2B"/>
    <w:rsid w:val="00EB69E2"/>
    <w:rsid w:val="00EC3845"/>
    <w:rsid w:val="00EC4810"/>
    <w:rsid w:val="00EE246A"/>
    <w:rsid w:val="00EE29C3"/>
    <w:rsid w:val="00EE37B1"/>
    <w:rsid w:val="00EE46FB"/>
    <w:rsid w:val="00EF4030"/>
    <w:rsid w:val="00EF7F06"/>
    <w:rsid w:val="00F04A23"/>
    <w:rsid w:val="00F17C0D"/>
    <w:rsid w:val="00F27C34"/>
    <w:rsid w:val="00F35669"/>
    <w:rsid w:val="00F36321"/>
    <w:rsid w:val="00F64F7A"/>
    <w:rsid w:val="00F70D3F"/>
    <w:rsid w:val="00F724E9"/>
    <w:rsid w:val="00F753B9"/>
    <w:rsid w:val="00F755D0"/>
    <w:rsid w:val="00F7672A"/>
    <w:rsid w:val="00F7782D"/>
    <w:rsid w:val="00F81AF8"/>
    <w:rsid w:val="00F92F41"/>
    <w:rsid w:val="00FA11DA"/>
    <w:rsid w:val="00FA4D28"/>
    <w:rsid w:val="00FA5730"/>
    <w:rsid w:val="00FB00A9"/>
    <w:rsid w:val="00FB1010"/>
    <w:rsid w:val="00FB6A39"/>
    <w:rsid w:val="00FC35B9"/>
    <w:rsid w:val="00FC3EFC"/>
    <w:rsid w:val="00FC4DCD"/>
    <w:rsid w:val="00FC79E7"/>
    <w:rsid w:val="00FD5A63"/>
    <w:rsid w:val="00FE09E6"/>
    <w:rsid w:val="00FF4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7C3A8ED"/>
  <w15:docId w15:val="{832857EF-3206-4510-BF3B-2FC91671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188809448">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xlsx"/><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4F61-585C-4674-924A-992D27C6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25</Pages>
  <Words>3643</Words>
  <Characters>20041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Recursos Financieros</cp:lastModifiedBy>
  <cp:revision>30</cp:revision>
  <cp:lastPrinted>2020-04-02T23:02:00Z</cp:lastPrinted>
  <dcterms:created xsi:type="dcterms:W3CDTF">2018-04-06T17:02:00Z</dcterms:created>
  <dcterms:modified xsi:type="dcterms:W3CDTF">2020-04-07T16:46:00Z</dcterms:modified>
</cp:coreProperties>
</file>