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</w:t>
      </w:r>
      <w:r w:rsidR="007F2A9F">
        <w:rPr>
          <w:rFonts w:ascii="Arial" w:hAnsi="Arial" w:cs="Arial"/>
          <w:sz w:val="18"/>
          <w:szCs w:val="18"/>
        </w:rPr>
        <w:t>19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</w:t>
      </w:r>
      <w:r w:rsidR="007F2A9F">
        <w:rPr>
          <w:rFonts w:ascii="Arial" w:hAnsi="Arial" w:cs="Arial"/>
          <w:color w:val="000000" w:themeColor="text1"/>
          <w:sz w:val="18"/>
          <w:szCs w:val="18"/>
        </w:rPr>
        <w:t>20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7F2A9F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</w:t>
      </w:r>
      <w:r w:rsidR="007F2A9F">
        <w:rPr>
          <w:rFonts w:ascii="Arial" w:hAnsi="Arial" w:cs="Arial"/>
          <w:sz w:val="18"/>
          <w:szCs w:val="18"/>
        </w:rPr>
        <w:t>20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r w:rsidR="005E0CF2" w:rsidRPr="00713DED">
        <w:rPr>
          <w:rFonts w:ascii="Arial" w:hAnsi="Arial" w:cs="Arial"/>
          <w:sz w:val="18"/>
          <w:szCs w:val="18"/>
        </w:rPr>
        <w:t>brindando asesorías</w:t>
      </w:r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</w:t>
      </w:r>
      <w:r w:rsidR="007F2A9F">
        <w:rPr>
          <w:rFonts w:ascii="Arial" w:hAnsi="Arial" w:cs="Arial"/>
          <w:sz w:val="18"/>
          <w:szCs w:val="18"/>
        </w:rPr>
        <w:t>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 xml:space="preserve">Con estas acciones la comisión Estatal de Agua de Tlaxcala dentro de sus </w:t>
      </w:r>
      <w:bookmarkStart w:id="0" w:name="_GoBack"/>
      <w:bookmarkEnd w:id="0"/>
      <w:r w:rsidR="005E0CF2" w:rsidRPr="00713DED">
        <w:rPr>
          <w:rFonts w:ascii="Arial" w:hAnsi="Arial" w:cs="Arial"/>
          <w:sz w:val="18"/>
          <w:szCs w:val="18"/>
        </w:rPr>
        <w:t>atribuciones que</w:t>
      </w:r>
      <w:r w:rsidRPr="00713DED">
        <w:rPr>
          <w:rFonts w:ascii="Arial" w:hAnsi="Arial" w:cs="Arial"/>
          <w:sz w:val="18"/>
          <w:szCs w:val="18"/>
        </w:rPr>
        <w:t xml:space="preserve">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</w:t>
      </w:r>
      <w:r w:rsidR="007F2A9F">
        <w:rPr>
          <w:rFonts w:ascii="Arial" w:hAnsi="Arial" w:cs="Arial"/>
          <w:sz w:val="18"/>
          <w:szCs w:val="18"/>
        </w:rPr>
        <w:t>20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:rsidR="007F2A9F" w:rsidRPr="00713DED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48" w:rsidRDefault="006E0148" w:rsidP="00EA5418">
      <w:pPr>
        <w:spacing w:after="0" w:line="240" w:lineRule="auto"/>
      </w:pPr>
      <w:r>
        <w:separator/>
      </w:r>
    </w:p>
  </w:endnote>
  <w:endnote w:type="continuationSeparator" w:id="0">
    <w:p w:rsidR="006E0148" w:rsidRDefault="006E01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13011C" w:rsidRDefault="006E01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8E3652" w:rsidRDefault="006E01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48" w:rsidRDefault="006E0148" w:rsidP="00EA5418">
      <w:pPr>
        <w:spacing w:after="0" w:line="240" w:lineRule="auto"/>
      </w:pPr>
      <w:r>
        <w:separator/>
      </w:r>
    </w:p>
  </w:footnote>
  <w:footnote w:type="continuationSeparator" w:id="0">
    <w:p w:rsidR="006E0148" w:rsidRDefault="006E01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Default="006E0148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E0C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13011C" w:rsidRDefault="006E01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polyline id="1 Conector recto" o:spid="_x0000_s2051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6870"/>
    <w:rsid w:val="00355821"/>
    <w:rsid w:val="003575A4"/>
    <w:rsid w:val="003610E0"/>
    <w:rsid w:val="00372F40"/>
    <w:rsid w:val="003D5DBF"/>
    <w:rsid w:val="003E7FD0"/>
    <w:rsid w:val="003F4C75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5C03A0"/>
    <w:rsid w:val="005E0CF2"/>
    <w:rsid w:val="006048D2"/>
    <w:rsid w:val="00611E39"/>
    <w:rsid w:val="006B729B"/>
    <w:rsid w:val="006E0148"/>
    <w:rsid w:val="006E6B8E"/>
    <w:rsid w:val="006E77DD"/>
    <w:rsid w:val="00713DED"/>
    <w:rsid w:val="00737FE4"/>
    <w:rsid w:val="0079582C"/>
    <w:rsid w:val="007D6E9A"/>
    <w:rsid w:val="007F2A9F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32708"/>
    <w:rsid w:val="00EA5418"/>
    <w:rsid w:val="00EB6A04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0E701A2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1D1A-A596-4E0D-B5CE-7850A91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38</cp:revision>
  <cp:lastPrinted>2019-10-03T16:42:00Z</cp:lastPrinted>
  <dcterms:created xsi:type="dcterms:W3CDTF">2014-09-01T14:30:00Z</dcterms:created>
  <dcterms:modified xsi:type="dcterms:W3CDTF">2020-03-26T18:43:00Z</dcterms:modified>
</cp:coreProperties>
</file>