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w:t>
      </w:r>
      <w:r w:rsidR="00B32FA6">
        <w:rPr>
          <w:rFonts w:ascii="Arial" w:hAnsi="Arial" w:cs="Arial"/>
          <w:sz w:val="18"/>
          <w:szCs w:val="18"/>
        </w:rPr>
        <w:t>8</w:t>
      </w:r>
      <w:r w:rsidR="001A575F">
        <w:rPr>
          <w:rFonts w:ascii="Arial" w:hAnsi="Arial" w:cs="Arial"/>
          <w:sz w:val="18"/>
          <w:szCs w:val="18"/>
        </w:rPr>
        <w:t>28</w:t>
      </w:r>
      <w:r>
        <w:rPr>
          <w:rFonts w:ascii="Arial" w:hAnsi="Arial" w:cs="Arial"/>
          <w:sz w:val="18"/>
          <w:szCs w:val="18"/>
        </w:rPr>
        <w:t>,</w:t>
      </w:r>
      <w:r w:rsidR="001A575F">
        <w:rPr>
          <w:rFonts w:ascii="Arial" w:hAnsi="Arial" w:cs="Arial"/>
          <w:sz w:val="18"/>
          <w:szCs w:val="18"/>
        </w:rPr>
        <w:t>037</w:t>
      </w:r>
      <w:r>
        <w:rPr>
          <w:rFonts w:ascii="Arial" w:hAnsi="Arial" w:cs="Arial"/>
          <w:sz w:val="18"/>
          <w:szCs w:val="18"/>
        </w:rPr>
        <w:t>,</w:t>
      </w:r>
      <w:r w:rsidR="001A575F">
        <w:rPr>
          <w:rFonts w:ascii="Arial" w:hAnsi="Arial" w:cs="Arial"/>
          <w:sz w:val="18"/>
          <w:szCs w:val="18"/>
        </w:rPr>
        <w:t>228</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1A575F">
        <w:rPr>
          <w:rFonts w:ascii="Arial" w:hAnsi="Arial" w:cs="Arial"/>
          <w:sz w:val="18"/>
          <w:szCs w:val="18"/>
        </w:rPr>
        <w:t>Tercer</w:t>
      </w:r>
      <w:r>
        <w:rPr>
          <w:rFonts w:ascii="Arial" w:hAnsi="Arial" w:cs="Arial"/>
          <w:sz w:val="18"/>
          <w:szCs w:val="18"/>
        </w:rPr>
        <w:t xml:space="preserve"> Ajuste Trimestral 201</w:t>
      </w:r>
      <w:r w:rsidR="00CE45FC">
        <w:rPr>
          <w:rFonts w:ascii="Arial" w:hAnsi="Arial" w:cs="Arial"/>
          <w:sz w:val="18"/>
          <w:szCs w:val="18"/>
        </w:rPr>
        <w:t>9</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174586">
        <w:rPr>
          <w:rFonts w:ascii="Arial" w:hAnsi="Arial" w:cs="Arial"/>
          <w:sz w:val="18"/>
          <w:szCs w:val="18"/>
        </w:rPr>
        <w:t xml:space="preserve">, mismo que es mayor en un </w:t>
      </w:r>
      <w:r w:rsidR="005137AB">
        <w:rPr>
          <w:rFonts w:ascii="Arial" w:hAnsi="Arial" w:cs="Arial"/>
          <w:sz w:val="18"/>
          <w:szCs w:val="18"/>
        </w:rPr>
        <w:t>2</w:t>
      </w:r>
      <w:r w:rsidR="00174586">
        <w:rPr>
          <w:rFonts w:ascii="Arial" w:hAnsi="Arial" w:cs="Arial"/>
          <w:sz w:val="18"/>
          <w:szCs w:val="18"/>
        </w:rPr>
        <w:t>% respecto al mismo periodo del 2018</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B32FA6">
        <w:rPr>
          <w:rFonts w:ascii="Arial" w:hAnsi="Arial" w:cs="Arial"/>
          <w:sz w:val="18"/>
          <w:szCs w:val="18"/>
        </w:rPr>
        <w:t>1</w:t>
      </w:r>
      <w:r w:rsidR="00EA19C2">
        <w:rPr>
          <w:rFonts w:ascii="Arial" w:hAnsi="Arial" w:cs="Arial"/>
          <w:sz w:val="18"/>
          <w:szCs w:val="18"/>
        </w:rPr>
        <w:t>31</w:t>
      </w:r>
      <w:r>
        <w:rPr>
          <w:rFonts w:ascii="Arial" w:hAnsi="Arial" w:cs="Arial"/>
          <w:sz w:val="18"/>
          <w:szCs w:val="18"/>
        </w:rPr>
        <w:t>,</w:t>
      </w:r>
      <w:r w:rsidR="00EA19C2">
        <w:rPr>
          <w:rFonts w:ascii="Arial" w:hAnsi="Arial" w:cs="Arial"/>
          <w:sz w:val="18"/>
          <w:szCs w:val="18"/>
        </w:rPr>
        <w:t>185</w:t>
      </w:r>
      <w:r>
        <w:rPr>
          <w:rFonts w:ascii="Arial" w:hAnsi="Arial" w:cs="Arial"/>
          <w:sz w:val="18"/>
          <w:szCs w:val="18"/>
        </w:rPr>
        <w:t>,</w:t>
      </w:r>
      <w:r w:rsidR="00EA19C2">
        <w:rPr>
          <w:rFonts w:ascii="Arial" w:hAnsi="Arial" w:cs="Arial"/>
          <w:sz w:val="18"/>
          <w:szCs w:val="18"/>
        </w:rPr>
        <w:t>576</w:t>
      </w:r>
      <w:r w:rsidRPr="0073056A">
        <w:rPr>
          <w:rFonts w:ascii="Arial" w:hAnsi="Arial" w:cs="Arial"/>
          <w:sz w:val="18"/>
          <w:szCs w:val="18"/>
        </w:rPr>
        <w:t xml:space="preserve"> que se tiene al cierre del </w:t>
      </w:r>
      <w:r w:rsidR="00EA19C2">
        <w:rPr>
          <w:rFonts w:ascii="Arial" w:hAnsi="Arial" w:cs="Arial"/>
          <w:sz w:val="18"/>
          <w:szCs w:val="18"/>
        </w:rPr>
        <w:t>tercer</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5137AB">
        <w:rPr>
          <w:rFonts w:ascii="Arial" w:hAnsi="Arial" w:cs="Arial"/>
          <w:sz w:val="18"/>
          <w:szCs w:val="18"/>
        </w:rPr>
        <w:t xml:space="preserve"> mismo que es mayor en más de un100% respecto al mismo periodo del 2018</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EA19C2">
        <w:rPr>
          <w:rFonts w:ascii="Arial" w:hAnsi="Arial" w:cs="Arial"/>
          <w:sz w:val="18"/>
          <w:szCs w:val="18"/>
        </w:rPr>
        <w:t>tercer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EA19C2">
        <w:rPr>
          <w:rFonts w:ascii="Arial" w:hAnsi="Arial" w:cs="Arial"/>
          <w:sz w:val="18"/>
          <w:szCs w:val="18"/>
        </w:rPr>
        <w:t>tercer</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EA19C2">
        <w:rPr>
          <w:rFonts w:ascii="Arial" w:hAnsi="Arial" w:cs="Arial"/>
          <w:sz w:val="18"/>
          <w:szCs w:val="18"/>
        </w:rPr>
        <w:t>tercer</w:t>
      </w:r>
      <w:r w:rsidR="00142035">
        <w:rPr>
          <w:rFonts w:ascii="Arial" w:hAnsi="Arial" w:cs="Arial"/>
          <w:sz w:val="18"/>
          <w:szCs w:val="18"/>
        </w:rPr>
        <w:t xml:space="preserve"> trimestre del </w:t>
      </w:r>
      <w:r>
        <w:rPr>
          <w:rFonts w:ascii="Arial" w:hAnsi="Arial" w:cs="Arial"/>
          <w:sz w:val="18"/>
          <w:szCs w:val="18"/>
        </w:rPr>
        <w:t>ejercicio 201</w:t>
      </w:r>
      <w:r w:rsidR="00142035">
        <w:rPr>
          <w:rFonts w:ascii="Arial" w:hAnsi="Arial" w:cs="Arial"/>
          <w:sz w:val="18"/>
          <w:szCs w:val="18"/>
        </w:rPr>
        <w:t>9</w:t>
      </w:r>
      <w:r>
        <w:rPr>
          <w:rFonts w:ascii="Arial" w:hAnsi="Arial" w:cs="Arial"/>
          <w:sz w:val="18"/>
          <w:szCs w:val="18"/>
        </w:rPr>
        <w:t xml:space="preserve"> el Poder Ejecutivo cuenta con Inversiones Financieras a Largo Plazo por un importe de $ 2</w:t>
      </w:r>
      <w:r w:rsidR="000E10A7">
        <w:rPr>
          <w:rFonts w:ascii="Arial" w:hAnsi="Arial" w:cs="Arial"/>
          <w:sz w:val="18"/>
          <w:szCs w:val="18"/>
        </w:rPr>
        <w:t>79</w:t>
      </w:r>
      <w:r>
        <w:rPr>
          <w:rFonts w:ascii="Arial" w:hAnsi="Arial" w:cs="Arial"/>
          <w:sz w:val="18"/>
          <w:szCs w:val="18"/>
        </w:rPr>
        <w:t>,</w:t>
      </w:r>
      <w:r w:rsidR="000E10A7">
        <w:rPr>
          <w:rFonts w:ascii="Arial" w:hAnsi="Arial" w:cs="Arial"/>
          <w:sz w:val="18"/>
          <w:szCs w:val="18"/>
        </w:rPr>
        <w:t>232</w:t>
      </w:r>
      <w:r>
        <w:rPr>
          <w:rFonts w:ascii="Arial" w:hAnsi="Arial" w:cs="Arial"/>
          <w:sz w:val="18"/>
          <w:szCs w:val="18"/>
        </w:rPr>
        <w:t>,</w:t>
      </w:r>
      <w:r w:rsidR="000E10A7">
        <w:rPr>
          <w:rFonts w:ascii="Arial" w:hAnsi="Arial" w:cs="Arial"/>
          <w:sz w:val="18"/>
          <w:szCs w:val="18"/>
        </w:rPr>
        <w:t>304</w:t>
      </w:r>
      <w:r>
        <w:rPr>
          <w:rFonts w:ascii="Arial" w:hAnsi="Arial" w:cs="Arial"/>
          <w:sz w:val="18"/>
          <w:szCs w:val="18"/>
        </w:rPr>
        <w:t xml:space="preserve">, que respaldan los </w:t>
      </w:r>
      <w:r w:rsidRPr="00220F10">
        <w:rPr>
          <w:rFonts w:ascii="Arial" w:hAnsi="Arial" w:cs="Arial"/>
          <w:sz w:val="18"/>
          <w:szCs w:val="18"/>
        </w:rPr>
        <w:t>diversos fondos de contingencia del Ejecutivo del Estado</w:t>
      </w:r>
      <w:r w:rsidR="00441315" w:rsidRPr="00220F10">
        <w:rPr>
          <w:rFonts w:ascii="Arial" w:hAnsi="Arial" w:cs="Arial"/>
          <w:sz w:val="18"/>
          <w:szCs w:val="18"/>
        </w:rPr>
        <w:t>, mismo que es mayor en un 56% respecto al mismo periodo del 2018</w:t>
      </w:r>
      <w:r w:rsidRPr="00220F10">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42035">
        <w:rPr>
          <w:rFonts w:ascii="Arial" w:hAnsi="Arial" w:cs="Arial"/>
          <w:sz w:val="18"/>
          <w:szCs w:val="18"/>
        </w:rPr>
        <w:t xml:space="preserve">mes de </w:t>
      </w:r>
      <w:r w:rsidR="00CB7B1B">
        <w:rPr>
          <w:rFonts w:ascii="Arial" w:hAnsi="Arial" w:cs="Arial"/>
          <w:sz w:val="18"/>
          <w:szCs w:val="18"/>
        </w:rPr>
        <w:t>septiembre</w:t>
      </w:r>
      <w:r w:rsidR="00142035">
        <w:rPr>
          <w:rFonts w:ascii="Arial" w:hAnsi="Arial" w:cs="Arial"/>
          <w:sz w:val="18"/>
          <w:szCs w:val="18"/>
        </w:rPr>
        <w:t xml:space="preserve"> del </w:t>
      </w:r>
      <w:r>
        <w:rPr>
          <w:rFonts w:ascii="Arial" w:hAnsi="Arial" w:cs="Arial"/>
          <w:sz w:val="18"/>
          <w:szCs w:val="18"/>
        </w:rPr>
        <w:t>ejercicio 201</w:t>
      </w:r>
      <w:r w:rsidR="00142035">
        <w:rPr>
          <w:rFonts w:ascii="Arial" w:hAnsi="Arial" w:cs="Arial"/>
          <w:sz w:val="18"/>
          <w:szCs w:val="18"/>
        </w:rPr>
        <w:t>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22440F">
        <w:rPr>
          <w:rFonts w:ascii="Arial" w:hAnsi="Arial" w:cs="Arial"/>
          <w:sz w:val="18"/>
          <w:szCs w:val="18"/>
        </w:rPr>
        <w:t>40</w:t>
      </w:r>
      <w:r w:rsidR="00CB7B1B">
        <w:rPr>
          <w:rFonts w:ascii="Arial" w:hAnsi="Arial" w:cs="Arial"/>
          <w:sz w:val="18"/>
          <w:szCs w:val="18"/>
        </w:rPr>
        <w:t>8</w:t>
      </w:r>
      <w:r>
        <w:rPr>
          <w:rFonts w:ascii="Arial" w:hAnsi="Arial" w:cs="Arial"/>
          <w:sz w:val="18"/>
          <w:szCs w:val="18"/>
        </w:rPr>
        <w:t>,</w:t>
      </w:r>
      <w:r w:rsidR="00CB7B1B">
        <w:rPr>
          <w:rFonts w:ascii="Arial" w:hAnsi="Arial" w:cs="Arial"/>
          <w:sz w:val="18"/>
          <w:szCs w:val="18"/>
        </w:rPr>
        <w:t>235</w:t>
      </w:r>
      <w:r>
        <w:rPr>
          <w:rFonts w:ascii="Arial" w:hAnsi="Arial" w:cs="Arial"/>
          <w:sz w:val="18"/>
          <w:szCs w:val="18"/>
        </w:rPr>
        <w:t>,</w:t>
      </w:r>
      <w:r w:rsidR="00CB7B1B">
        <w:rPr>
          <w:rFonts w:ascii="Arial" w:hAnsi="Arial" w:cs="Arial"/>
          <w:sz w:val="18"/>
          <w:szCs w:val="18"/>
        </w:rPr>
        <w:t>456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220F10">
        <w:rPr>
          <w:rFonts w:ascii="Arial" w:hAnsi="Arial" w:cs="Arial"/>
          <w:sz w:val="18"/>
          <w:szCs w:val="18"/>
        </w:rPr>
        <w:t>, saldo</w:t>
      </w:r>
      <w:r w:rsidR="00220F10" w:rsidRPr="00220F10">
        <w:rPr>
          <w:rFonts w:ascii="Arial" w:hAnsi="Arial" w:cs="Arial"/>
          <w:sz w:val="18"/>
          <w:szCs w:val="18"/>
        </w:rPr>
        <w:t xml:space="preserve"> que es mayor en un </w:t>
      </w:r>
      <w:r w:rsidR="00220F10">
        <w:rPr>
          <w:rFonts w:ascii="Arial" w:hAnsi="Arial" w:cs="Arial"/>
          <w:sz w:val="18"/>
          <w:szCs w:val="18"/>
        </w:rPr>
        <w:t>1</w:t>
      </w:r>
      <w:r w:rsidR="00220F10" w:rsidRPr="00220F10">
        <w:rPr>
          <w:rFonts w:ascii="Arial" w:hAnsi="Arial" w:cs="Arial"/>
          <w:sz w:val="18"/>
          <w:szCs w:val="18"/>
        </w:rPr>
        <w:t>6% respecto al mismo periodo del 2018</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$ 7,</w:t>
      </w:r>
      <w:r w:rsidR="00CB7B1B">
        <w:rPr>
          <w:rFonts w:ascii="Arial" w:hAnsi="Arial" w:cs="Arial"/>
          <w:sz w:val="18"/>
          <w:szCs w:val="18"/>
        </w:rPr>
        <w:t>572</w:t>
      </w:r>
      <w:r w:rsidRPr="00F619D6">
        <w:rPr>
          <w:rFonts w:ascii="Arial" w:hAnsi="Arial" w:cs="Arial"/>
          <w:sz w:val="18"/>
          <w:szCs w:val="18"/>
        </w:rPr>
        <w:t>,</w:t>
      </w:r>
      <w:r w:rsidR="00CB7B1B">
        <w:rPr>
          <w:rFonts w:ascii="Arial" w:hAnsi="Arial" w:cs="Arial"/>
          <w:sz w:val="18"/>
          <w:szCs w:val="18"/>
        </w:rPr>
        <w:t>029</w:t>
      </w:r>
      <w:r w:rsidRPr="00F619D6">
        <w:rPr>
          <w:rFonts w:ascii="Arial" w:hAnsi="Arial" w:cs="Arial"/>
          <w:sz w:val="18"/>
          <w:szCs w:val="18"/>
        </w:rPr>
        <w:t>,</w:t>
      </w:r>
      <w:r w:rsidR="00CB7B1B">
        <w:rPr>
          <w:rFonts w:ascii="Arial" w:hAnsi="Arial" w:cs="Arial"/>
          <w:sz w:val="18"/>
          <w:szCs w:val="18"/>
        </w:rPr>
        <w:t>109</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220F10">
        <w:rPr>
          <w:rFonts w:ascii="Arial" w:hAnsi="Arial" w:cs="Arial"/>
          <w:sz w:val="18"/>
          <w:szCs w:val="18"/>
        </w:rPr>
        <w:t>, saldo</w:t>
      </w:r>
      <w:r w:rsidR="00220F10" w:rsidRPr="00220F10">
        <w:rPr>
          <w:rFonts w:ascii="Arial" w:hAnsi="Arial" w:cs="Arial"/>
          <w:sz w:val="18"/>
          <w:szCs w:val="18"/>
        </w:rPr>
        <w:t xml:space="preserve"> que es mayor en un </w:t>
      </w:r>
      <w:r w:rsidR="00220F10">
        <w:rPr>
          <w:rFonts w:ascii="Arial" w:hAnsi="Arial" w:cs="Arial"/>
          <w:sz w:val="18"/>
          <w:szCs w:val="18"/>
        </w:rPr>
        <w:t>19</w:t>
      </w:r>
      <w:r w:rsidR="00220F10" w:rsidRPr="00220F10">
        <w:rPr>
          <w:rFonts w:ascii="Arial" w:hAnsi="Arial" w:cs="Arial"/>
          <w:sz w:val="18"/>
          <w:szCs w:val="18"/>
        </w:rPr>
        <w:t>% respecto al mismo periodo del 2018</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w:t>
      </w:r>
      <w:r w:rsidR="00B052B4">
        <w:rPr>
          <w:rFonts w:ascii="Arial" w:hAnsi="Arial" w:cs="Arial"/>
          <w:sz w:val="18"/>
          <w:szCs w:val="18"/>
        </w:rPr>
        <w:t>4</w:t>
      </w:r>
      <w:r>
        <w:rPr>
          <w:rFonts w:ascii="Arial" w:hAnsi="Arial" w:cs="Arial"/>
          <w:sz w:val="18"/>
          <w:szCs w:val="18"/>
        </w:rPr>
        <w:t>,</w:t>
      </w:r>
      <w:r w:rsidR="006429DB">
        <w:rPr>
          <w:rFonts w:ascii="Arial" w:hAnsi="Arial" w:cs="Arial"/>
          <w:sz w:val="18"/>
          <w:szCs w:val="18"/>
        </w:rPr>
        <w:t>8</w:t>
      </w:r>
      <w:r w:rsidR="00CB7B1B">
        <w:rPr>
          <w:rFonts w:ascii="Arial" w:hAnsi="Arial" w:cs="Arial"/>
          <w:sz w:val="18"/>
          <w:szCs w:val="18"/>
        </w:rPr>
        <w:t>88</w:t>
      </w:r>
      <w:r>
        <w:rPr>
          <w:rFonts w:ascii="Arial" w:hAnsi="Arial" w:cs="Arial"/>
          <w:sz w:val="18"/>
          <w:szCs w:val="18"/>
        </w:rPr>
        <w:t>,</w:t>
      </w:r>
      <w:r w:rsidR="00B052B4">
        <w:rPr>
          <w:rFonts w:ascii="Arial" w:hAnsi="Arial" w:cs="Arial"/>
          <w:sz w:val="18"/>
          <w:szCs w:val="18"/>
        </w:rPr>
        <w:t>5</w:t>
      </w:r>
      <w:r w:rsidR="00CB7B1B">
        <w:rPr>
          <w:rFonts w:ascii="Arial" w:hAnsi="Arial" w:cs="Arial"/>
          <w:sz w:val="18"/>
          <w:szCs w:val="18"/>
        </w:rPr>
        <w:t>91</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CC7DC8">
        <w:rPr>
          <w:rFonts w:ascii="Arial" w:hAnsi="Arial" w:cs="Arial"/>
          <w:sz w:val="18"/>
          <w:szCs w:val="18"/>
        </w:rPr>
        <w:t>, saldo</w:t>
      </w:r>
      <w:r w:rsidR="00CC7DC8" w:rsidRPr="00220F10">
        <w:rPr>
          <w:rFonts w:ascii="Arial" w:hAnsi="Arial" w:cs="Arial"/>
          <w:sz w:val="18"/>
          <w:szCs w:val="18"/>
        </w:rPr>
        <w:t xml:space="preserve"> que es mayor en un 6% respecto al mismo periodo del 2018</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w:t>
      </w:r>
      <w:r w:rsidR="00CC7DC8">
        <w:rPr>
          <w:rFonts w:ascii="Arial" w:hAnsi="Arial" w:cs="Arial"/>
          <w:sz w:val="18"/>
          <w:szCs w:val="18"/>
        </w:rPr>
        <w:t>, para los ejercicios de 2018 y 2019 respectivamente</w:t>
      </w:r>
      <w:r w:rsidRPr="00FB6E0E">
        <w:rPr>
          <w:rFonts w:ascii="Arial" w:hAnsi="Arial" w:cs="Arial"/>
          <w:sz w:val="18"/>
          <w:szCs w:val="18"/>
        </w:rPr>
        <w:t>.</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AB5D6A">
        <w:rPr>
          <w:rFonts w:ascii="Arial" w:hAnsi="Arial" w:cs="Arial"/>
          <w:sz w:val="18"/>
          <w:szCs w:val="18"/>
        </w:rPr>
        <w:t>septiembre</w:t>
      </w:r>
      <w:r>
        <w:rPr>
          <w:rFonts w:ascii="Arial" w:hAnsi="Arial" w:cs="Arial"/>
          <w:sz w:val="18"/>
          <w:szCs w:val="18"/>
        </w:rPr>
        <w:t xml:space="preserve"> del ejercicio 201</w:t>
      </w:r>
      <w:r w:rsidR="00415099">
        <w:rPr>
          <w:rFonts w:ascii="Arial" w:hAnsi="Arial" w:cs="Arial"/>
          <w:sz w:val="18"/>
          <w:szCs w:val="18"/>
        </w:rPr>
        <w:t>9</w:t>
      </w:r>
      <w:r w:rsidR="00CC7DC8">
        <w:rPr>
          <w:rFonts w:ascii="Arial" w:hAnsi="Arial" w:cs="Arial"/>
          <w:sz w:val="18"/>
          <w:szCs w:val="18"/>
        </w:rPr>
        <w:t xml:space="preserve"> al igual que en el mismo periodo de 2018</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B5D6A">
        <w:rPr>
          <w:rFonts w:ascii="Arial" w:hAnsi="Arial" w:cs="Arial"/>
          <w:sz w:val="18"/>
          <w:szCs w:val="18"/>
        </w:rPr>
        <w:t>2</w:t>
      </w:r>
      <w:r>
        <w:rPr>
          <w:rFonts w:ascii="Arial" w:hAnsi="Arial" w:cs="Arial"/>
          <w:sz w:val="18"/>
          <w:szCs w:val="18"/>
        </w:rPr>
        <w:t>,</w:t>
      </w:r>
      <w:r w:rsidR="00AB5D6A">
        <w:rPr>
          <w:rFonts w:ascii="Arial" w:hAnsi="Arial" w:cs="Arial"/>
          <w:sz w:val="18"/>
          <w:szCs w:val="18"/>
        </w:rPr>
        <w:t>643</w:t>
      </w:r>
      <w:r>
        <w:rPr>
          <w:rFonts w:ascii="Arial" w:hAnsi="Arial" w:cs="Arial"/>
          <w:sz w:val="18"/>
          <w:szCs w:val="18"/>
        </w:rPr>
        <w:t>,</w:t>
      </w:r>
      <w:r w:rsidR="00AB5D6A">
        <w:rPr>
          <w:rFonts w:ascii="Arial" w:hAnsi="Arial" w:cs="Arial"/>
          <w:sz w:val="18"/>
          <w:szCs w:val="18"/>
        </w:rPr>
        <w:t>974</w:t>
      </w:r>
      <w:r>
        <w:rPr>
          <w:rFonts w:ascii="Arial" w:hAnsi="Arial" w:cs="Arial"/>
          <w:sz w:val="18"/>
          <w:szCs w:val="18"/>
        </w:rPr>
        <w:t>,</w:t>
      </w:r>
      <w:r w:rsidR="00AB5D6A">
        <w:rPr>
          <w:rFonts w:ascii="Arial" w:hAnsi="Arial" w:cs="Arial"/>
          <w:sz w:val="18"/>
          <w:szCs w:val="18"/>
        </w:rPr>
        <w:t>132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E06F8C">
        <w:rPr>
          <w:rFonts w:ascii="Arial" w:hAnsi="Arial" w:cs="Arial"/>
          <w:sz w:val="18"/>
          <w:szCs w:val="18"/>
        </w:rPr>
        <w:t>, saldo</w:t>
      </w:r>
      <w:r w:rsidR="00E06F8C" w:rsidRPr="00220F10">
        <w:rPr>
          <w:rFonts w:ascii="Arial" w:hAnsi="Arial" w:cs="Arial"/>
          <w:sz w:val="18"/>
          <w:szCs w:val="18"/>
        </w:rPr>
        <w:t xml:space="preserve"> que es mayor en un </w:t>
      </w:r>
      <w:r w:rsidR="00E06F8C">
        <w:rPr>
          <w:rFonts w:ascii="Arial" w:hAnsi="Arial" w:cs="Arial"/>
          <w:sz w:val="18"/>
          <w:szCs w:val="18"/>
        </w:rPr>
        <w:t>45</w:t>
      </w:r>
      <w:r w:rsidR="00E06F8C" w:rsidRPr="00220F10">
        <w:rPr>
          <w:rFonts w:ascii="Arial" w:hAnsi="Arial" w:cs="Arial"/>
          <w:sz w:val="18"/>
          <w:szCs w:val="18"/>
        </w:rPr>
        <w:t>% respecto al mismo periodo del 2018</w:t>
      </w:r>
      <w:r w:rsidRPr="001528B7">
        <w:rPr>
          <w:rFonts w:ascii="Arial" w:hAnsi="Arial" w:cs="Arial"/>
          <w:sz w:val="18"/>
          <w:szCs w:val="18"/>
        </w:rPr>
        <w:t>.</w:t>
      </w:r>
    </w:p>
    <w:p w:rsidR="00021787" w:rsidRDefault="00021787" w:rsidP="00332091">
      <w:pPr>
        <w:tabs>
          <w:tab w:val="left" w:pos="284"/>
        </w:tabs>
        <w:ind w:left="284"/>
        <w:jc w:val="both"/>
        <w:rPr>
          <w:rFonts w:ascii="Arial" w:hAnsi="Arial" w:cs="Arial"/>
          <w:sz w:val="18"/>
          <w:szCs w:val="18"/>
        </w:rPr>
      </w:pPr>
    </w:p>
    <w:p w:rsidR="00C8767A" w:rsidRPr="001528B7" w:rsidRDefault="00C8767A"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941FB8">
        <w:rPr>
          <w:rFonts w:ascii="Arial" w:hAnsi="Arial" w:cs="Arial"/>
          <w:sz w:val="18"/>
          <w:szCs w:val="18"/>
          <w:lang w:val="es-ES"/>
        </w:rPr>
        <w:t>tercer</w:t>
      </w:r>
      <w:r w:rsidR="00415099">
        <w:rPr>
          <w:rFonts w:ascii="Arial" w:hAnsi="Arial" w:cs="Arial"/>
          <w:sz w:val="18"/>
          <w:szCs w:val="18"/>
          <w:lang w:val="es-ES"/>
        </w:rPr>
        <w:t xml:space="preserve"> trimestre </w:t>
      </w:r>
      <w:r>
        <w:rPr>
          <w:rFonts w:ascii="Arial" w:hAnsi="Arial" w:cs="Arial"/>
          <w:sz w:val="18"/>
          <w:szCs w:val="18"/>
        </w:rPr>
        <w:t>del ejercicio 201</w:t>
      </w:r>
      <w:r w:rsidR="00415099">
        <w:rPr>
          <w:rFonts w:ascii="Arial" w:hAnsi="Arial" w:cs="Arial"/>
          <w:sz w:val="18"/>
          <w:szCs w:val="18"/>
        </w:rPr>
        <w:t>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E32B77">
        <w:rPr>
          <w:rFonts w:ascii="Arial" w:hAnsi="Arial" w:cs="Arial"/>
          <w:sz w:val="18"/>
          <w:szCs w:val="18"/>
        </w:rPr>
        <w:t>1</w:t>
      </w:r>
      <w:r w:rsidR="00941FB8">
        <w:rPr>
          <w:rFonts w:ascii="Arial" w:hAnsi="Arial" w:cs="Arial"/>
          <w:sz w:val="18"/>
          <w:szCs w:val="18"/>
        </w:rPr>
        <w:t>6</w:t>
      </w:r>
      <w:r>
        <w:rPr>
          <w:rFonts w:ascii="Arial" w:hAnsi="Arial" w:cs="Arial"/>
          <w:sz w:val="18"/>
          <w:szCs w:val="18"/>
        </w:rPr>
        <w:t>,</w:t>
      </w:r>
      <w:r w:rsidR="00941FB8">
        <w:rPr>
          <w:rFonts w:ascii="Arial" w:hAnsi="Arial" w:cs="Arial"/>
          <w:sz w:val="18"/>
          <w:szCs w:val="18"/>
        </w:rPr>
        <w:t>514</w:t>
      </w:r>
      <w:r>
        <w:rPr>
          <w:rFonts w:ascii="Arial" w:hAnsi="Arial" w:cs="Arial"/>
          <w:sz w:val="18"/>
          <w:szCs w:val="18"/>
        </w:rPr>
        <w:t>,</w:t>
      </w:r>
      <w:r w:rsidR="00941FB8">
        <w:rPr>
          <w:rFonts w:ascii="Arial" w:hAnsi="Arial" w:cs="Arial"/>
          <w:sz w:val="18"/>
          <w:szCs w:val="18"/>
        </w:rPr>
        <w:t>744</w:t>
      </w:r>
      <w:r>
        <w:rPr>
          <w:rFonts w:ascii="Arial" w:hAnsi="Arial" w:cs="Arial"/>
          <w:sz w:val="18"/>
          <w:szCs w:val="18"/>
        </w:rPr>
        <w:t>,</w:t>
      </w:r>
      <w:r w:rsidR="00941FB8">
        <w:rPr>
          <w:rFonts w:ascii="Arial" w:hAnsi="Arial" w:cs="Arial"/>
          <w:sz w:val="18"/>
          <w:szCs w:val="18"/>
        </w:rPr>
        <w:t>176</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941FB8">
        <w:rPr>
          <w:rFonts w:ascii="Arial" w:hAnsi="Arial" w:cs="Arial"/>
          <w:sz w:val="18"/>
          <w:szCs w:val="18"/>
        </w:rPr>
        <w:t>14</w:t>
      </w:r>
      <w:r>
        <w:rPr>
          <w:rFonts w:ascii="Arial" w:hAnsi="Arial" w:cs="Arial"/>
          <w:sz w:val="18"/>
          <w:szCs w:val="18"/>
        </w:rPr>
        <w:t>,</w:t>
      </w:r>
      <w:r w:rsidR="00941FB8">
        <w:rPr>
          <w:rFonts w:ascii="Arial" w:hAnsi="Arial" w:cs="Arial"/>
          <w:sz w:val="18"/>
          <w:szCs w:val="18"/>
        </w:rPr>
        <w:t>116</w:t>
      </w:r>
      <w:r>
        <w:rPr>
          <w:rFonts w:ascii="Arial" w:hAnsi="Arial" w:cs="Arial"/>
          <w:sz w:val="18"/>
          <w:szCs w:val="18"/>
        </w:rPr>
        <w:t>,</w:t>
      </w:r>
      <w:r w:rsidR="00941FB8">
        <w:rPr>
          <w:rFonts w:ascii="Arial" w:hAnsi="Arial" w:cs="Arial"/>
          <w:sz w:val="18"/>
          <w:szCs w:val="18"/>
        </w:rPr>
        <w:t>287</w:t>
      </w:r>
      <w:r>
        <w:rPr>
          <w:rFonts w:ascii="Arial" w:hAnsi="Arial" w:cs="Arial"/>
          <w:sz w:val="18"/>
          <w:szCs w:val="18"/>
        </w:rPr>
        <w:t>,</w:t>
      </w:r>
      <w:r w:rsidR="00941FB8">
        <w:rPr>
          <w:rFonts w:ascii="Arial" w:hAnsi="Arial" w:cs="Arial"/>
          <w:sz w:val="18"/>
          <w:szCs w:val="18"/>
        </w:rPr>
        <w:t>200</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941FB8">
        <w:rPr>
          <w:rFonts w:ascii="Arial" w:hAnsi="Arial" w:cs="Arial"/>
          <w:sz w:val="18"/>
          <w:szCs w:val="18"/>
        </w:rPr>
        <w:t>2</w:t>
      </w:r>
      <w:r>
        <w:rPr>
          <w:rFonts w:ascii="Arial" w:hAnsi="Arial" w:cs="Arial"/>
          <w:sz w:val="18"/>
          <w:szCs w:val="18"/>
        </w:rPr>
        <w:t>,</w:t>
      </w:r>
      <w:r w:rsidR="00941FB8">
        <w:rPr>
          <w:rFonts w:ascii="Arial" w:hAnsi="Arial" w:cs="Arial"/>
          <w:sz w:val="18"/>
          <w:szCs w:val="18"/>
        </w:rPr>
        <w:t>398</w:t>
      </w:r>
      <w:r>
        <w:rPr>
          <w:rFonts w:ascii="Arial" w:hAnsi="Arial" w:cs="Arial"/>
          <w:sz w:val="18"/>
          <w:szCs w:val="18"/>
        </w:rPr>
        <w:t>,</w:t>
      </w:r>
      <w:r w:rsidR="00941FB8">
        <w:rPr>
          <w:rFonts w:ascii="Arial" w:hAnsi="Arial" w:cs="Arial"/>
          <w:sz w:val="18"/>
          <w:szCs w:val="18"/>
        </w:rPr>
        <w:t>456</w:t>
      </w:r>
      <w:r>
        <w:rPr>
          <w:rFonts w:ascii="Arial" w:hAnsi="Arial" w:cs="Arial"/>
          <w:sz w:val="18"/>
          <w:szCs w:val="18"/>
        </w:rPr>
        <w:t>,</w:t>
      </w:r>
      <w:r w:rsidR="00941FB8">
        <w:rPr>
          <w:rFonts w:ascii="Arial" w:hAnsi="Arial" w:cs="Arial"/>
          <w:sz w:val="18"/>
          <w:szCs w:val="18"/>
        </w:rPr>
        <w:t>976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E06F8C">
        <w:rPr>
          <w:rFonts w:ascii="Arial" w:hAnsi="Arial" w:cs="Arial"/>
          <w:sz w:val="18"/>
          <w:szCs w:val="18"/>
        </w:rPr>
        <w:t>, saldo</w:t>
      </w:r>
      <w:r w:rsidR="00E06F8C" w:rsidRPr="00220F10">
        <w:rPr>
          <w:rFonts w:ascii="Arial" w:hAnsi="Arial" w:cs="Arial"/>
          <w:sz w:val="18"/>
          <w:szCs w:val="18"/>
        </w:rPr>
        <w:t xml:space="preserve"> que es </w:t>
      </w:r>
      <w:r w:rsidR="00E06F8C">
        <w:rPr>
          <w:rFonts w:ascii="Arial" w:hAnsi="Arial" w:cs="Arial"/>
          <w:sz w:val="18"/>
          <w:szCs w:val="18"/>
        </w:rPr>
        <w:t>menor</w:t>
      </w:r>
      <w:r w:rsidR="00E06F8C" w:rsidRPr="00220F10">
        <w:rPr>
          <w:rFonts w:ascii="Arial" w:hAnsi="Arial" w:cs="Arial"/>
          <w:sz w:val="18"/>
          <w:szCs w:val="18"/>
        </w:rPr>
        <w:t xml:space="preserve"> en un </w:t>
      </w:r>
      <w:r w:rsidR="00E06F8C">
        <w:rPr>
          <w:rFonts w:ascii="Arial" w:hAnsi="Arial" w:cs="Arial"/>
          <w:sz w:val="18"/>
          <w:szCs w:val="18"/>
        </w:rPr>
        <w:t>25</w:t>
      </w:r>
      <w:r w:rsidR="00E06F8C" w:rsidRPr="00220F10">
        <w:rPr>
          <w:rFonts w:ascii="Arial" w:hAnsi="Arial" w:cs="Arial"/>
          <w:sz w:val="18"/>
          <w:szCs w:val="18"/>
        </w:rPr>
        <w:t>% respecto al mismo periodo del 2018</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941FB8">
        <w:rPr>
          <w:rFonts w:ascii="Arial" w:hAnsi="Arial" w:cs="Arial"/>
          <w:sz w:val="18"/>
          <w:szCs w:val="18"/>
        </w:rPr>
        <w:t>septiembre</w:t>
      </w:r>
      <w:r>
        <w:rPr>
          <w:rFonts w:ascii="Arial" w:hAnsi="Arial" w:cs="Arial"/>
          <w:sz w:val="18"/>
          <w:szCs w:val="18"/>
        </w:rPr>
        <w:t xml:space="preserve"> de 201</w:t>
      </w:r>
      <w:r w:rsidR="0008099F">
        <w:rPr>
          <w:rFonts w:ascii="Arial" w:hAnsi="Arial" w:cs="Arial"/>
          <w:sz w:val="18"/>
          <w:szCs w:val="18"/>
        </w:rPr>
        <w:t>9</w:t>
      </w:r>
      <w:r w:rsidRPr="0073056A">
        <w:rPr>
          <w:rFonts w:ascii="Arial" w:hAnsi="Arial" w:cs="Arial"/>
          <w:sz w:val="18"/>
          <w:szCs w:val="18"/>
        </w:rPr>
        <w:t xml:space="preserve"> se recaudó la cantidad de $</w:t>
      </w:r>
      <w:r>
        <w:rPr>
          <w:rFonts w:ascii="Arial" w:hAnsi="Arial" w:cs="Arial"/>
          <w:sz w:val="18"/>
          <w:szCs w:val="18"/>
        </w:rPr>
        <w:t xml:space="preserve"> </w:t>
      </w:r>
      <w:r w:rsidR="00941FB8">
        <w:rPr>
          <w:rFonts w:ascii="Arial" w:hAnsi="Arial" w:cs="Arial"/>
          <w:sz w:val="18"/>
          <w:szCs w:val="18"/>
        </w:rPr>
        <w:t>415</w:t>
      </w:r>
      <w:r>
        <w:rPr>
          <w:rFonts w:ascii="Arial" w:hAnsi="Arial" w:cs="Arial"/>
          <w:sz w:val="18"/>
          <w:szCs w:val="18"/>
        </w:rPr>
        <w:t>,</w:t>
      </w:r>
      <w:r w:rsidR="00192770">
        <w:rPr>
          <w:rFonts w:ascii="Arial" w:hAnsi="Arial" w:cs="Arial"/>
          <w:sz w:val="18"/>
          <w:szCs w:val="18"/>
        </w:rPr>
        <w:t>7</w:t>
      </w:r>
      <w:r w:rsidR="00941FB8">
        <w:rPr>
          <w:rFonts w:ascii="Arial" w:hAnsi="Arial" w:cs="Arial"/>
          <w:sz w:val="18"/>
          <w:szCs w:val="18"/>
        </w:rPr>
        <w:t>09</w:t>
      </w:r>
      <w:r>
        <w:rPr>
          <w:rFonts w:ascii="Arial" w:hAnsi="Arial" w:cs="Arial"/>
          <w:sz w:val="18"/>
          <w:szCs w:val="18"/>
        </w:rPr>
        <w:t>,</w:t>
      </w:r>
      <w:r w:rsidR="00941FB8">
        <w:rPr>
          <w:rFonts w:ascii="Arial" w:hAnsi="Arial" w:cs="Arial"/>
          <w:sz w:val="18"/>
          <w:szCs w:val="18"/>
        </w:rPr>
        <w:t>683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941FB8">
        <w:rPr>
          <w:rFonts w:ascii="Arial" w:hAnsi="Arial" w:cs="Arial"/>
          <w:sz w:val="18"/>
          <w:szCs w:val="18"/>
        </w:rPr>
        <w:t>394</w:t>
      </w:r>
      <w:r w:rsidR="00E004F0">
        <w:rPr>
          <w:rFonts w:ascii="Arial" w:hAnsi="Arial" w:cs="Arial"/>
          <w:sz w:val="18"/>
          <w:szCs w:val="18"/>
        </w:rPr>
        <w:t>,</w:t>
      </w:r>
      <w:r w:rsidR="00941FB8">
        <w:rPr>
          <w:rFonts w:ascii="Arial" w:hAnsi="Arial" w:cs="Arial"/>
          <w:sz w:val="18"/>
          <w:szCs w:val="18"/>
        </w:rPr>
        <w:t>594</w:t>
      </w:r>
      <w:r>
        <w:rPr>
          <w:rFonts w:ascii="Arial" w:hAnsi="Arial" w:cs="Arial"/>
          <w:sz w:val="18"/>
          <w:szCs w:val="18"/>
        </w:rPr>
        <w:t>,</w:t>
      </w:r>
      <w:r w:rsidR="00941FB8">
        <w:rPr>
          <w:rFonts w:ascii="Arial" w:hAnsi="Arial" w:cs="Arial"/>
          <w:sz w:val="18"/>
          <w:szCs w:val="18"/>
        </w:rPr>
        <w:t>666</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E23A75">
        <w:rPr>
          <w:rFonts w:ascii="Arial" w:hAnsi="Arial" w:cs="Arial"/>
          <w:sz w:val="18"/>
          <w:szCs w:val="18"/>
        </w:rPr>
        <w:t>5</w:t>
      </w:r>
      <w:r>
        <w:rPr>
          <w:rFonts w:ascii="Arial" w:hAnsi="Arial" w:cs="Arial"/>
          <w:sz w:val="18"/>
          <w:szCs w:val="18"/>
        </w:rPr>
        <w:t>,</w:t>
      </w:r>
      <w:r w:rsidR="00E23A75">
        <w:rPr>
          <w:rFonts w:ascii="Arial" w:hAnsi="Arial" w:cs="Arial"/>
          <w:sz w:val="18"/>
          <w:szCs w:val="18"/>
        </w:rPr>
        <w:t>151</w:t>
      </w:r>
      <w:r>
        <w:rPr>
          <w:rFonts w:ascii="Arial" w:hAnsi="Arial" w:cs="Arial"/>
          <w:sz w:val="18"/>
          <w:szCs w:val="18"/>
        </w:rPr>
        <w:t>,</w:t>
      </w:r>
      <w:r w:rsidR="00E17BD5">
        <w:rPr>
          <w:rFonts w:ascii="Arial" w:hAnsi="Arial" w:cs="Arial"/>
          <w:sz w:val="18"/>
          <w:szCs w:val="18"/>
        </w:rPr>
        <w:t>761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192770">
        <w:rPr>
          <w:rFonts w:ascii="Arial" w:hAnsi="Arial" w:cs="Arial"/>
          <w:sz w:val="18"/>
          <w:szCs w:val="18"/>
        </w:rPr>
        <w:t>2</w:t>
      </w:r>
      <w:r>
        <w:rPr>
          <w:rFonts w:ascii="Arial" w:hAnsi="Arial" w:cs="Arial"/>
          <w:sz w:val="18"/>
          <w:szCs w:val="18"/>
        </w:rPr>
        <w:t>,</w:t>
      </w:r>
      <w:r w:rsidR="00E23A75">
        <w:rPr>
          <w:rFonts w:ascii="Arial" w:hAnsi="Arial" w:cs="Arial"/>
          <w:sz w:val="18"/>
          <w:szCs w:val="18"/>
        </w:rPr>
        <w:t>963</w:t>
      </w:r>
      <w:r>
        <w:rPr>
          <w:rFonts w:ascii="Arial" w:hAnsi="Arial" w:cs="Arial"/>
          <w:sz w:val="18"/>
          <w:szCs w:val="18"/>
        </w:rPr>
        <w:t>,</w:t>
      </w:r>
      <w:r w:rsidR="00E23A75">
        <w:rPr>
          <w:rFonts w:ascii="Arial" w:hAnsi="Arial" w:cs="Arial"/>
          <w:sz w:val="18"/>
          <w:szCs w:val="18"/>
        </w:rPr>
        <w:t>039</w:t>
      </w:r>
      <w:r w:rsidR="00C40475">
        <w:rPr>
          <w:rFonts w:ascii="Arial" w:hAnsi="Arial" w:cs="Arial"/>
          <w:sz w:val="18"/>
          <w:szCs w:val="18"/>
        </w:rPr>
        <w:t>. Saldo</w:t>
      </w:r>
      <w:r w:rsidR="00C40475" w:rsidRPr="00220F10">
        <w:rPr>
          <w:rFonts w:ascii="Arial" w:hAnsi="Arial" w:cs="Arial"/>
          <w:sz w:val="18"/>
          <w:szCs w:val="18"/>
        </w:rPr>
        <w:t xml:space="preserve"> que es </w:t>
      </w:r>
      <w:r w:rsidR="00C40475">
        <w:rPr>
          <w:rFonts w:ascii="Arial" w:hAnsi="Arial" w:cs="Arial"/>
          <w:sz w:val="18"/>
          <w:szCs w:val="18"/>
        </w:rPr>
        <w:t>menor</w:t>
      </w:r>
      <w:r w:rsidR="00C40475" w:rsidRPr="00220F10">
        <w:rPr>
          <w:rFonts w:ascii="Arial" w:hAnsi="Arial" w:cs="Arial"/>
          <w:sz w:val="18"/>
          <w:szCs w:val="18"/>
        </w:rPr>
        <w:t xml:space="preserve"> en un </w:t>
      </w:r>
      <w:r w:rsidR="00C40475">
        <w:rPr>
          <w:rFonts w:ascii="Arial" w:hAnsi="Arial" w:cs="Arial"/>
          <w:sz w:val="18"/>
          <w:szCs w:val="18"/>
        </w:rPr>
        <w:t>1</w:t>
      </w:r>
      <w:r w:rsidR="00C40475" w:rsidRPr="00220F10">
        <w:rPr>
          <w:rFonts w:ascii="Arial" w:hAnsi="Arial" w:cs="Arial"/>
          <w:sz w:val="18"/>
          <w:szCs w:val="18"/>
        </w:rPr>
        <w:t>% respecto al mismo periodo del 2018</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07519E">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7519E">
        <w:rPr>
          <w:rFonts w:ascii="Arial" w:hAnsi="Arial" w:cs="Arial"/>
          <w:sz w:val="18"/>
          <w:szCs w:val="18"/>
        </w:rPr>
        <w:t>326</w:t>
      </w:r>
      <w:r>
        <w:rPr>
          <w:rFonts w:ascii="Arial" w:hAnsi="Arial" w:cs="Arial"/>
          <w:sz w:val="18"/>
          <w:szCs w:val="18"/>
        </w:rPr>
        <w:t>,</w:t>
      </w:r>
      <w:r w:rsidR="0007519E">
        <w:rPr>
          <w:rFonts w:ascii="Arial" w:hAnsi="Arial" w:cs="Arial"/>
          <w:sz w:val="18"/>
          <w:szCs w:val="18"/>
        </w:rPr>
        <w:t>865</w:t>
      </w:r>
      <w:r>
        <w:rPr>
          <w:rFonts w:ascii="Arial" w:hAnsi="Arial" w:cs="Arial"/>
          <w:sz w:val="18"/>
          <w:szCs w:val="18"/>
        </w:rPr>
        <w:t>,</w:t>
      </w:r>
      <w:r w:rsidR="0007519E">
        <w:rPr>
          <w:rFonts w:ascii="Arial" w:hAnsi="Arial" w:cs="Arial"/>
          <w:sz w:val="18"/>
          <w:szCs w:val="18"/>
        </w:rPr>
        <w:t>210</w:t>
      </w:r>
      <w:r w:rsidR="00C40475">
        <w:rPr>
          <w:rFonts w:ascii="Arial" w:hAnsi="Arial" w:cs="Arial"/>
          <w:sz w:val="18"/>
          <w:szCs w:val="18"/>
        </w:rPr>
        <w:t>, saldo</w:t>
      </w:r>
      <w:r w:rsidR="00C40475" w:rsidRPr="00220F10">
        <w:rPr>
          <w:rFonts w:ascii="Arial" w:hAnsi="Arial" w:cs="Arial"/>
          <w:sz w:val="18"/>
          <w:szCs w:val="18"/>
        </w:rPr>
        <w:t xml:space="preserve"> que es m</w:t>
      </w:r>
      <w:r w:rsidR="00C40475">
        <w:rPr>
          <w:rFonts w:ascii="Arial" w:hAnsi="Arial" w:cs="Arial"/>
          <w:sz w:val="18"/>
          <w:szCs w:val="18"/>
        </w:rPr>
        <w:t>eno</w:t>
      </w:r>
      <w:r w:rsidR="00C40475" w:rsidRPr="00220F10">
        <w:rPr>
          <w:rFonts w:ascii="Arial" w:hAnsi="Arial" w:cs="Arial"/>
          <w:sz w:val="18"/>
          <w:szCs w:val="18"/>
        </w:rPr>
        <w:t>r en un 6% respecto al mismo periodo del 2018</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7519E">
        <w:rPr>
          <w:rFonts w:ascii="Arial" w:hAnsi="Arial" w:cs="Arial"/>
          <w:sz w:val="18"/>
          <w:szCs w:val="18"/>
        </w:rPr>
        <w:t xml:space="preserve">septiembre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07519E">
        <w:rPr>
          <w:rFonts w:ascii="Arial" w:hAnsi="Arial" w:cs="Arial"/>
          <w:sz w:val="18"/>
          <w:szCs w:val="18"/>
        </w:rPr>
        <w:t>238</w:t>
      </w:r>
      <w:r w:rsidRPr="00502DDD">
        <w:rPr>
          <w:rFonts w:ascii="Arial" w:hAnsi="Arial" w:cs="Arial"/>
          <w:sz w:val="18"/>
          <w:szCs w:val="18"/>
        </w:rPr>
        <w:t>,</w:t>
      </w:r>
      <w:r w:rsidR="0007519E">
        <w:rPr>
          <w:rFonts w:ascii="Arial" w:hAnsi="Arial" w:cs="Arial"/>
          <w:sz w:val="18"/>
          <w:szCs w:val="18"/>
        </w:rPr>
        <w:t>593</w:t>
      </w:r>
      <w:r w:rsidRPr="00502DDD">
        <w:rPr>
          <w:rFonts w:ascii="Arial" w:hAnsi="Arial" w:cs="Arial"/>
          <w:sz w:val="18"/>
          <w:szCs w:val="18"/>
        </w:rPr>
        <w:t>,</w:t>
      </w:r>
      <w:r w:rsidR="0007519E">
        <w:rPr>
          <w:rFonts w:ascii="Arial" w:hAnsi="Arial" w:cs="Arial"/>
          <w:sz w:val="18"/>
          <w:szCs w:val="18"/>
        </w:rPr>
        <w:t>485</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C8767A">
        <w:rPr>
          <w:rFonts w:ascii="Arial" w:hAnsi="Arial" w:cs="Arial"/>
          <w:sz w:val="18"/>
          <w:szCs w:val="18"/>
        </w:rPr>
        <w:t>, saldo</w:t>
      </w:r>
      <w:r w:rsidR="00C8767A" w:rsidRPr="00220F10">
        <w:rPr>
          <w:rFonts w:ascii="Arial" w:hAnsi="Arial" w:cs="Arial"/>
          <w:sz w:val="18"/>
          <w:szCs w:val="18"/>
        </w:rPr>
        <w:t xml:space="preserve"> que es m</w:t>
      </w:r>
      <w:r w:rsidR="00C8767A">
        <w:rPr>
          <w:rFonts w:ascii="Arial" w:hAnsi="Arial" w:cs="Arial"/>
          <w:sz w:val="18"/>
          <w:szCs w:val="18"/>
        </w:rPr>
        <w:t>ayor</w:t>
      </w:r>
      <w:r w:rsidR="00C8767A" w:rsidRPr="00220F10">
        <w:rPr>
          <w:rFonts w:ascii="Arial" w:hAnsi="Arial" w:cs="Arial"/>
          <w:sz w:val="18"/>
          <w:szCs w:val="18"/>
        </w:rPr>
        <w:t xml:space="preserve"> en un 6% respecto al mismo periodo del 2018</w:t>
      </w:r>
      <w:r w:rsidR="00C8767A" w:rsidRPr="0073056A">
        <w:rPr>
          <w:rFonts w:ascii="Arial" w:hAnsi="Arial" w:cs="Arial"/>
          <w:sz w:val="18"/>
          <w:szCs w:val="18"/>
        </w:rPr>
        <w:t>.</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923251">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201</w:t>
      </w:r>
      <w:r w:rsidR="00513E7E">
        <w:rPr>
          <w:rFonts w:ascii="Arial" w:hAnsi="Arial" w:cs="Arial"/>
          <w:sz w:val="18"/>
          <w:szCs w:val="18"/>
        </w:rPr>
        <w:t>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513E7E">
        <w:rPr>
          <w:rFonts w:ascii="Arial" w:hAnsi="Arial" w:cs="Arial"/>
          <w:sz w:val="18"/>
          <w:szCs w:val="18"/>
        </w:rPr>
        <w:t>2</w:t>
      </w:r>
      <w:r>
        <w:rPr>
          <w:rFonts w:ascii="Arial" w:hAnsi="Arial" w:cs="Arial"/>
          <w:sz w:val="18"/>
          <w:szCs w:val="18"/>
        </w:rPr>
        <w:t>,</w:t>
      </w:r>
      <w:r w:rsidR="00923251">
        <w:rPr>
          <w:rFonts w:ascii="Arial" w:hAnsi="Arial" w:cs="Arial"/>
          <w:sz w:val="18"/>
          <w:szCs w:val="18"/>
        </w:rPr>
        <w:t>815</w:t>
      </w:r>
      <w:r>
        <w:rPr>
          <w:rFonts w:ascii="Arial" w:hAnsi="Arial" w:cs="Arial"/>
          <w:sz w:val="18"/>
          <w:szCs w:val="18"/>
        </w:rPr>
        <w:t>,</w:t>
      </w:r>
      <w:r w:rsidR="00923251">
        <w:rPr>
          <w:rFonts w:ascii="Arial" w:hAnsi="Arial" w:cs="Arial"/>
          <w:sz w:val="18"/>
          <w:szCs w:val="18"/>
        </w:rPr>
        <w:t>464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00C8767A">
        <w:rPr>
          <w:rFonts w:ascii="Arial" w:hAnsi="Arial" w:cs="Arial"/>
          <w:sz w:val="18"/>
          <w:szCs w:val="18"/>
        </w:rPr>
        <w:t>, saldo</w:t>
      </w:r>
      <w:r w:rsidR="00C8767A" w:rsidRPr="00220F10">
        <w:rPr>
          <w:rFonts w:ascii="Arial" w:hAnsi="Arial" w:cs="Arial"/>
          <w:sz w:val="18"/>
          <w:szCs w:val="18"/>
        </w:rPr>
        <w:t xml:space="preserve"> que es m</w:t>
      </w:r>
      <w:r w:rsidR="00C8767A">
        <w:rPr>
          <w:rFonts w:ascii="Arial" w:hAnsi="Arial" w:cs="Arial"/>
          <w:sz w:val="18"/>
          <w:szCs w:val="18"/>
        </w:rPr>
        <w:t>eno</w:t>
      </w:r>
      <w:r w:rsidR="00C8767A" w:rsidRPr="00220F10">
        <w:rPr>
          <w:rFonts w:ascii="Arial" w:hAnsi="Arial" w:cs="Arial"/>
          <w:sz w:val="18"/>
          <w:szCs w:val="18"/>
        </w:rPr>
        <w:t>r en un 6</w:t>
      </w:r>
      <w:r w:rsidR="00C8767A">
        <w:rPr>
          <w:rFonts w:ascii="Arial" w:hAnsi="Arial" w:cs="Arial"/>
          <w:sz w:val="18"/>
          <w:szCs w:val="18"/>
        </w:rPr>
        <w:t>5</w:t>
      </w:r>
      <w:r w:rsidR="00C8767A" w:rsidRPr="00220F10">
        <w:rPr>
          <w:rFonts w:ascii="Arial" w:hAnsi="Arial" w:cs="Arial"/>
          <w:sz w:val="18"/>
          <w:szCs w:val="18"/>
        </w:rPr>
        <w:t>% respecto al mismo periodo del 2018</w:t>
      </w:r>
      <w:r w:rsidR="00C8767A"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923251">
        <w:rPr>
          <w:rFonts w:ascii="Arial" w:hAnsi="Arial" w:cs="Arial"/>
          <w:sz w:val="18"/>
          <w:szCs w:val="18"/>
        </w:rPr>
        <w:t>121</w:t>
      </w:r>
      <w:r>
        <w:rPr>
          <w:rFonts w:ascii="Arial" w:hAnsi="Arial" w:cs="Arial"/>
          <w:sz w:val="18"/>
          <w:szCs w:val="18"/>
        </w:rPr>
        <w:t>,</w:t>
      </w:r>
      <w:r w:rsidR="00923251">
        <w:rPr>
          <w:rFonts w:ascii="Arial" w:hAnsi="Arial" w:cs="Arial"/>
          <w:sz w:val="18"/>
          <w:szCs w:val="18"/>
        </w:rPr>
        <w:t>971</w:t>
      </w:r>
      <w:r>
        <w:rPr>
          <w:rFonts w:ascii="Arial" w:hAnsi="Arial" w:cs="Arial"/>
          <w:sz w:val="18"/>
          <w:szCs w:val="18"/>
        </w:rPr>
        <w:t>,</w:t>
      </w:r>
      <w:r w:rsidR="00923251">
        <w:rPr>
          <w:rFonts w:ascii="Arial" w:hAnsi="Arial" w:cs="Arial"/>
          <w:sz w:val="18"/>
          <w:szCs w:val="18"/>
        </w:rPr>
        <w:t>363</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C8767A">
        <w:rPr>
          <w:rFonts w:ascii="Arial" w:hAnsi="Arial" w:cs="Arial"/>
          <w:sz w:val="18"/>
          <w:szCs w:val="18"/>
        </w:rPr>
        <w:t>, saldo</w:t>
      </w:r>
      <w:r w:rsidR="00C8767A" w:rsidRPr="00220F10">
        <w:rPr>
          <w:rFonts w:ascii="Arial" w:hAnsi="Arial" w:cs="Arial"/>
          <w:sz w:val="18"/>
          <w:szCs w:val="18"/>
        </w:rPr>
        <w:t xml:space="preserve"> que es m</w:t>
      </w:r>
      <w:r w:rsidR="00C8767A">
        <w:rPr>
          <w:rFonts w:ascii="Arial" w:hAnsi="Arial" w:cs="Arial"/>
          <w:sz w:val="18"/>
          <w:szCs w:val="18"/>
        </w:rPr>
        <w:t>eno</w:t>
      </w:r>
      <w:r w:rsidR="00C8767A" w:rsidRPr="00220F10">
        <w:rPr>
          <w:rFonts w:ascii="Arial" w:hAnsi="Arial" w:cs="Arial"/>
          <w:sz w:val="18"/>
          <w:szCs w:val="18"/>
        </w:rPr>
        <w:t xml:space="preserve">r en un </w:t>
      </w:r>
      <w:r w:rsidR="00C8767A">
        <w:rPr>
          <w:rFonts w:ascii="Arial" w:hAnsi="Arial" w:cs="Arial"/>
          <w:sz w:val="18"/>
          <w:szCs w:val="18"/>
        </w:rPr>
        <w:t>4</w:t>
      </w:r>
      <w:r w:rsidR="00C8767A" w:rsidRPr="00220F10">
        <w:rPr>
          <w:rFonts w:ascii="Arial" w:hAnsi="Arial" w:cs="Arial"/>
          <w:sz w:val="18"/>
          <w:szCs w:val="18"/>
        </w:rPr>
        <w:t>% respecto al mismo periodo del 2018</w:t>
      </w:r>
      <w:r w:rsidR="00C8767A" w:rsidRPr="0073056A">
        <w:rPr>
          <w:rFonts w:ascii="Arial" w:hAnsi="Arial" w:cs="Arial"/>
          <w:sz w:val="18"/>
          <w:szCs w:val="18"/>
        </w:rPr>
        <w:t>.</w:t>
      </w:r>
    </w:p>
    <w:p w:rsidR="004C1616" w:rsidRDefault="004C1616" w:rsidP="004C1616">
      <w:pPr>
        <w:tabs>
          <w:tab w:val="left" w:pos="284"/>
        </w:tabs>
        <w:spacing w:after="0"/>
        <w:ind w:left="284"/>
        <w:jc w:val="both"/>
        <w:rPr>
          <w:rFonts w:ascii="Arial" w:hAnsi="Arial" w:cs="Arial"/>
          <w:sz w:val="18"/>
          <w:szCs w:val="18"/>
        </w:rPr>
      </w:pPr>
    </w:p>
    <w:p w:rsidR="00C8767A" w:rsidRDefault="00C8767A" w:rsidP="004C1616">
      <w:pPr>
        <w:tabs>
          <w:tab w:val="left" w:pos="284"/>
        </w:tabs>
        <w:spacing w:after="0"/>
        <w:ind w:left="284"/>
        <w:jc w:val="both"/>
        <w:rPr>
          <w:rFonts w:ascii="Arial" w:hAnsi="Arial" w:cs="Arial"/>
          <w:sz w:val="18"/>
          <w:szCs w:val="18"/>
        </w:rPr>
      </w:pPr>
    </w:p>
    <w:p w:rsidR="00C8767A" w:rsidRPr="0073056A" w:rsidRDefault="00C8767A"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lastRenderedPageBreak/>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2E3C2E">
        <w:rPr>
          <w:rFonts w:ascii="Arial" w:hAnsi="Arial" w:cs="Arial"/>
          <w:sz w:val="18"/>
          <w:szCs w:val="18"/>
        </w:rPr>
        <w:t>1</w:t>
      </w:r>
      <w:r w:rsidR="00923251">
        <w:rPr>
          <w:rFonts w:ascii="Arial" w:hAnsi="Arial" w:cs="Arial"/>
          <w:sz w:val="18"/>
          <w:szCs w:val="18"/>
        </w:rPr>
        <w:t>5</w:t>
      </w:r>
      <w:r>
        <w:rPr>
          <w:rFonts w:ascii="Arial" w:hAnsi="Arial" w:cs="Arial"/>
          <w:sz w:val="18"/>
          <w:szCs w:val="18"/>
        </w:rPr>
        <w:t>,</w:t>
      </w:r>
      <w:r w:rsidR="00923251">
        <w:rPr>
          <w:rFonts w:ascii="Arial" w:hAnsi="Arial" w:cs="Arial"/>
          <w:sz w:val="18"/>
          <w:szCs w:val="18"/>
        </w:rPr>
        <w:t>408</w:t>
      </w:r>
      <w:r>
        <w:rPr>
          <w:rFonts w:ascii="Arial" w:hAnsi="Arial" w:cs="Arial"/>
          <w:sz w:val="18"/>
          <w:szCs w:val="18"/>
        </w:rPr>
        <w:t>,</w:t>
      </w:r>
      <w:r w:rsidR="00923251">
        <w:rPr>
          <w:rFonts w:ascii="Arial" w:hAnsi="Arial" w:cs="Arial"/>
          <w:sz w:val="18"/>
          <w:szCs w:val="18"/>
        </w:rPr>
        <w:t>788</w:t>
      </w:r>
      <w:r>
        <w:rPr>
          <w:rFonts w:ascii="Arial" w:hAnsi="Arial" w:cs="Arial"/>
          <w:sz w:val="18"/>
          <w:szCs w:val="18"/>
        </w:rPr>
        <w:t>,</w:t>
      </w:r>
      <w:r w:rsidR="00923251">
        <w:rPr>
          <w:rFonts w:ascii="Arial" w:hAnsi="Arial" w:cs="Arial"/>
          <w:sz w:val="18"/>
          <w:szCs w:val="18"/>
        </w:rPr>
        <w:t>971</w:t>
      </w:r>
      <w:r>
        <w:rPr>
          <w:rFonts w:ascii="Arial" w:hAnsi="Arial" w:cs="Arial"/>
          <w:sz w:val="18"/>
          <w:szCs w:val="18"/>
        </w:rPr>
        <w:t xml:space="preserve"> al mes de </w:t>
      </w:r>
      <w:r w:rsidR="00923251">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201</w:t>
      </w:r>
      <w:r w:rsidR="00802736">
        <w:rPr>
          <w:rFonts w:ascii="Arial" w:hAnsi="Arial" w:cs="Arial"/>
          <w:sz w:val="18"/>
          <w:szCs w:val="18"/>
        </w:rPr>
        <w:t>9</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4222EE">
        <w:rPr>
          <w:rFonts w:ascii="Arial" w:hAnsi="Arial" w:cs="Arial"/>
          <w:sz w:val="18"/>
          <w:szCs w:val="18"/>
        </w:rPr>
        <w:t>s</w:t>
      </w:r>
      <w:r w:rsidR="00923251">
        <w:rPr>
          <w:rFonts w:ascii="Arial" w:hAnsi="Arial" w:cs="Arial"/>
          <w:sz w:val="18"/>
          <w:szCs w:val="18"/>
        </w:rPr>
        <w:t xml:space="preserve"> de aportación federal</w:t>
      </w:r>
      <w:r w:rsidR="004222EE">
        <w:rPr>
          <w:rFonts w:ascii="Arial" w:hAnsi="Arial" w:cs="Arial"/>
          <w:sz w:val="18"/>
          <w:szCs w:val="18"/>
        </w:rPr>
        <w:t>, saldo</w:t>
      </w:r>
      <w:r w:rsidR="004222EE" w:rsidRPr="00220F10">
        <w:rPr>
          <w:rFonts w:ascii="Arial" w:hAnsi="Arial" w:cs="Arial"/>
          <w:sz w:val="18"/>
          <w:szCs w:val="18"/>
        </w:rPr>
        <w:t xml:space="preserve"> que es m</w:t>
      </w:r>
      <w:r w:rsidR="004222EE">
        <w:rPr>
          <w:rFonts w:ascii="Arial" w:hAnsi="Arial" w:cs="Arial"/>
          <w:sz w:val="18"/>
          <w:szCs w:val="18"/>
        </w:rPr>
        <w:t>eno</w:t>
      </w:r>
      <w:r w:rsidR="004222EE" w:rsidRPr="00220F10">
        <w:rPr>
          <w:rFonts w:ascii="Arial" w:hAnsi="Arial" w:cs="Arial"/>
          <w:sz w:val="18"/>
          <w:szCs w:val="18"/>
        </w:rPr>
        <w:t xml:space="preserve">r en un </w:t>
      </w:r>
      <w:r w:rsidR="004222EE">
        <w:rPr>
          <w:rFonts w:ascii="Arial" w:hAnsi="Arial" w:cs="Arial"/>
          <w:sz w:val="18"/>
          <w:szCs w:val="18"/>
        </w:rPr>
        <w:t>1</w:t>
      </w:r>
      <w:r w:rsidR="004222EE" w:rsidRPr="00220F10">
        <w:rPr>
          <w:rFonts w:ascii="Arial" w:hAnsi="Arial" w:cs="Arial"/>
          <w:sz w:val="18"/>
          <w:szCs w:val="18"/>
        </w:rPr>
        <w:t>% respecto al mismo periodo del 2018</w:t>
      </w:r>
      <w:r w:rsidR="004222EE" w:rsidRPr="0073056A">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3A3013">
        <w:rPr>
          <w:rFonts w:ascii="Arial" w:hAnsi="Arial" w:cs="Arial"/>
          <w:sz w:val="18"/>
          <w:szCs w:val="18"/>
        </w:rPr>
        <w:t>6</w:t>
      </w:r>
      <w:r>
        <w:rPr>
          <w:rFonts w:ascii="Arial" w:hAnsi="Arial" w:cs="Arial"/>
          <w:sz w:val="18"/>
          <w:szCs w:val="18"/>
        </w:rPr>
        <w:t>,</w:t>
      </w:r>
      <w:r w:rsidR="003A3013">
        <w:rPr>
          <w:rFonts w:ascii="Arial" w:hAnsi="Arial" w:cs="Arial"/>
          <w:sz w:val="18"/>
          <w:szCs w:val="18"/>
        </w:rPr>
        <w:t>748</w:t>
      </w:r>
      <w:r>
        <w:rPr>
          <w:rFonts w:ascii="Arial" w:hAnsi="Arial" w:cs="Arial"/>
          <w:sz w:val="18"/>
          <w:szCs w:val="18"/>
        </w:rPr>
        <w:t>,</w:t>
      </w:r>
      <w:r w:rsidR="003A3013">
        <w:rPr>
          <w:rFonts w:ascii="Arial" w:hAnsi="Arial" w:cs="Arial"/>
          <w:sz w:val="18"/>
          <w:szCs w:val="18"/>
        </w:rPr>
        <w:t>774</w:t>
      </w:r>
      <w:r>
        <w:rPr>
          <w:rFonts w:ascii="Arial" w:hAnsi="Arial" w:cs="Arial"/>
          <w:sz w:val="18"/>
          <w:szCs w:val="18"/>
        </w:rPr>
        <w:t>,</w:t>
      </w:r>
      <w:r w:rsidR="003A3013">
        <w:rPr>
          <w:rFonts w:ascii="Arial" w:hAnsi="Arial" w:cs="Arial"/>
          <w:sz w:val="18"/>
          <w:szCs w:val="18"/>
        </w:rPr>
        <w:t>023</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3A3013">
        <w:rPr>
          <w:rFonts w:ascii="Arial" w:hAnsi="Arial" w:cs="Arial"/>
          <w:sz w:val="18"/>
          <w:szCs w:val="18"/>
        </w:rPr>
        <w:t>3</w:t>
      </w:r>
      <w:r>
        <w:rPr>
          <w:rFonts w:ascii="Arial" w:hAnsi="Arial" w:cs="Arial"/>
          <w:sz w:val="18"/>
          <w:szCs w:val="18"/>
        </w:rPr>
        <w:t xml:space="preserve"> %</w:t>
      </w:r>
      <w:r w:rsidR="001F4B7F">
        <w:rPr>
          <w:rFonts w:ascii="Arial" w:hAnsi="Arial" w:cs="Arial"/>
          <w:sz w:val="18"/>
          <w:szCs w:val="18"/>
        </w:rPr>
        <w:t>, del total de ingresos del trimestre</w:t>
      </w:r>
      <w:r w:rsidR="004222EE">
        <w:rPr>
          <w:rFonts w:ascii="Arial" w:hAnsi="Arial" w:cs="Arial"/>
          <w:sz w:val="18"/>
          <w:szCs w:val="18"/>
        </w:rPr>
        <w:t>, saldo</w:t>
      </w:r>
      <w:r w:rsidR="004222EE" w:rsidRPr="00220F10">
        <w:rPr>
          <w:rFonts w:ascii="Arial" w:hAnsi="Arial" w:cs="Arial"/>
          <w:sz w:val="18"/>
          <w:szCs w:val="18"/>
        </w:rPr>
        <w:t xml:space="preserve"> que es </w:t>
      </w:r>
      <w:r w:rsidR="004222EE">
        <w:rPr>
          <w:rFonts w:ascii="Arial" w:hAnsi="Arial" w:cs="Arial"/>
          <w:sz w:val="18"/>
          <w:szCs w:val="18"/>
        </w:rPr>
        <w:t>mayor</w:t>
      </w:r>
      <w:r w:rsidR="004222EE" w:rsidRPr="00220F10">
        <w:rPr>
          <w:rFonts w:ascii="Arial" w:hAnsi="Arial" w:cs="Arial"/>
          <w:sz w:val="18"/>
          <w:szCs w:val="18"/>
        </w:rPr>
        <w:t xml:space="preserve"> en un </w:t>
      </w:r>
      <w:r w:rsidR="004222EE">
        <w:rPr>
          <w:rFonts w:ascii="Arial" w:hAnsi="Arial" w:cs="Arial"/>
          <w:sz w:val="18"/>
          <w:szCs w:val="18"/>
        </w:rPr>
        <w:t>7</w:t>
      </w:r>
      <w:r w:rsidR="004222EE" w:rsidRPr="00220F10">
        <w:rPr>
          <w:rFonts w:ascii="Arial" w:hAnsi="Arial" w:cs="Arial"/>
          <w:sz w:val="18"/>
          <w:szCs w:val="18"/>
        </w:rPr>
        <w:t>% respecto al mismo periodo del 2018</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3A3013">
        <w:rPr>
          <w:rFonts w:ascii="Arial" w:hAnsi="Arial" w:cs="Arial"/>
          <w:sz w:val="18"/>
          <w:szCs w:val="18"/>
        </w:rPr>
        <w:t>septiembre</w:t>
      </w:r>
      <w:r>
        <w:rPr>
          <w:rFonts w:ascii="Arial" w:hAnsi="Arial" w:cs="Arial"/>
          <w:sz w:val="18"/>
          <w:szCs w:val="18"/>
        </w:rPr>
        <w:t xml:space="preserve"> de 201</w:t>
      </w:r>
      <w:r w:rsidR="001F4B7F">
        <w:rPr>
          <w:rFonts w:ascii="Arial" w:hAnsi="Arial" w:cs="Arial"/>
          <w:sz w:val="18"/>
          <w:szCs w:val="18"/>
        </w:rPr>
        <w:t>9</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992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462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507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4</w:t>
            </w:r>
            <w:r w:rsidR="00F50FC7">
              <w:rPr>
                <w:rFonts w:ascii="Arial" w:eastAsia="Times New Roman" w:hAnsi="Arial" w:cs="Arial"/>
                <w:color w:val="000000"/>
                <w:sz w:val="18"/>
                <w:szCs w:val="18"/>
                <w:lang w:eastAsia="es-MX"/>
              </w:rPr>
              <w:t>5</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1,229</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350</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879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F50F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88</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107</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209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w:t>
            </w:r>
            <w:r w:rsidR="00F50FC7">
              <w:rPr>
                <w:rFonts w:ascii="Arial" w:eastAsia="Times New Roman" w:hAnsi="Arial" w:cs="Arial"/>
                <w:color w:val="000000"/>
                <w:sz w:val="18"/>
                <w:szCs w:val="18"/>
                <w:lang w:eastAsia="es-MX"/>
              </w:rPr>
              <w:t>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624</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932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264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F50F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664</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421</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247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w:t>
            </w:r>
            <w:r w:rsidR="00F50FC7">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245</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957</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134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3.</w:t>
            </w:r>
            <w:r w:rsidR="00F50FC7">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3C7A1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2</w:t>
            </w:r>
            <w:r w:rsidR="003C7A1D">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w:t>
            </w:r>
            <w:r w:rsidR="003C7A1D">
              <w:rPr>
                <w:rFonts w:ascii="Arial" w:eastAsia="Times New Roman" w:hAnsi="Arial" w:cs="Arial"/>
                <w:color w:val="000000"/>
                <w:sz w:val="18"/>
                <w:szCs w:val="18"/>
                <w:lang w:eastAsia="es-MX"/>
              </w:rPr>
              <w:t>793</w:t>
            </w:r>
            <w:r w:rsidRPr="00AE0E84">
              <w:rPr>
                <w:rFonts w:ascii="Arial" w:eastAsia="Times New Roman" w:hAnsi="Arial" w:cs="Arial"/>
                <w:color w:val="000000"/>
                <w:sz w:val="18"/>
                <w:szCs w:val="18"/>
                <w:lang w:eastAsia="es-MX"/>
              </w:rPr>
              <w:t>,</w:t>
            </w:r>
            <w:r w:rsidR="003C7A1D">
              <w:rPr>
                <w:rFonts w:ascii="Arial" w:eastAsia="Times New Roman" w:hAnsi="Arial" w:cs="Arial"/>
                <w:color w:val="000000"/>
                <w:sz w:val="18"/>
                <w:szCs w:val="18"/>
                <w:lang w:eastAsia="es-MX"/>
              </w:rPr>
              <w:t>559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31</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018</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257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145</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891</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852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2.</w:t>
            </w:r>
            <w:r w:rsidR="00F50FC7">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479</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190</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633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7.</w:t>
            </w:r>
            <w:r w:rsidR="00F50FC7">
              <w:rPr>
                <w:rFonts w:ascii="Arial" w:eastAsia="Times New Roman" w:hAnsi="Arial" w:cs="Arial"/>
                <w:color w:val="000000"/>
                <w:sz w:val="18"/>
                <w:szCs w:val="18"/>
                <w:lang w:eastAsia="es-MX"/>
              </w:rPr>
              <w:t>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F50FC7">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F50FC7">
              <w:rPr>
                <w:rFonts w:ascii="Calibri" w:eastAsia="Times New Roman" w:hAnsi="Calibri" w:cs="Calibri"/>
                <w:color w:val="000000"/>
                <w:lang w:eastAsia="es-MX"/>
              </w:rPr>
              <w:t>6</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531</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125</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541</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157EF7" w:rsidP="00134F21">
      <w:pPr>
        <w:tabs>
          <w:tab w:val="left" w:pos="284"/>
        </w:tabs>
        <w:spacing w:after="0"/>
        <w:ind w:left="284"/>
        <w:jc w:val="both"/>
        <w:rPr>
          <w:rFonts w:ascii="Arial" w:hAnsi="Arial" w:cs="Arial"/>
          <w:sz w:val="18"/>
          <w:szCs w:val="18"/>
        </w:rPr>
      </w:pPr>
      <w:r>
        <w:rPr>
          <w:rFonts w:ascii="Arial" w:hAnsi="Arial" w:cs="Arial"/>
          <w:sz w:val="18"/>
          <w:szCs w:val="18"/>
        </w:rPr>
        <w:t>El saldo</w:t>
      </w:r>
      <w:r w:rsidRPr="00220F10">
        <w:rPr>
          <w:rFonts w:ascii="Arial" w:hAnsi="Arial" w:cs="Arial"/>
          <w:sz w:val="18"/>
          <w:szCs w:val="18"/>
        </w:rPr>
        <w:t xml:space="preserve"> </w:t>
      </w:r>
      <w:r>
        <w:rPr>
          <w:rFonts w:ascii="Arial" w:hAnsi="Arial" w:cs="Arial"/>
          <w:sz w:val="18"/>
          <w:szCs w:val="18"/>
        </w:rPr>
        <w:t xml:space="preserve">de estos conceptos al mes de septiembre de 2019, </w:t>
      </w:r>
      <w:r w:rsidRPr="00220F10">
        <w:rPr>
          <w:rFonts w:ascii="Arial" w:hAnsi="Arial" w:cs="Arial"/>
          <w:sz w:val="18"/>
          <w:szCs w:val="18"/>
        </w:rPr>
        <w:t xml:space="preserve">es </w:t>
      </w:r>
      <w:r>
        <w:rPr>
          <w:rFonts w:ascii="Arial" w:hAnsi="Arial" w:cs="Arial"/>
          <w:sz w:val="18"/>
          <w:szCs w:val="18"/>
        </w:rPr>
        <w:t>mayor</w:t>
      </w:r>
      <w:r w:rsidRPr="00220F10">
        <w:rPr>
          <w:rFonts w:ascii="Arial" w:hAnsi="Arial" w:cs="Arial"/>
          <w:sz w:val="18"/>
          <w:szCs w:val="18"/>
        </w:rPr>
        <w:t xml:space="preserve"> en un </w:t>
      </w:r>
      <w:r>
        <w:rPr>
          <w:rFonts w:ascii="Arial" w:hAnsi="Arial" w:cs="Arial"/>
          <w:sz w:val="18"/>
          <w:szCs w:val="18"/>
        </w:rPr>
        <w:t>7</w:t>
      </w:r>
      <w:r w:rsidRPr="00220F10">
        <w:rPr>
          <w:rFonts w:ascii="Arial" w:hAnsi="Arial" w:cs="Arial"/>
          <w:sz w:val="18"/>
          <w:szCs w:val="18"/>
        </w:rPr>
        <w:t>% respecto al mismo periodo del 2018</w:t>
      </w:r>
      <w:r>
        <w:rPr>
          <w:rFonts w:ascii="Arial" w:hAnsi="Arial" w:cs="Arial"/>
          <w:sz w:val="18"/>
          <w:szCs w:val="18"/>
        </w:rPr>
        <w:t>.</w:t>
      </w:r>
    </w:p>
    <w:p w:rsidR="00134F21" w:rsidRDefault="00134F21" w:rsidP="00134F21">
      <w:pPr>
        <w:tabs>
          <w:tab w:val="left" w:pos="284"/>
        </w:tabs>
        <w:spacing w:after="0"/>
        <w:ind w:left="284"/>
        <w:jc w:val="both"/>
        <w:rPr>
          <w:rFonts w:ascii="Arial" w:hAnsi="Arial" w:cs="Arial"/>
          <w:b/>
          <w:sz w:val="18"/>
          <w:szCs w:val="18"/>
        </w:rPr>
      </w:pPr>
    </w:p>
    <w:p w:rsidR="00157EF7" w:rsidRDefault="00157EF7" w:rsidP="00134F21">
      <w:pPr>
        <w:tabs>
          <w:tab w:val="left" w:pos="284"/>
        </w:tabs>
        <w:spacing w:after="0"/>
        <w:ind w:left="284"/>
        <w:jc w:val="both"/>
        <w:rPr>
          <w:rFonts w:ascii="Arial" w:hAnsi="Arial" w:cs="Arial"/>
          <w:b/>
          <w:sz w:val="18"/>
          <w:szCs w:val="18"/>
        </w:rPr>
      </w:pPr>
    </w:p>
    <w:p w:rsidR="00157EF7" w:rsidRDefault="00157EF7" w:rsidP="00332091">
      <w:pPr>
        <w:tabs>
          <w:tab w:val="left" w:pos="284"/>
        </w:tabs>
        <w:spacing w:after="0"/>
        <w:ind w:left="284"/>
        <w:jc w:val="both"/>
        <w:rPr>
          <w:rFonts w:ascii="Arial" w:hAnsi="Arial" w:cs="Arial"/>
          <w:b/>
          <w:sz w:val="18"/>
          <w:szCs w:val="18"/>
        </w:rPr>
      </w:pPr>
    </w:p>
    <w:p w:rsidR="00157EF7" w:rsidRDefault="00157EF7"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50FC7">
        <w:rPr>
          <w:rFonts w:ascii="Arial" w:hAnsi="Arial" w:cs="Arial"/>
          <w:sz w:val="18"/>
          <w:szCs w:val="18"/>
        </w:rPr>
        <w:t>septiembre</w:t>
      </w:r>
      <w:r>
        <w:rPr>
          <w:rFonts w:ascii="Arial" w:hAnsi="Arial" w:cs="Arial"/>
          <w:sz w:val="18"/>
          <w:szCs w:val="18"/>
        </w:rPr>
        <w:t xml:space="preserve"> del ejercicio 201</w:t>
      </w:r>
      <w:r w:rsidR="00E44022">
        <w:rPr>
          <w:rFonts w:ascii="Arial" w:hAnsi="Arial" w:cs="Arial"/>
          <w:sz w:val="18"/>
          <w:szCs w:val="18"/>
        </w:rPr>
        <w:t>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F50FC7">
        <w:rPr>
          <w:rFonts w:ascii="Arial" w:hAnsi="Arial" w:cs="Arial"/>
          <w:sz w:val="18"/>
          <w:szCs w:val="18"/>
        </w:rPr>
        <w:t>2</w:t>
      </w:r>
      <w:r w:rsidR="00032921">
        <w:rPr>
          <w:rFonts w:ascii="Arial" w:hAnsi="Arial" w:cs="Arial"/>
          <w:sz w:val="18"/>
          <w:szCs w:val="18"/>
        </w:rPr>
        <w:t>,</w:t>
      </w:r>
      <w:r w:rsidR="00F50FC7">
        <w:rPr>
          <w:rFonts w:ascii="Arial" w:hAnsi="Arial" w:cs="Arial"/>
          <w:sz w:val="18"/>
          <w:szCs w:val="18"/>
        </w:rPr>
        <w:t>128</w:t>
      </w:r>
      <w:r>
        <w:rPr>
          <w:rFonts w:ascii="Arial" w:hAnsi="Arial" w:cs="Arial"/>
          <w:sz w:val="18"/>
          <w:szCs w:val="18"/>
        </w:rPr>
        <w:t>,</w:t>
      </w:r>
      <w:r w:rsidR="00F50FC7">
        <w:rPr>
          <w:rFonts w:ascii="Arial" w:hAnsi="Arial" w:cs="Arial"/>
          <w:sz w:val="18"/>
          <w:szCs w:val="18"/>
        </w:rPr>
        <w:t>889</w:t>
      </w:r>
      <w:r>
        <w:rPr>
          <w:rFonts w:ascii="Arial" w:hAnsi="Arial" w:cs="Arial"/>
          <w:sz w:val="18"/>
          <w:szCs w:val="18"/>
        </w:rPr>
        <w:t>,</w:t>
      </w:r>
      <w:r w:rsidR="009F5E29">
        <w:rPr>
          <w:rFonts w:ascii="Arial" w:hAnsi="Arial" w:cs="Arial"/>
          <w:sz w:val="18"/>
          <w:szCs w:val="18"/>
        </w:rPr>
        <w:t>407,</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sidR="00157EF7">
        <w:rPr>
          <w:rFonts w:ascii="Arial" w:hAnsi="Arial" w:cs="Arial"/>
          <w:sz w:val="18"/>
          <w:szCs w:val="18"/>
        </w:rPr>
        <w:t>, saldo</w:t>
      </w:r>
      <w:r w:rsidR="00157EF7" w:rsidRPr="00220F10">
        <w:rPr>
          <w:rFonts w:ascii="Arial" w:hAnsi="Arial" w:cs="Arial"/>
          <w:sz w:val="18"/>
          <w:szCs w:val="18"/>
        </w:rPr>
        <w:t xml:space="preserve"> que es </w:t>
      </w:r>
      <w:r w:rsidR="00157EF7">
        <w:rPr>
          <w:rFonts w:ascii="Arial" w:hAnsi="Arial" w:cs="Arial"/>
          <w:sz w:val="18"/>
          <w:szCs w:val="18"/>
        </w:rPr>
        <w:t>menor</w:t>
      </w:r>
      <w:r w:rsidR="00157EF7" w:rsidRPr="00220F10">
        <w:rPr>
          <w:rFonts w:ascii="Arial" w:hAnsi="Arial" w:cs="Arial"/>
          <w:sz w:val="18"/>
          <w:szCs w:val="18"/>
        </w:rPr>
        <w:t xml:space="preserve"> en un </w:t>
      </w:r>
      <w:r w:rsidR="00157EF7">
        <w:rPr>
          <w:rFonts w:ascii="Arial" w:hAnsi="Arial" w:cs="Arial"/>
          <w:sz w:val="18"/>
          <w:szCs w:val="18"/>
        </w:rPr>
        <w:t>32</w:t>
      </w:r>
      <w:r w:rsidR="00157EF7" w:rsidRPr="00220F10">
        <w:rPr>
          <w:rFonts w:ascii="Arial" w:hAnsi="Arial" w:cs="Arial"/>
          <w:sz w:val="18"/>
          <w:szCs w:val="18"/>
        </w:rPr>
        <w:t>% respecto al mismo periodo del 2018</w:t>
      </w:r>
      <w:r>
        <w:rPr>
          <w:rFonts w:ascii="Arial" w:hAnsi="Arial" w:cs="Arial"/>
          <w:sz w:val="18"/>
          <w:szCs w:val="20"/>
        </w:rPr>
        <w:t>.</w:t>
      </w: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3E33EF"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9F5E29">
        <w:rPr>
          <w:rFonts w:ascii="Arial" w:hAnsi="Arial" w:cs="Arial"/>
          <w:sz w:val="18"/>
          <w:szCs w:val="18"/>
        </w:rPr>
        <w:t>tercer</w:t>
      </w:r>
      <w:r w:rsidR="00134F21">
        <w:rPr>
          <w:rFonts w:ascii="Arial" w:hAnsi="Arial" w:cs="Arial"/>
          <w:sz w:val="18"/>
          <w:szCs w:val="18"/>
        </w:rPr>
        <w:t xml:space="preserve"> trimestre del ejercicio 201</w:t>
      </w:r>
      <w:r>
        <w:rPr>
          <w:rFonts w:ascii="Arial" w:hAnsi="Arial" w:cs="Arial"/>
          <w:sz w:val="18"/>
          <w:szCs w:val="18"/>
        </w:rPr>
        <w:t>9</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F5E29">
        <w:rPr>
          <w:rFonts w:ascii="Arial" w:hAnsi="Arial" w:cs="Arial"/>
          <w:sz w:val="18"/>
          <w:szCs w:val="18"/>
        </w:rPr>
        <w:t>septiembre</w:t>
      </w:r>
      <w:r w:rsidR="00134F21">
        <w:rPr>
          <w:rFonts w:ascii="Arial" w:hAnsi="Arial" w:cs="Arial"/>
          <w:sz w:val="18"/>
          <w:szCs w:val="18"/>
        </w:rPr>
        <w:t xml:space="preserve"> por este concepto un monto de $ </w:t>
      </w:r>
      <w:r w:rsidR="00032921">
        <w:rPr>
          <w:rFonts w:ascii="Arial" w:hAnsi="Arial" w:cs="Arial"/>
          <w:sz w:val="18"/>
          <w:szCs w:val="18"/>
        </w:rPr>
        <w:t>1,</w:t>
      </w:r>
      <w:r w:rsidR="009F5E29">
        <w:rPr>
          <w:rFonts w:ascii="Arial" w:hAnsi="Arial" w:cs="Arial"/>
          <w:sz w:val="18"/>
          <w:szCs w:val="18"/>
        </w:rPr>
        <w:t>561</w:t>
      </w:r>
      <w:r w:rsidR="00134F21">
        <w:rPr>
          <w:rFonts w:ascii="Arial" w:hAnsi="Arial" w:cs="Arial"/>
          <w:sz w:val="18"/>
          <w:szCs w:val="18"/>
        </w:rPr>
        <w:t>,</w:t>
      </w:r>
      <w:r w:rsidR="009F5E29">
        <w:rPr>
          <w:rFonts w:ascii="Arial" w:hAnsi="Arial" w:cs="Arial"/>
          <w:sz w:val="18"/>
          <w:szCs w:val="18"/>
        </w:rPr>
        <w:t>836</w:t>
      </w:r>
      <w:r w:rsidR="00134F21">
        <w:rPr>
          <w:rFonts w:ascii="Arial" w:hAnsi="Arial" w:cs="Arial"/>
          <w:sz w:val="18"/>
          <w:szCs w:val="18"/>
        </w:rPr>
        <w:t>,</w:t>
      </w:r>
      <w:r w:rsidR="009F5E29">
        <w:rPr>
          <w:rFonts w:ascii="Arial" w:hAnsi="Arial" w:cs="Arial"/>
          <w:sz w:val="18"/>
          <w:szCs w:val="18"/>
        </w:rPr>
        <w:t>398</w:t>
      </w:r>
      <w:r>
        <w:rPr>
          <w:rFonts w:ascii="Arial" w:hAnsi="Arial" w:cs="Arial"/>
          <w:sz w:val="18"/>
          <w:szCs w:val="18"/>
        </w:rPr>
        <w:t>; en apego a lo estipulado en la Ley de Disciplina Financiera de las Entidades Federativas y los municipios</w:t>
      </w:r>
      <w:r w:rsidR="00532250">
        <w:rPr>
          <w:rFonts w:ascii="Arial" w:hAnsi="Arial" w:cs="Arial"/>
          <w:sz w:val="18"/>
          <w:szCs w:val="18"/>
        </w:rPr>
        <w:t>, saldo</w:t>
      </w:r>
      <w:r w:rsidR="00532250" w:rsidRPr="00220F10">
        <w:rPr>
          <w:rFonts w:ascii="Arial" w:hAnsi="Arial" w:cs="Arial"/>
          <w:sz w:val="18"/>
          <w:szCs w:val="18"/>
        </w:rPr>
        <w:t xml:space="preserve"> que es </w:t>
      </w:r>
      <w:r w:rsidR="00532250">
        <w:rPr>
          <w:rFonts w:ascii="Arial" w:hAnsi="Arial" w:cs="Arial"/>
          <w:sz w:val="18"/>
          <w:szCs w:val="18"/>
        </w:rPr>
        <w:t>mayor</w:t>
      </w:r>
      <w:r w:rsidR="00532250" w:rsidRPr="00220F10">
        <w:rPr>
          <w:rFonts w:ascii="Arial" w:hAnsi="Arial" w:cs="Arial"/>
          <w:sz w:val="18"/>
          <w:szCs w:val="18"/>
        </w:rPr>
        <w:t xml:space="preserve"> en un </w:t>
      </w:r>
      <w:r w:rsidR="00DC5A57">
        <w:rPr>
          <w:rFonts w:ascii="Arial" w:hAnsi="Arial" w:cs="Arial"/>
          <w:sz w:val="18"/>
          <w:szCs w:val="18"/>
        </w:rPr>
        <w:t>5</w:t>
      </w:r>
      <w:r w:rsidR="00532250" w:rsidRPr="00220F10">
        <w:rPr>
          <w:rFonts w:ascii="Arial" w:hAnsi="Arial" w:cs="Arial"/>
          <w:sz w:val="18"/>
          <w:szCs w:val="18"/>
        </w:rPr>
        <w:t>% respecto al mismo periodo del 2018</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9F5E29">
        <w:rPr>
          <w:rFonts w:ascii="Arial" w:hAnsi="Arial" w:cs="Arial"/>
          <w:sz w:val="18"/>
          <w:szCs w:val="18"/>
        </w:rPr>
        <w:t>102</w:t>
      </w:r>
      <w:r>
        <w:rPr>
          <w:rFonts w:ascii="Arial" w:hAnsi="Arial" w:cs="Arial"/>
          <w:sz w:val="18"/>
          <w:szCs w:val="18"/>
        </w:rPr>
        <w:t>,</w:t>
      </w:r>
      <w:r w:rsidR="009F5E29">
        <w:rPr>
          <w:rFonts w:ascii="Arial" w:hAnsi="Arial" w:cs="Arial"/>
          <w:sz w:val="18"/>
          <w:szCs w:val="18"/>
        </w:rPr>
        <w:t>022</w:t>
      </w:r>
      <w:r>
        <w:rPr>
          <w:rFonts w:ascii="Arial" w:hAnsi="Arial" w:cs="Arial"/>
          <w:sz w:val="18"/>
          <w:szCs w:val="18"/>
        </w:rPr>
        <w:t>,</w:t>
      </w:r>
      <w:r w:rsidR="009F5E29">
        <w:rPr>
          <w:rFonts w:ascii="Arial" w:hAnsi="Arial" w:cs="Arial"/>
          <w:sz w:val="18"/>
          <w:szCs w:val="18"/>
        </w:rPr>
        <w:t>411</w:t>
      </w:r>
      <w:r w:rsidR="00DC5A57">
        <w:rPr>
          <w:rFonts w:ascii="Arial" w:hAnsi="Arial" w:cs="Arial"/>
          <w:sz w:val="18"/>
          <w:szCs w:val="18"/>
        </w:rPr>
        <w:t>, saldo</w:t>
      </w:r>
      <w:r w:rsidR="00DC5A57" w:rsidRPr="00220F10">
        <w:rPr>
          <w:rFonts w:ascii="Arial" w:hAnsi="Arial" w:cs="Arial"/>
          <w:sz w:val="18"/>
          <w:szCs w:val="18"/>
        </w:rPr>
        <w:t xml:space="preserve"> que es </w:t>
      </w:r>
      <w:r w:rsidR="00DC5A57">
        <w:rPr>
          <w:rFonts w:ascii="Arial" w:hAnsi="Arial" w:cs="Arial"/>
          <w:sz w:val="18"/>
          <w:szCs w:val="18"/>
        </w:rPr>
        <w:t>menor</w:t>
      </w:r>
      <w:r w:rsidR="00DC5A57" w:rsidRPr="00220F10">
        <w:rPr>
          <w:rFonts w:ascii="Arial" w:hAnsi="Arial" w:cs="Arial"/>
          <w:sz w:val="18"/>
          <w:szCs w:val="18"/>
        </w:rPr>
        <w:t xml:space="preserve"> en un </w:t>
      </w:r>
      <w:r w:rsidR="00DC5A57">
        <w:rPr>
          <w:rFonts w:ascii="Arial" w:hAnsi="Arial" w:cs="Arial"/>
          <w:sz w:val="18"/>
          <w:szCs w:val="18"/>
        </w:rPr>
        <w:t>7</w:t>
      </w:r>
      <w:r w:rsidR="00DC5A57" w:rsidRPr="00220F10">
        <w:rPr>
          <w:rFonts w:ascii="Arial" w:hAnsi="Arial" w:cs="Arial"/>
          <w:sz w:val="18"/>
          <w:szCs w:val="18"/>
        </w:rPr>
        <w:t>% respecto al mismo periodo del 2018</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17AC1">
        <w:rPr>
          <w:rFonts w:ascii="Arial" w:hAnsi="Arial" w:cs="Arial"/>
          <w:sz w:val="18"/>
          <w:szCs w:val="18"/>
        </w:rPr>
        <w:t>septiembre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es de $ </w:t>
      </w:r>
      <w:r w:rsidR="00917AC1">
        <w:rPr>
          <w:rFonts w:ascii="Arial" w:hAnsi="Arial" w:cs="Arial"/>
          <w:sz w:val="18"/>
          <w:szCs w:val="18"/>
        </w:rPr>
        <w:t>136</w:t>
      </w:r>
      <w:r w:rsidR="00BA3B1D">
        <w:rPr>
          <w:rFonts w:ascii="Arial" w:hAnsi="Arial" w:cs="Arial"/>
          <w:sz w:val="18"/>
          <w:szCs w:val="18"/>
        </w:rPr>
        <w:t>,</w:t>
      </w:r>
      <w:r w:rsidR="00917AC1">
        <w:rPr>
          <w:rFonts w:ascii="Arial" w:hAnsi="Arial" w:cs="Arial"/>
          <w:sz w:val="18"/>
          <w:szCs w:val="18"/>
        </w:rPr>
        <w:t>853</w:t>
      </w:r>
      <w:r w:rsidR="00BA3B1D">
        <w:rPr>
          <w:rFonts w:ascii="Arial" w:hAnsi="Arial" w:cs="Arial"/>
          <w:sz w:val="18"/>
          <w:szCs w:val="18"/>
        </w:rPr>
        <w:t>,</w:t>
      </w:r>
      <w:r w:rsidR="00917AC1">
        <w:rPr>
          <w:rFonts w:ascii="Arial" w:hAnsi="Arial" w:cs="Arial"/>
          <w:sz w:val="18"/>
          <w:szCs w:val="18"/>
        </w:rPr>
        <w:t>135</w:t>
      </w:r>
      <w:r w:rsidR="00DC5A57">
        <w:rPr>
          <w:rFonts w:ascii="Arial" w:hAnsi="Arial" w:cs="Arial"/>
          <w:sz w:val="18"/>
          <w:szCs w:val="18"/>
        </w:rPr>
        <w:t>, saldo</w:t>
      </w:r>
      <w:r w:rsidR="00DC5A57" w:rsidRPr="00220F10">
        <w:rPr>
          <w:rFonts w:ascii="Arial" w:hAnsi="Arial" w:cs="Arial"/>
          <w:sz w:val="18"/>
          <w:szCs w:val="18"/>
        </w:rPr>
        <w:t xml:space="preserve"> que es </w:t>
      </w:r>
      <w:r w:rsidR="00DC5A57">
        <w:rPr>
          <w:rFonts w:ascii="Arial" w:hAnsi="Arial" w:cs="Arial"/>
          <w:sz w:val="18"/>
          <w:szCs w:val="18"/>
        </w:rPr>
        <w:t>menor</w:t>
      </w:r>
      <w:r w:rsidR="00DC5A57" w:rsidRPr="00220F10">
        <w:rPr>
          <w:rFonts w:ascii="Arial" w:hAnsi="Arial" w:cs="Arial"/>
          <w:sz w:val="18"/>
          <w:szCs w:val="18"/>
        </w:rPr>
        <w:t xml:space="preserve"> en un </w:t>
      </w:r>
      <w:r w:rsidR="00DC5A57">
        <w:rPr>
          <w:rFonts w:ascii="Arial" w:hAnsi="Arial" w:cs="Arial"/>
          <w:sz w:val="18"/>
          <w:szCs w:val="18"/>
        </w:rPr>
        <w:t>13</w:t>
      </w:r>
      <w:r w:rsidR="00DC5A57" w:rsidRPr="00220F10">
        <w:rPr>
          <w:rFonts w:ascii="Arial" w:hAnsi="Arial" w:cs="Arial"/>
          <w:sz w:val="18"/>
          <w:szCs w:val="18"/>
        </w:rPr>
        <w:t>% respecto al mismo periodo del 2018</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917AC1">
        <w:rPr>
          <w:rFonts w:ascii="Arial" w:hAnsi="Arial" w:cs="Arial"/>
          <w:sz w:val="18"/>
          <w:szCs w:val="18"/>
        </w:rPr>
        <w:t>septiembre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observan un monto de $ </w:t>
      </w:r>
      <w:r w:rsidR="00917AC1">
        <w:rPr>
          <w:rFonts w:ascii="Arial" w:hAnsi="Arial" w:cs="Arial"/>
          <w:sz w:val="18"/>
          <w:szCs w:val="18"/>
        </w:rPr>
        <w:t>8</w:t>
      </w:r>
      <w:r>
        <w:rPr>
          <w:rFonts w:ascii="Arial" w:hAnsi="Arial" w:cs="Arial"/>
          <w:sz w:val="18"/>
          <w:szCs w:val="18"/>
        </w:rPr>
        <w:t>,</w:t>
      </w:r>
      <w:r w:rsidR="00917AC1">
        <w:rPr>
          <w:rFonts w:ascii="Arial" w:hAnsi="Arial" w:cs="Arial"/>
          <w:sz w:val="18"/>
          <w:szCs w:val="18"/>
        </w:rPr>
        <w:t>926</w:t>
      </w:r>
      <w:r>
        <w:rPr>
          <w:rFonts w:ascii="Arial" w:hAnsi="Arial" w:cs="Arial"/>
          <w:sz w:val="18"/>
          <w:szCs w:val="18"/>
        </w:rPr>
        <w:t>,</w:t>
      </w:r>
      <w:r w:rsidR="00E06027">
        <w:rPr>
          <w:rFonts w:ascii="Arial" w:hAnsi="Arial" w:cs="Arial"/>
          <w:sz w:val="18"/>
          <w:szCs w:val="18"/>
        </w:rPr>
        <w:t>118</w:t>
      </w:r>
      <w:r>
        <w:rPr>
          <w:rFonts w:ascii="Arial" w:hAnsi="Arial" w:cs="Arial"/>
          <w:sz w:val="18"/>
          <w:szCs w:val="18"/>
        </w:rPr>
        <w:t>,</w:t>
      </w:r>
      <w:r w:rsidR="00E06027">
        <w:rPr>
          <w:rFonts w:ascii="Arial" w:hAnsi="Arial" w:cs="Arial"/>
          <w:sz w:val="18"/>
          <w:szCs w:val="18"/>
        </w:rPr>
        <w:t>002</w:t>
      </w:r>
      <w:r>
        <w:rPr>
          <w:rFonts w:ascii="Arial" w:hAnsi="Arial" w:cs="Arial"/>
          <w:sz w:val="18"/>
          <w:szCs w:val="18"/>
        </w:rPr>
        <w:t xml:space="preserve"> de los cuales los principales sectores que reciben estas asignaciones son el sector educativo al cual le corresponde el </w:t>
      </w:r>
      <w:r w:rsidR="00E06027">
        <w:rPr>
          <w:rFonts w:ascii="Arial" w:hAnsi="Arial" w:cs="Arial"/>
          <w:sz w:val="18"/>
          <w:szCs w:val="18"/>
        </w:rPr>
        <w:t>61</w:t>
      </w:r>
      <w:r>
        <w:rPr>
          <w:rFonts w:ascii="Arial" w:hAnsi="Arial" w:cs="Arial"/>
          <w:sz w:val="18"/>
          <w:szCs w:val="18"/>
        </w:rPr>
        <w:t xml:space="preserve">% y el sector salud con un </w:t>
      </w:r>
      <w:r w:rsidR="00C51FAB">
        <w:rPr>
          <w:rFonts w:ascii="Arial" w:hAnsi="Arial" w:cs="Arial"/>
          <w:sz w:val="18"/>
          <w:szCs w:val="18"/>
        </w:rPr>
        <w:t>3</w:t>
      </w:r>
      <w:r w:rsidR="005B048C">
        <w:rPr>
          <w:rFonts w:ascii="Arial" w:hAnsi="Arial" w:cs="Arial"/>
          <w:sz w:val="18"/>
          <w:szCs w:val="18"/>
        </w:rPr>
        <w:t>5</w:t>
      </w:r>
      <w:r>
        <w:rPr>
          <w:rFonts w:ascii="Arial" w:hAnsi="Arial" w:cs="Arial"/>
          <w:sz w:val="18"/>
          <w:szCs w:val="18"/>
        </w:rPr>
        <w:t xml:space="preserve">% y el restante </w:t>
      </w:r>
      <w:r w:rsidR="005B048C">
        <w:rPr>
          <w:rFonts w:ascii="Arial" w:hAnsi="Arial" w:cs="Arial"/>
          <w:sz w:val="18"/>
          <w:szCs w:val="18"/>
        </w:rPr>
        <w:t>4</w:t>
      </w:r>
      <w:r>
        <w:rPr>
          <w:rFonts w:ascii="Arial" w:hAnsi="Arial" w:cs="Arial"/>
          <w:sz w:val="18"/>
          <w:szCs w:val="18"/>
        </w:rPr>
        <w:t>% a otros organismos del sector público</w:t>
      </w:r>
      <w:r w:rsidR="00DC5A57">
        <w:rPr>
          <w:rFonts w:ascii="Arial" w:hAnsi="Arial" w:cs="Arial"/>
          <w:sz w:val="18"/>
          <w:szCs w:val="18"/>
        </w:rPr>
        <w:t>; el saldo</w:t>
      </w:r>
      <w:r w:rsidR="00DC5A57" w:rsidRPr="00220F10">
        <w:rPr>
          <w:rFonts w:ascii="Arial" w:hAnsi="Arial" w:cs="Arial"/>
          <w:sz w:val="18"/>
          <w:szCs w:val="18"/>
        </w:rPr>
        <w:t xml:space="preserve"> </w:t>
      </w:r>
      <w:r w:rsidR="00DC5A57">
        <w:rPr>
          <w:rFonts w:ascii="Arial" w:hAnsi="Arial" w:cs="Arial"/>
          <w:sz w:val="18"/>
          <w:szCs w:val="18"/>
        </w:rPr>
        <w:t xml:space="preserve">observado en estos conceptos </w:t>
      </w:r>
      <w:r w:rsidR="00DC5A57" w:rsidRPr="00220F10">
        <w:rPr>
          <w:rFonts w:ascii="Arial" w:hAnsi="Arial" w:cs="Arial"/>
          <w:sz w:val="18"/>
          <w:szCs w:val="18"/>
        </w:rPr>
        <w:t xml:space="preserve">es </w:t>
      </w:r>
      <w:r w:rsidR="00DC5A57">
        <w:rPr>
          <w:rFonts w:ascii="Arial" w:hAnsi="Arial" w:cs="Arial"/>
          <w:sz w:val="18"/>
          <w:szCs w:val="18"/>
        </w:rPr>
        <w:t>mayor</w:t>
      </w:r>
      <w:r w:rsidR="00DC5A57" w:rsidRPr="00220F10">
        <w:rPr>
          <w:rFonts w:ascii="Arial" w:hAnsi="Arial" w:cs="Arial"/>
          <w:sz w:val="18"/>
          <w:szCs w:val="18"/>
        </w:rPr>
        <w:t xml:space="preserve"> en un </w:t>
      </w:r>
      <w:r w:rsidR="00DC5A57">
        <w:rPr>
          <w:rFonts w:ascii="Arial" w:hAnsi="Arial" w:cs="Arial"/>
          <w:sz w:val="18"/>
          <w:szCs w:val="18"/>
        </w:rPr>
        <w:t>6</w:t>
      </w:r>
      <w:r w:rsidR="00DC5A57" w:rsidRPr="00220F10">
        <w:rPr>
          <w:rFonts w:ascii="Arial" w:hAnsi="Arial" w:cs="Arial"/>
          <w:sz w:val="18"/>
          <w:szCs w:val="18"/>
        </w:rPr>
        <w:t>% respecto al mismo periodo del 2018</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5B048C">
        <w:rPr>
          <w:rFonts w:ascii="Arial" w:hAnsi="Arial" w:cs="Arial"/>
          <w:sz w:val="18"/>
          <w:szCs w:val="18"/>
        </w:rPr>
        <w:t>septiembre</w:t>
      </w:r>
      <w:r>
        <w:rPr>
          <w:rFonts w:ascii="Arial" w:hAnsi="Arial" w:cs="Arial"/>
          <w:sz w:val="18"/>
          <w:szCs w:val="18"/>
        </w:rPr>
        <w:t xml:space="preserve"> de 201</w:t>
      </w:r>
      <w:r w:rsidR="00B3680C">
        <w:rPr>
          <w:rFonts w:ascii="Arial" w:hAnsi="Arial" w:cs="Arial"/>
          <w:sz w:val="18"/>
          <w:szCs w:val="18"/>
        </w:rPr>
        <w:t>9</w:t>
      </w:r>
      <w:r>
        <w:rPr>
          <w:rFonts w:ascii="Arial" w:hAnsi="Arial" w:cs="Arial"/>
          <w:sz w:val="18"/>
          <w:szCs w:val="18"/>
        </w:rPr>
        <w:t xml:space="preserve"> es de $ </w:t>
      </w:r>
      <w:r w:rsidR="005B048C">
        <w:rPr>
          <w:rFonts w:ascii="Arial" w:hAnsi="Arial" w:cs="Arial"/>
          <w:sz w:val="18"/>
          <w:szCs w:val="18"/>
        </w:rPr>
        <w:t>2</w:t>
      </w:r>
      <w:r>
        <w:rPr>
          <w:rFonts w:ascii="Arial" w:hAnsi="Arial" w:cs="Arial"/>
          <w:sz w:val="18"/>
          <w:szCs w:val="18"/>
        </w:rPr>
        <w:t>,</w:t>
      </w:r>
      <w:r w:rsidR="005B048C">
        <w:rPr>
          <w:rFonts w:ascii="Arial" w:hAnsi="Arial" w:cs="Arial"/>
          <w:sz w:val="18"/>
          <w:szCs w:val="18"/>
        </w:rPr>
        <w:t>398</w:t>
      </w:r>
      <w:r>
        <w:rPr>
          <w:rFonts w:ascii="Arial" w:hAnsi="Arial" w:cs="Arial"/>
          <w:sz w:val="18"/>
          <w:szCs w:val="18"/>
        </w:rPr>
        <w:t>,</w:t>
      </w:r>
      <w:r w:rsidR="005B048C">
        <w:rPr>
          <w:rFonts w:ascii="Arial" w:hAnsi="Arial" w:cs="Arial"/>
          <w:sz w:val="18"/>
          <w:szCs w:val="18"/>
        </w:rPr>
        <w:t>456</w:t>
      </w:r>
      <w:r>
        <w:rPr>
          <w:rFonts w:ascii="Arial" w:hAnsi="Arial" w:cs="Arial"/>
          <w:sz w:val="18"/>
          <w:szCs w:val="18"/>
        </w:rPr>
        <w:t>,</w:t>
      </w:r>
      <w:r w:rsidR="005B048C">
        <w:rPr>
          <w:rFonts w:ascii="Arial" w:hAnsi="Arial" w:cs="Arial"/>
          <w:sz w:val="18"/>
          <w:szCs w:val="18"/>
        </w:rPr>
        <w:t>976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B048C">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375F89">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5B048C">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DC5A57">
        <w:rPr>
          <w:rFonts w:ascii="Arial" w:hAnsi="Arial" w:cs="Arial"/>
          <w:sz w:val="18"/>
          <w:szCs w:val="18"/>
        </w:rPr>
        <w:t>; el resultado del ejercicio del periodo</w:t>
      </w:r>
      <w:r w:rsidR="00DC5A57" w:rsidRPr="00DC5A57">
        <w:rPr>
          <w:rFonts w:ascii="Arial" w:hAnsi="Arial" w:cs="Arial"/>
          <w:sz w:val="18"/>
          <w:szCs w:val="18"/>
        </w:rPr>
        <w:t xml:space="preserve"> </w:t>
      </w:r>
      <w:r w:rsidR="00DC5A57">
        <w:rPr>
          <w:rFonts w:ascii="Arial" w:hAnsi="Arial" w:cs="Arial"/>
          <w:sz w:val="18"/>
          <w:szCs w:val="18"/>
        </w:rPr>
        <w:t xml:space="preserve">2019, </w:t>
      </w:r>
      <w:r w:rsidR="00DC5A57" w:rsidRPr="00220F10">
        <w:rPr>
          <w:rFonts w:ascii="Arial" w:hAnsi="Arial" w:cs="Arial"/>
          <w:sz w:val="18"/>
          <w:szCs w:val="18"/>
        </w:rPr>
        <w:t>respecto al mismo periodo del 2018</w:t>
      </w:r>
      <w:r w:rsidR="00DC5A57">
        <w:rPr>
          <w:rFonts w:ascii="Arial" w:hAnsi="Arial" w:cs="Arial"/>
          <w:sz w:val="18"/>
          <w:szCs w:val="18"/>
        </w:rPr>
        <w:t xml:space="preserve"> es menor en un </w:t>
      </w:r>
      <w:r w:rsidR="00CF144D">
        <w:rPr>
          <w:rFonts w:ascii="Arial" w:hAnsi="Arial" w:cs="Arial"/>
          <w:sz w:val="18"/>
          <w:szCs w:val="18"/>
        </w:rPr>
        <w:t>25%</w:t>
      </w:r>
      <w:r w:rsidRPr="00DE62C8">
        <w:rPr>
          <w:rFonts w:ascii="Arial" w:hAnsi="Arial" w:cs="Arial"/>
          <w:sz w:val="18"/>
          <w:szCs w:val="18"/>
        </w:rPr>
        <w:t>.</w:t>
      </w: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062509">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201</w:t>
      </w:r>
      <w:r w:rsidR="00895EF7">
        <w:rPr>
          <w:rFonts w:ascii="Arial" w:hAnsi="Arial" w:cs="Arial"/>
          <w:sz w:val="18"/>
          <w:szCs w:val="18"/>
        </w:rPr>
        <w:t>9</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sidR="00E17BD5">
        <w:rPr>
          <w:rFonts w:ascii="Arial" w:eastAsia="Times New Roman" w:hAnsi="Arial" w:cs="Arial"/>
          <w:bCs/>
          <w:sz w:val="18"/>
          <w:szCs w:val="18"/>
          <w:lang w:eastAsia="es-MX"/>
        </w:rPr>
        <w:t>1,296,577,168</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CF144D">
        <w:rPr>
          <w:lang w:val="es-MX"/>
        </w:rPr>
        <w:t>68</w:t>
      </w:r>
      <w:r w:rsidR="00AC2CB6">
        <w:rPr>
          <w:lang w:val="es-MX"/>
        </w:rPr>
        <w:t>,</w:t>
      </w:r>
      <w:r w:rsidR="002F1140">
        <w:rPr>
          <w:lang w:val="es-MX"/>
        </w:rPr>
        <w:t>126</w:t>
      </w:r>
      <w:r w:rsidR="00AC2CB6">
        <w:rPr>
          <w:lang w:val="es-MX"/>
        </w:rPr>
        <w:t>,</w:t>
      </w:r>
      <w:r w:rsidR="002F1140">
        <w:rPr>
          <w:lang w:val="es-MX"/>
        </w:rPr>
        <w:t>052</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062509">
        <w:rPr>
          <w:lang w:val="es-MX"/>
        </w:rPr>
        <w:t>2</w:t>
      </w:r>
      <w:r>
        <w:rPr>
          <w:lang w:val="es-MX"/>
        </w:rPr>
        <w:t>,</w:t>
      </w:r>
      <w:r w:rsidR="00062509">
        <w:rPr>
          <w:lang w:val="es-MX"/>
        </w:rPr>
        <w:t>398</w:t>
      </w:r>
      <w:r>
        <w:rPr>
          <w:lang w:val="es-MX"/>
        </w:rPr>
        <w:t>,</w:t>
      </w:r>
      <w:r w:rsidR="00062509">
        <w:rPr>
          <w:lang w:val="es-MX"/>
        </w:rPr>
        <w:t>456</w:t>
      </w:r>
      <w:r>
        <w:rPr>
          <w:lang w:val="es-MX"/>
        </w:rPr>
        <w:t>,</w:t>
      </w:r>
      <w:r w:rsidR="00062509">
        <w:rPr>
          <w:lang w:val="es-MX"/>
        </w:rPr>
        <w:t>976</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EC0BE3">
        <w:rPr>
          <w:lang w:val="es-MX"/>
        </w:rPr>
        <w:t>septiembre</w:t>
      </w:r>
      <w:r>
        <w:rPr>
          <w:lang w:val="es-MX"/>
        </w:rPr>
        <w:t xml:space="preserve"> un importe de </w:t>
      </w:r>
      <w:r w:rsidRPr="004466A7">
        <w:rPr>
          <w:lang w:val="es-MX"/>
        </w:rPr>
        <w:t>$</w:t>
      </w:r>
      <w:r>
        <w:rPr>
          <w:lang w:val="es-MX"/>
        </w:rPr>
        <w:t xml:space="preserve"> </w:t>
      </w:r>
      <w:r w:rsidR="002F1140">
        <w:rPr>
          <w:lang w:val="es-MX"/>
        </w:rPr>
        <w:t>-1,460</w:t>
      </w:r>
      <w:r>
        <w:rPr>
          <w:lang w:val="es-MX"/>
        </w:rPr>
        <w:t>,</w:t>
      </w:r>
      <w:r w:rsidR="002F1140">
        <w:rPr>
          <w:lang w:val="es-MX"/>
        </w:rPr>
        <w:t>657</w:t>
      </w:r>
      <w:r>
        <w:rPr>
          <w:lang w:val="es-MX"/>
        </w:rPr>
        <w:t>,</w:t>
      </w:r>
      <w:r w:rsidR="002F1140">
        <w:rPr>
          <w:lang w:val="es-MX"/>
        </w:rPr>
        <w:t>852</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9743B6">
        <w:rPr>
          <w:lang w:val="es-MX"/>
        </w:rPr>
        <w:t>0</w:t>
      </w:r>
      <w:r w:rsidRPr="00DA18AC">
        <w:rPr>
          <w:lang w:val="es-MX"/>
        </w:rPr>
        <w:t xml:space="preserve"> de </w:t>
      </w:r>
      <w:r w:rsidR="00EC0BE3">
        <w:rPr>
          <w:lang w:val="es-MX"/>
        </w:rPr>
        <w:t>septiembre</w:t>
      </w:r>
      <w:r w:rsidRPr="00DA18AC">
        <w:rPr>
          <w:lang w:val="es-MX"/>
        </w:rPr>
        <w:t xml:space="preserve"> de 201</w:t>
      </w:r>
      <w:r w:rsidR="00FE6B37">
        <w:rPr>
          <w:lang w:val="es-MX"/>
        </w:rPr>
        <w:t>9</w:t>
      </w:r>
      <w:r w:rsidRPr="00DA18AC">
        <w:rPr>
          <w:lang w:val="es-MX"/>
        </w:rPr>
        <w:t xml:space="preserve"> de $ </w:t>
      </w:r>
      <w:r w:rsidR="009743B6">
        <w:rPr>
          <w:lang w:val="es-MX"/>
        </w:rPr>
        <w:t>-</w:t>
      </w:r>
      <w:r w:rsidR="002F1140">
        <w:rPr>
          <w:lang w:val="es-MX"/>
        </w:rPr>
        <w:t>869</w:t>
      </w:r>
      <w:r w:rsidRPr="00DA18AC">
        <w:rPr>
          <w:lang w:val="es-MX"/>
        </w:rPr>
        <w:t>,</w:t>
      </w:r>
      <w:r w:rsidR="002F1140">
        <w:rPr>
          <w:lang w:val="es-MX"/>
        </w:rPr>
        <w:t>673</w:t>
      </w:r>
      <w:r w:rsidRPr="00DA18AC">
        <w:rPr>
          <w:lang w:val="es-MX"/>
        </w:rPr>
        <w:t>,</w:t>
      </w:r>
      <w:r w:rsidR="002F1140">
        <w:rPr>
          <w:lang w:val="es-MX"/>
        </w:rPr>
        <w:t>072</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084620"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362.25pt" o:ole="">
            <v:imagedata r:id="rId8" o:title=""/>
          </v:shape>
          <o:OLEObject Type="Embed" ProgID="Excel.Sheet.12" ShapeID="_x0000_i1032" DrawAspect="Content" ObjectID="_1633793448"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0C5356"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07.25pt;margin-top:34.35pt;width:562.4pt;height:295pt;z-index:251663360">
            <v:imagedata r:id="rId10" o:title=""/>
            <w10:wrap type="topAndBottom"/>
          </v:shape>
          <o:OLEObject Type="Embed" ProgID="Excel.Sheet.12" ShapeID="_x0000_s1046" DrawAspect="Content" ObjectID="_1633793449" r:id="rId11"/>
        </w:object>
      </w:r>
    </w:p>
    <w:p w:rsidR="006942ED" w:rsidRPr="006942ED" w:rsidRDefault="006942ED" w:rsidP="006942ED">
      <w:pPr>
        <w:rPr>
          <w:lang w:eastAsia="es-ES"/>
        </w:rPr>
      </w:pP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0C5356"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08.75pt;margin-top:12pt;width:561.55pt;height:420.2pt;z-index:251664384">
            <v:imagedata r:id="rId12" o:title=""/>
            <w10:wrap type="topAndBottom"/>
          </v:shape>
          <o:OLEObject Type="Embed" ProgID="Excel.Sheet.12" ShapeID="_x0000_s1047" DrawAspect="Content" ObjectID="_1633793450" r:id="rId13"/>
        </w:object>
      </w:r>
    </w:p>
    <w:p w:rsidR="006942ED" w:rsidRPr="006942ED" w:rsidRDefault="006942ED" w:rsidP="006942ED">
      <w:pPr>
        <w:rPr>
          <w:lang w:eastAsia="es-ES"/>
        </w:rPr>
      </w:pP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70431B">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201</w:t>
      </w:r>
      <w:r w:rsidR="00FE6B37">
        <w:rPr>
          <w:rFonts w:ascii="Arial" w:hAnsi="Arial" w:cs="Arial"/>
          <w:sz w:val="18"/>
          <w:szCs w:val="18"/>
        </w:rPr>
        <w:t>9</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2018 se observó una elevada incertidumbre y una mayor astringencia de las condiciones financieras internacionales, por lo que los mercados financieros estuvieron caracterizados por una alta aversión al riesgo que generaró una elevada volatilidad de las variables financieras. No obstante, los mercados financieros han mostrado una menor volatilidad debido a la expectativa de un menor ritmo en los ajustes a la política monetaria de las economías avanzadas, como consecuencia de la posible desaceleración del crecimiento global.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Las perspectivas para el crecimiento económico mundial y la evolución de la economía nacional permiten prever que la economía mexicana continúe creciendo en 2019 y 2020. Se anticipa que durante 2019 el PIB registre un crecimiento real anual de entre 1.1 y 2.1%; para 2020 se estima que crezca entre 1.4 y 2.4% real. Estos rangos difieren a los previstos en los Criterios Generales de Política Económica de 2019 (CGPE 2019), publicados en diciembre de 2018, como resultado del bajo nivel de crecimiento observado en la economía mexicana durante el último trimestre de 2018, el cual podría prolongarse en el primer trimestre de 2019. Para las estimaciones de finanzas públicas se utiliza una estimación puntual de un crecimiento real anual del PIB de 1.6% para 2019 y de 1.9% para 2020.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que realizará el gobierno a la inversión privada en infraestructura y sectores estratégicos; una mayor inversión pública y un incremento de las exportaciones por la reconfiguración de las cadenas de valor globales y la posición estratégica de México.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Se prevé que la inflación de México continúe disminuyendo durante 2019 y 2020, conforme sigan disipándose los efectos de la alta volatilidad cambiaria y los precios de los energéticos que originaron su incremento. De acuerdo con lo proyectado por el Banco de México en su Informe Trimestral de octubre-diciembre de 2018, para el cuarto trimestre del año se espera que la inflación anual se ubique en 3.4%. El precio promedio del crudo mexicano de exportación se estima en 57 y 55 dólares por barril (dpb) para 2019 y 2020, respectivamente, un incremento de 2 dpb respecto al precio aprobado para 2019. Asimismo, para 2019 se estima un tipo de cambio promedio de 19.5 pesos por dólar, cifra menor a lo proyectado en los CGPE 2019 de 20.0 pesos por dólar, en línea con la apreciación observada del peso durante 2019. Para 2020 se considera un tipo de cambio de 20.0 pesos por dólar.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materia de finanzas públicas, para 2019 se prevé cumplir con las metas fiscales aprobadas por el H. Congreso de la Unión. Esto implica que los Requerimientos Financieros del Sector Público (RFSP) alcanzarán un nivel de 2.5% del PIB y que el balance primario registrará un superávit de 1.0% del PIB. En congruencia, se estima que el Saldo Histórico de los Requerimientos Financieros del Sector Público (SHRFSP) se ubique en 45.1% del PIB, nivel similar a la estimación presentada para 2019 en los CGPE 2019 de 45.3% del PIB.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 xml:space="preserve">Se estima que los ingresos presupuestarios de 2019 sean inferiores en 121.2 miles de millones de pesos (mmp), equivalente a 0.5% del PIB, a los previstos en la Ley de Ingresos de la Federación (LIF) 2019. Esto se explica por menores ingresos petroleros, como resultado de una menor producción de crudo y gas natural, un menor proceso de crudo en el Sistema Nacional de Refinación que impacta directamente sobre los ingresos propios de Pemex al dejar de capturar el margen de refinación, así como por un tipo de cambio más apreciado con respecto a lo previsto en la LIF 2019, que se compensó parcialmente con un precio del petróleo mayor al esperado. Por su parte, se estima que los ingresos no petroleros se mantendrán en el mismo nivel previsto en la LIF 2019 de 17.1% del PIB. En cuanto al gasto neto, se estima una reducción de 121.2 mmp (0.5% del PIB) respecto al Presupuesto de Egresos de la Federación (PEF) 2019, congruente con los menores ingresos esperados. Lo anterior como resultado del ajuste en el gasto programable necesario para mantener la meta de déficit público y el balance de Pemex aprobados para 2019.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Para mantener una trayectoria constante del SHRFSP como porcentaje del PIB en 2020, equivalente a 45.1% del PIB, los RFSP se reducirán a 2.1% del PIB, lo cual implicaría que, dada la estimación del costo financiero para ese año, se obtendría un superávit primario de 1.3% del PIB, un déficit público de 1.6% del PIB y que se mantendrá un equilibrio presupuestario en el balance público sin inversión física de hasta 1.6% del PIB de Pemex, CFE y Gobierno Federal. Es importante destacar que la estimación de finanzas públicas considera que no se realizarán modificaciones al marco tributario vigente para 2020. Se estima que los ingresos presupuestarios para 2020 disminuyan en 1.7% real con respecto al monto previsto en la LIF 2019, debido principalmente a menores ingresos petroleros. Asimismo, para cumplir con la meta de balance público de un déficit de 1.6% del PIB, y dados los menores ingresos estimados, se prevé que el gasto neto total pagado para 2020 disminuya en 3.0% real con respecto al monto aprobado en el PEF 2019.</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A pesar del entorno externo adverso observado durante 2018, la actividad económica en México, sustentada en sólidos fundamentos macroeconómicos, mantuvo un crecimiento positivo durante 2018 y principios de 2019. Por el lado de la producción, el sector de servicios continuó impulsando el crecimiento económico, mientras que por el lado del gasto, el consumo privado y la demanda externa siguieron mostrando un desempeño favorable. No obstante, la inversión continuó exhibiendo un débil desempeño.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Para 2018–2019 se proyecta que el crecimiento se mantenga estable en el nivel de 2017, aunque su ritmo es menos vigoroso que lo proyectado en abril y es ahora menos equilibrado. Los riesgos para el crecimiento mundial han aumentado en los seis últimos meses y la posibilidad de sorpresas positivas ha disminuido. Se proyecta un crecimiento mundial de 3.7% para 2018–2019; es decir, 0.2 puntos porcentuales menos que el pronóstico de abril para ambos años. La revisión a la baja refleja factores sorpresivos que reprimieron la actividad a comienzos de 2018 en algunas de las principales economías avanzadas, los efectos negativos de las medidas comerciales aplicadas o aprobadas entre abril y mediados de septiembre, así como perspectivas menos favorables para algunas economías de mercados emergentes y en desarrollo debido a factores específicos de cada país, condiciones financieras más restrictivas, tensiones geopolíticas y mayores costos de importación de petróleo.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subóptimas en algunas economías de mercados emergentes y en desarrollo, especialmente en términos del crecimiento per cápita, incluso en el caso de los exportadores de materias primas que continúan enfrentando necesidades sustanciales de consolidación fiscal o que están sumidos en guerras y conflictos. Los riesgos para el pronóstico de crecimiento mundial están sesgados a la baja en un contexto de recrudecimiento de la incertidumbre en torno a las políticas.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Durante 2018, la economía estadounidense registró un desempeño similar al esperado por los analistas. No obstante, las perspectivas de crecimiento se han revisado ligeramente a la baja para 2019 y 2020, debido a que, aunque se espera un consumo privado elevado, este puede debilitarse por la disipación del impulso fiscal de 2018 y por algunas señales de desaceleración en la actividad económica para estos años. No obstante, la fortaleza del mercado laboral puede contribuir a mantener el crecimiento del consumo.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 xml:space="preserve">Para 2019, se espera un precio promedio de la mezcla mexicana de exportación de 57 dpb, que es mayor al precio aprobado por el H. Congreso de la Unión en el Paquete Económico para este año. Este precio está en línea con las condiciones económicas prevalecientes a nivel internacional y con la evolución reciente del mercado petrolero. Al 21 de marzo, el precio de la mezcla mexicana para 2019 se ubicó en 60.9 dpb.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Cabe resaltar que el Gobierno Federal protegió sus ingresos petroleros para 2019 contra reducciones en el precio del crudo al 100% con una estrategia de coberturas que contempla, al igual que en 2018, dos herramientas: (1) una cobertura financiera en la forma de opciones de venta tipo put; y (2) una subcuenta en el Fondo de Estabilización de los Ingresos Presupuestarios (FEIP). Considerando ambas herramientas, se cubren los 55 dpb establecidos en la Ley de Ingresos de la Federación para 2019 (LIF 2019).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Por su parte, se estima que el precio promedio de la mezcla mexicana sea de 55 dpb durante 2020. Este precio es ligeramente menor a 55.8 dpb, cifra obtenida empleando la metodología especificada en el artículo 31 de la Ley Federal de Presupuesto y Responsabilidad Hacendaria, de acuerdo con la cual el valor que se utiliza como parámetro en la formulación de la Ley de Ingresos no debe superar al precio de referencia estimado. Asimismo, la estimación se encuentra por debajo del precio implícito en las cotizaciones de los mercados de futuros que con base en las referencias de WTI muestra un precio promedio para la mezcla mexicana de aproximadamente 59 dpb.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Las perspectivas para el crecimiento mundial y de Estados Unidos en 2019 y 2020, así como la evolución de la economía nacional permiten prever que la economía continúe creciendo en 2019 y 2020. Se anticipa que durante 2019 el PIB registre un crecimiento anual entre 1.1 y 2.1%, y para 2020 se estima que crezca entre 1.4 y 2.4%. Estos rangos son diferentes a los previstos en los CGPE 2019, publicados en diciembre pasado, como resultado del bajo nivel de crecimiento observado en la economía durante el último trimestre de 2018, el cual podría prolongarse en el primer trimestre de 2019, así como a la disminución en las expectativas de crecimiento a nivel mundial y particularmente de los Estados Unidos. Para efectos de las estimaciones de finanzas públicas se utiliza un crecimiento puntual del PIB para 2019 de 1.6% y para 2020 de 1.9%.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por parte del gobierno a la inversión privada en infraestructura y sectores estratégicos; una mayor inversión pública, y un incremento de las exportaciones por la reconfiguración de las cadenas de valor globales y la posición estratégica de México.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La previsión de crecimiento de la Secretaría de Hacienda y Crédito Público para 2020 también se encuentra en línea con el esperado por los especialistas del sector privado y de organismos internacionales. Los crecimientos publicados por el Banco de México, el FMI y la OCDE son 1.9, 2.2 y 2.3%, respectivamente.  La estimación de crecimiento para 2019 considera que el gasto en inversión continuará de manera inercial mostrando cierta debilidad. No obstante, diversos factores pueden modificar esta previsión. En particular, el gobierno buscará impulsar la inversión privada en infraestructura y sectores estratégicos usando diferentes esquemas de participación, así como mejorar el clima de negocios a través de reforzar el estado de derecho, reducir la violencia y mejorar la seguridad.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Por otro lado, la inversión puede verse beneficiada al disiparse la incertidumbre de la aprobación del nuevo tratado comercial de Norteamérica (T-MEC) por los Congresos de los tres países, así como por la reconfiguración de las cadenas de valor del comercio internacional que pueden beneficiar el comercio regional. Asimismo, se espera la recuperación gradual de la plataforma de producción de petróleo, lo cual implica observar niveles de crecimiento de la producción en el mediano plazo. Las proyecciones de crecimiento de la demanda externa presentadas consideran un crecimiento de las exportaciones de bienes de México, si bien menos acelerada que en 2018. No obstante, es posible que las exportaciones se vean más beneficiadas por las modificaciones a las cadenas de valor de las importaciones de Estados Unidos, por las disputas comerciales actuales y consideraciones geopolíticas, y la posición privilegiada de México, tanto por ventajas logísticas como por la existencia de una oferta de mano de obra calificada.  </w:t>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Al mismo tiempo, es posible que la demanda interna contribuya más al crecimiento que el presentado por el efecto de las mejoras al sector financiero implementadas a inicios de 2019, por el impulso al consumo por la implementación de los programas sociales, por los niveles elevados de ingresos por remesas, así como por la sólida generación de empleos y una menor inflación. Lo anterior tendría como resultado que el consumo privado siga siendo motor del crecimiento.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Se prevé que la inflación continúe disminuyendo durante 2019 y 2020, conforme sigan disipándose los efectos de la alta volatilidad cambiaria y los precios de energéticos que originaron su incremento. En este sentido, se estima una inflación de cierre para 2019 de 3.4%, igual a la estimación para el cuarto trimestre del año publicada por el Banco de México en su Informe Trimestral de octubre-diciembre de 2018. Por su parte, se prevé que a finales de 2020 la inflación se ubicará en la meta establecida por el Banco de México de 3.0%.</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Para 2019, se considera como referencia para las estimaciones de finanzas públicas un tipo de cambio nominal promedio de 19.5 pesos por dólar. Para 2020 se considera un tipo de cambio promedio de 20.0 pesos por dólar.</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Se prevé que la plataforma de producción de petróleo promedie 1,783 mbd durante 2019, monto menor a la plataforma aprobada por el H. Congreso de la Unión en el Paquete Económico para este año (1,847 mbd), y 1,916 mbd durante 2020. Ambas cifras son consistentes con las estimaciones de producción aprobadas por el Consejo de Administración de Pemex, así como con las proyecciones de producción de privados que elabora la Secretaria de Energía.</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El escenario descrito del marco macroeconómico se encuentra sujeto a diversos riesgos. Dentro de los riesgos a la baja destacan: </w:t>
      </w: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Mayor volatilidad en los mercados financieros internacionales que implique una disminución de los flujos de capitales a los países emergentes.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Mayor incertidumbre por tensiones políticas externas.</w:t>
      </w:r>
    </w:p>
    <w:p w:rsidR="003156F1" w:rsidRPr="003156F1" w:rsidRDefault="003156F1" w:rsidP="003156F1">
      <w:pPr>
        <w:pStyle w:val="Prrafodelista"/>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Una mayor desaceleración de la actividad económica de la economía mexicana por un debilitamiento de la inversión privada en México mayor de lo anticipado.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El retraso en la aprobación del nuevo acuerdo comercial con Estados Unidos y Canadá.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Pr="003156F1"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Un mayor deterioro de la calificación crediticia de Pemex.</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Entre los eventos que pueden generar un entorno más favorable se encuentran: </w:t>
      </w: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Un crecimiento mayor a lo esperado del PIB y de la producción industrial en Estados Unidos.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Que se revierta la debilidad que ha mostrado el gasto en la inversión como resultado de un impulso por parte del gobierno a la inversión privada en infraestructura y sectores estratégicos, el mejoramiento del clima de negocios por el combate a la corrupción e inseguridad, una mayor inversión de empresas al disiparse la </w:t>
      </w:r>
      <w:r w:rsidRPr="003156F1">
        <w:rPr>
          <w:rFonts w:ascii="Arial" w:hAnsi="Arial" w:cs="Arial"/>
          <w:sz w:val="18"/>
          <w:szCs w:val="18"/>
        </w:rPr>
        <w:lastRenderedPageBreak/>
        <w:t xml:space="preserve">incertidumbre al darse la aprobación legislativa en Estados Unidos del T-MEC, así como por la reconfiguración de las cadenas de valor del comercio internacional que pueden beneficiar el comercio regional.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Pr="003156F1"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Un crecimiento de las exportaciones por la reconfiguración la ventaja comparativa que puede tener México en los cambios en las cadenas de valor de las importaciones de Estados Unidos.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Para 2019, se cumplirá con las metas fiscales aprobadas por el H. Congreso de la Unión, lo que implica que los RFSP alcanzarán un nivel de 2.5% del PIB, el déficit público registrará un nivel de 2.0% del PIB, mientras que el balance primario se ubicará en 1.0% del PIB. Además, se prevé un equilibrio presupuestario en el balance público al restarle hasta 2.0% de la inversión física de PEMEX, de CFE y del Gobierno Federal. En congruencia, se estima que el SHRFSP se ubique en 45.1% del PIB, nivel similar a la estimación presentada en los CGPE 2019 de 45.3% del PIB.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proyección de las finanzas públicas para 2019 se apoya en un marco macroeconómico que incorpora la información más reciente sobre los parámetros que afectan los ingresos y egresos del Sector Público, en línea con lo presentado en los CGPE 2019, para efectos de las estimaciones de finanzas públicas se incorpora un valor puntual para el crecimiento económico de 1.6%, así como una plataforma de producción de 1,783 mbd y un tipo de cambio promedio de 19.5 pesos por dólar, mientras que se prevé un precio del petróleo de 57 dpb, una tasa de interés nominal promedio de 8.0%, y una inflación de 3.4%.</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lastRenderedPageBreak/>
        <w:drawing>
          <wp:inline distT="0" distB="0" distL="0" distR="0">
            <wp:extent cx="2557780" cy="3556635"/>
            <wp:effectExtent l="0" t="0" r="0" b="571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7780" cy="3556635"/>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618 mil 451 personas y representa 1.1% del total nacional. La población ocupada representó 96% de la PEA de la entidad, es decir, 593 mil 760 personas. De esta población, 58 % son hombres y 42 % son mujeres. Un dato a destacar es el aumento de la participación laboral femenina en el estado. En 2000, la proporción de mujeres trabajadoras tlaxcaltecas dentro de la población ocupada total era de 33%. Actualmente, alcanza 42%, 2 puntos porcentuales mayor al promedio nacional.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Al mes de julio de 2019 la tasa de ocupación reflejó una participación del 1.1 % al total nacional, representando un incremento de 2,367 puestos de trabajo respecto a diciembre de 2018. Al mes de julio de 2019, se tienen registrados 103,346 trabajadores asegurados en el IMSS, tal y como se muestra en el siguiente cuadro:</w:t>
      </w: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drawing>
          <wp:inline distT="0" distB="0" distL="0" distR="0">
            <wp:extent cx="6066178" cy="3676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7517" t="29126" r="18636" b="15855"/>
                    <a:stretch>
                      <a:fillRect/>
                    </a:stretch>
                  </pic:blipFill>
                  <pic:spPr bwMode="auto">
                    <a:xfrm>
                      <a:off x="0" y="0"/>
                      <a:ext cx="6082872" cy="3686768"/>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w:lastRenderedPageBreak/>
        <w:drawing>
          <wp:inline distT="0" distB="0" distL="0" distR="0">
            <wp:extent cx="8140065" cy="5969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6">
                      <a:extLst>
                        <a:ext uri="{28A0092B-C50C-407E-A947-70E740481C1C}">
                          <a14:useLocalDpi xmlns:a14="http://schemas.microsoft.com/office/drawing/2010/main" val="0"/>
                        </a:ext>
                      </a:extLst>
                    </a:blip>
                    <a:srcRect l="25296" t="26614" r="26253" b="10094"/>
                    <a:stretch>
                      <a:fillRect/>
                    </a:stretch>
                  </pic:blipFill>
                  <pic:spPr bwMode="auto">
                    <a:xfrm>
                      <a:off x="0" y="0"/>
                      <a:ext cx="8140065" cy="5969000"/>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De acuerdo al Directorio Estadístico Nacional de Unidades Económicas, Tlaxcala cuenta con 73,274 Unidades Económicas, lo que representa el 2 % del total nacional. Al segundo trimestre de 2019 la Población Económicamente Activa (PEA) ascendió a 618,451 personas, representando el 63 % de la población en edad de trabajar. Del Total de la PEA, el 96 % está ocupada y el 4 % se encuentra desocupada.</w:t>
      </w: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drawing>
          <wp:inline distT="0" distB="0" distL="0" distR="0">
            <wp:extent cx="6784340" cy="447386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5703" t="14512" r="18286" b="7985"/>
                    <a:stretch/>
                  </pic:blipFill>
                  <pic:spPr bwMode="auto">
                    <a:xfrm>
                      <a:off x="0" y="0"/>
                      <a:ext cx="6792619" cy="4479329"/>
                    </a:xfrm>
                    <a:prstGeom prst="rect">
                      <a:avLst/>
                    </a:prstGeom>
                    <a:noFill/>
                    <a:ln>
                      <a:noFill/>
                    </a:ln>
                    <a:extLst>
                      <a:ext uri="{53640926-AAD7-44D8-BBD7-CCE9431645EC}">
                        <a14:shadowObscured xmlns:a14="http://schemas.microsoft.com/office/drawing/2010/main"/>
                      </a:ext>
                    </a:extLst>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Al primer trimestre de 2019, la Inversión Extranjera Directa Acumulada del año 2011 al mes de marzo de 2019 en el Estado de Tlaxcala fue de 1,229.6 millones de dólares lo que representó un aporte del 1% al total nacional, instalándose empresas de diversas nacionalidades en la Entidad.</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w:drawing>
          <wp:inline distT="0" distB="0" distL="0" distR="0">
            <wp:extent cx="8280400" cy="436435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0400" cy="4364355"/>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830DD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70431B">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El Estado de Tlaxcala, cuenta con una superficie de 3,991 kilómetros cuadrados, lo cual representa el 0,2 % del territorio nacional.</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w:t>
      </w:r>
      <w:r w:rsidRPr="0073056A">
        <w:rPr>
          <w:rFonts w:ascii="Arial" w:hAnsi="Arial" w:cs="Arial"/>
          <w:sz w:val="18"/>
          <w:szCs w:val="18"/>
        </w:rPr>
        <w:lastRenderedPageBreak/>
        <w:t>Contabilidad Gubernamental y las Normas y Metodología para la Emisión de Información Financiera y Estructura de los Estados Financieros Básicos, emitido por el Consejo Nacional de Armonización Contable (CONAC).</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D13E7D" w:rsidRDefault="00D13E7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D13E7D" w:rsidRDefault="00D13E7D"/>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13E7D" w:rsidRDefault="00D13E7D"/>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13E7D" w:rsidRDefault="00D13E7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D13E7D" w:rsidRDefault="00D13E7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D13E7D" w:rsidRDefault="00D13E7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D13E7D" w:rsidRDefault="00D13E7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3D3" w:rsidRDefault="00C623D3" w:rsidP="00EA5418">
      <w:pPr>
        <w:spacing w:after="0" w:line="240" w:lineRule="auto"/>
      </w:pPr>
      <w:r>
        <w:separator/>
      </w:r>
    </w:p>
  </w:endnote>
  <w:endnote w:type="continuationSeparator" w:id="0">
    <w:p w:rsidR="00C623D3" w:rsidRDefault="00C623D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4E3EA4" w:rsidRDefault="00D13E7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0C5356" w:rsidRPr="000C5356">
          <w:rPr>
            <w:rFonts w:ascii="Arial" w:hAnsi="Arial" w:cs="Arial"/>
            <w:noProof/>
            <w:sz w:val="20"/>
            <w:lang w:val="es-ES"/>
          </w:rPr>
          <w:t>20</w:t>
        </w:r>
        <w:r w:rsidRPr="004E3EA4">
          <w:rPr>
            <w:rFonts w:ascii="Arial" w:hAnsi="Arial" w:cs="Arial"/>
            <w:sz w:val="20"/>
          </w:rPr>
          <w:fldChar w:fldCharType="end"/>
        </w:r>
      </w:sdtContent>
    </w:sdt>
  </w:p>
  <w:p w:rsidR="00D13E7D" w:rsidRDefault="00D13E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3527CD" w:rsidRDefault="00D13E7D"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0C5356" w:rsidRPr="000C5356">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3D3" w:rsidRDefault="00C623D3" w:rsidP="00EA5418">
      <w:pPr>
        <w:spacing w:after="0" w:line="240" w:lineRule="auto"/>
      </w:pPr>
      <w:r>
        <w:separator/>
      </w:r>
    </w:p>
  </w:footnote>
  <w:footnote w:type="continuationSeparator" w:id="0">
    <w:p w:rsidR="00C623D3" w:rsidRDefault="00C623D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Default="00D13E7D">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E7D" w:rsidRPr="00DE4269" w:rsidRDefault="00D13E7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F50FC7" w:rsidRPr="00DE4269" w:rsidRDefault="00F50FC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13E7D" w:rsidRDefault="00D13E7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D13E7D" w:rsidRDefault="00D13E7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13E7D" w:rsidRDefault="00D13E7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3527CD" w:rsidRDefault="00D13E7D"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0"/>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53D1"/>
    <w:rsid w:val="00006217"/>
    <w:rsid w:val="0001342E"/>
    <w:rsid w:val="000155BC"/>
    <w:rsid w:val="000202A5"/>
    <w:rsid w:val="00021787"/>
    <w:rsid w:val="00026C0E"/>
    <w:rsid w:val="000271C8"/>
    <w:rsid w:val="00031160"/>
    <w:rsid w:val="00031DC4"/>
    <w:rsid w:val="00032921"/>
    <w:rsid w:val="00037045"/>
    <w:rsid w:val="00040466"/>
    <w:rsid w:val="000417DA"/>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620"/>
    <w:rsid w:val="00084D46"/>
    <w:rsid w:val="00090FD9"/>
    <w:rsid w:val="0009604B"/>
    <w:rsid w:val="00097255"/>
    <w:rsid w:val="000A00F8"/>
    <w:rsid w:val="000A4867"/>
    <w:rsid w:val="000A5776"/>
    <w:rsid w:val="000A58AB"/>
    <w:rsid w:val="000A7734"/>
    <w:rsid w:val="000A7AB8"/>
    <w:rsid w:val="000B54AD"/>
    <w:rsid w:val="000B62E8"/>
    <w:rsid w:val="000B6E5A"/>
    <w:rsid w:val="000C5356"/>
    <w:rsid w:val="000C6E95"/>
    <w:rsid w:val="000D01E9"/>
    <w:rsid w:val="000D4D45"/>
    <w:rsid w:val="000D553D"/>
    <w:rsid w:val="000E0A96"/>
    <w:rsid w:val="000E10A7"/>
    <w:rsid w:val="000E4072"/>
    <w:rsid w:val="000E5C7A"/>
    <w:rsid w:val="000E6692"/>
    <w:rsid w:val="000F0E08"/>
    <w:rsid w:val="000F1B18"/>
    <w:rsid w:val="00100FD7"/>
    <w:rsid w:val="0010182C"/>
    <w:rsid w:val="00105410"/>
    <w:rsid w:val="00112770"/>
    <w:rsid w:val="001130E9"/>
    <w:rsid w:val="001156F5"/>
    <w:rsid w:val="00115E5C"/>
    <w:rsid w:val="00115FAF"/>
    <w:rsid w:val="001203B5"/>
    <w:rsid w:val="00120A86"/>
    <w:rsid w:val="00121982"/>
    <w:rsid w:val="00123461"/>
    <w:rsid w:val="001234D1"/>
    <w:rsid w:val="0013011C"/>
    <w:rsid w:val="001330F9"/>
    <w:rsid w:val="00134F21"/>
    <w:rsid w:val="00136E7D"/>
    <w:rsid w:val="00142035"/>
    <w:rsid w:val="00144A5D"/>
    <w:rsid w:val="0014540D"/>
    <w:rsid w:val="001528B7"/>
    <w:rsid w:val="00157EF7"/>
    <w:rsid w:val="00161865"/>
    <w:rsid w:val="0016242F"/>
    <w:rsid w:val="001635E1"/>
    <w:rsid w:val="00165BB4"/>
    <w:rsid w:val="001660FE"/>
    <w:rsid w:val="00172B7D"/>
    <w:rsid w:val="00174586"/>
    <w:rsid w:val="00174F47"/>
    <w:rsid w:val="0018603D"/>
    <w:rsid w:val="00191085"/>
    <w:rsid w:val="00192770"/>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12203"/>
    <w:rsid w:val="00220F10"/>
    <w:rsid w:val="0022227A"/>
    <w:rsid w:val="00223CE1"/>
    <w:rsid w:val="0022440F"/>
    <w:rsid w:val="00227B93"/>
    <w:rsid w:val="00230B71"/>
    <w:rsid w:val="00236748"/>
    <w:rsid w:val="002431DD"/>
    <w:rsid w:val="00245E54"/>
    <w:rsid w:val="00247AD7"/>
    <w:rsid w:val="00251F0D"/>
    <w:rsid w:val="00255476"/>
    <w:rsid w:val="00261B45"/>
    <w:rsid w:val="0026333F"/>
    <w:rsid w:val="00264426"/>
    <w:rsid w:val="002705C0"/>
    <w:rsid w:val="00270EC8"/>
    <w:rsid w:val="00272E20"/>
    <w:rsid w:val="0027627B"/>
    <w:rsid w:val="00280CD3"/>
    <w:rsid w:val="002858C7"/>
    <w:rsid w:val="00287D90"/>
    <w:rsid w:val="00290A24"/>
    <w:rsid w:val="00295FCC"/>
    <w:rsid w:val="002A1092"/>
    <w:rsid w:val="002A2013"/>
    <w:rsid w:val="002A70B3"/>
    <w:rsid w:val="002A728F"/>
    <w:rsid w:val="002B0770"/>
    <w:rsid w:val="002B32BF"/>
    <w:rsid w:val="002B4828"/>
    <w:rsid w:val="002B547F"/>
    <w:rsid w:val="002B63C6"/>
    <w:rsid w:val="002B7C62"/>
    <w:rsid w:val="002C0A9F"/>
    <w:rsid w:val="002C479E"/>
    <w:rsid w:val="002C4A76"/>
    <w:rsid w:val="002C4E19"/>
    <w:rsid w:val="002C55F6"/>
    <w:rsid w:val="002C5ACA"/>
    <w:rsid w:val="002D0278"/>
    <w:rsid w:val="002D2BEE"/>
    <w:rsid w:val="002E3C2E"/>
    <w:rsid w:val="002E52F9"/>
    <w:rsid w:val="002F1140"/>
    <w:rsid w:val="002F546C"/>
    <w:rsid w:val="0030292A"/>
    <w:rsid w:val="00302E39"/>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4047"/>
    <w:rsid w:val="0035405F"/>
    <w:rsid w:val="0035468F"/>
    <w:rsid w:val="00356170"/>
    <w:rsid w:val="003612CA"/>
    <w:rsid w:val="00365BA0"/>
    <w:rsid w:val="00372F40"/>
    <w:rsid w:val="00374E36"/>
    <w:rsid w:val="00375F89"/>
    <w:rsid w:val="00380E8C"/>
    <w:rsid w:val="00380EE2"/>
    <w:rsid w:val="003811EC"/>
    <w:rsid w:val="00382E8F"/>
    <w:rsid w:val="00383BCB"/>
    <w:rsid w:val="00386E53"/>
    <w:rsid w:val="003900E3"/>
    <w:rsid w:val="00390936"/>
    <w:rsid w:val="00393281"/>
    <w:rsid w:val="00393659"/>
    <w:rsid w:val="00396C2B"/>
    <w:rsid w:val="003A0303"/>
    <w:rsid w:val="003A3013"/>
    <w:rsid w:val="003A6C39"/>
    <w:rsid w:val="003A731F"/>
    <w:rsid w:val="003A7ADE"/>
    <w:rsid w:val="003B1B0C"/>
    <w:rsid w:val="003B55DA"/>
    <w:rsid w:val="003C35FE"/>
    <w:rsid w:val="003C3B3A"/>
    <w:rsid w:val="003C4805"/>
    <w:rsid w:val="003C5C30"/>
    <w:rsid w:val="003C7A1D"/>
    <w:rsid w:val="003D0221"/>
    <w:rsid w:val="003D1331"/>
    <w:rsid w:val="003D2E3D"/>
    <w:rsid w:val="003D5DBF"/>
    <w:rsid w:val="003D6079"/>
    <w:rsid w:val="003E33EF"/>
    <w:rsid w:val="003E3D38"/>
    <w:rsid w:val="003E63CA"/>
    <w:rsid w:val="003E6BD8"/>
    <w:rsid w:val="003E7FD0"/>
    <w:rsid w:val="003F0340"/>
    <w:rsid w:val="003F0EA4"/>
    <w:rsid w:val="003F16E6"/>
    <w:rsid w:val="003F2A03"/>
    <w:rsid w:val="003F6942"/>
    <w:rsid w:val="003F6B56"/>
    <w:rsid w:val="003F7393"/>
    <w:rsid w:val="00401A74"/>
    <w:rsid w:val="0040301B"/>
    <w:rsid w:val="0040746E"/>
    <w:rsid w:val="004076AC"/>
    <w:rsid w:val="0041065F"/>
    <w:rsid w:val="00411B83"/>
    <w:rsid w:val="00415099"/>
    <w:rsid w:val="004213BC"/>
    <w:rsid w:val="004222EE"/>
    <w:rsid w:val="004306DA"/>
    <w:rsid w:val="004311BE"/>
    <w:rsid w:val="004373B9"/>
    <w:rsid w:val="00441315"/>
    <w:rsid w:val="00441E7C"/>
    <w:rsid w:val="0044253C"/>
    <w:rsid w:val="004466A7"/>
    <w:rsid w:val="00451963"/>
    <w:rsid w:val="00454129"/>
    <w:rsid w:val="00454250"/>
    <w:rsid w:val="00463B0D"/>
    <w:rsid w:val="0046425D"/>
    <w:rsid w:val="00464409"/>
    <w:rsid w:val="004644D4"/>
    <w:rsid w:val="004649FD"/>
    <w:rsid w:val="004714CF"/>
    <w:rsid w:val="00474420"/>
    <w:rsid w:val="00480F7F"/>
    <w:rsid w:val="004842C3"/>
    <w:rsid w:val="00484C0D"/>
    <w:rsid w:val="00487AC2"/>
    <w:rsid w:val="0049279C"/>
    <w:rsid w:val="00493E27"/>
    <w:rsid w:val="00497D8B"/>
    <w:rsid w:val="004A56B0"/>
    <w:rsid w:val="004A67F1"/>
    <w:rsid w:val="004A7484"/>
    <w:rsid w:val="004B04CF"/>
    <w:rsid w:val="004B1994"/>
    <w:rsid w:val="004B1F00"/>
    <w:rsid w:val="004B2344"/>
    <w:rsid w:val="004B263B"/>
    <w:rsid w:val="004B2683"/>
    <w:rsid w:val="004B5686"/>
    <w:rsid w:val="004C0ECA"/>
    <w:rsid w:val="004C1616"/>
    <w:rsid w:val="004C4F16"/>
    <w:rsid w:val="004C5E7B"/>
    <w:rsid w:val="004D30E1"/>
    <w:rsid w:val="004D3E91"/>
    <w:rsid w:val="004D41B8"/>
    <w:rsid w:val="004E3EA4"/>
    <w:rsid w:val="004E6076"/>
    <w:rsid w:val="004F542A"/>
    <w:rsid w:val="004F5641"/>
    <w:rsid w:val="0050183B"/>
    <w:rsid w:val="00502DDD"/>
    <w:rsid w:val="00503454"/>
    <w:rsid w:val="005137AB"/>
    <w:rsid w:val="00513E7E"/>
    <w:rsid w:val="00514F2B"/>
    <w:rsid w:val="00516599"/>
    <w:rsid w:val="0052034A"/>
    <w:rsid w:val="00521715"/>
    <w:rsid w:val="00521728"/>
    <w:rsid w:val="00522632"/>
    <w:rsid w:val="00522815"/>
    <w:rsid w:val="00522EF3"/>
    <w:rsid w:val="0052562F"/>
    <w:rsid w:val="0052637F"/>
    <w:rsid w:val="00530DED"/>
    <w:rsid w:val="00532250"/>
    <w:rsid w:val="0053277D"/>
    <w:rsid w:val="005327CE"/>
    <w:rsid w:val="00540418"/>
    <w:rsid w:val="00543F97"/>
    <w:rsid w:val="00545527"/>
    <w:rsid w:val="00550363"/>
    <w:rsid w:val="00553CB3"/>
    <w:rsid w:val="00556D2F"/>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D38"/>
    <w:rsid w:val="00587618"/>
    <w:rsid w:val="005876AE"/>
    <w:rsid w:val="0059084C"/>
    <w:rsid w:val="00590C01"/>
    <w:rsid w:val="005A3CCB"/>
    <w:rsid w:val="005A53BA"/>
    <w:rsid w:val="005A57AD"/>
    <w:rsid w:val="005B048C"/>
    <w:rsid w:val="005B0F75"/>
    <w:rsid w:val="005C02A4"/>
    <w:rsid w:val="005C0F25"/>
    <w:rsid w:val="005C1613"/>
    <w:rsid w:val="005C1E73"/>
    <w:rsid w:val="005C36E3"/>
    <w:rsid w:val="005C4BC3"/>
    <w:rsid w:val="005D3D25"/>
    <w:rsid w:val="005D5223"/>
    <w:rsid w:val="005D568E"/>
    <w:rsid w:val="005E7914"/>
    <w:rsid w:val="005F253A"/>
    <w:rsid w:val="005F3B9E"/>
    <w:rsid w:val="005F52B3"/>
    <w:rsid w:val="005F7D1B"/>
    <w:rsid w:val="00600110"/>
    <w:rsid w:val="00600878"/>
    <w:rsid w:val="00601D73"/>
    <w:rsid w:val="00602E51"/>
    <w:rsid w:val="00603BFE"/>
    <w:rsid w:val="006049C8"/>
    <w:rsid w:val="00605027"/>
    <w:rsid w:val="0060657D"/>
    <w:rsid w:val="006071BA"/>
    <w:rsid w:val="00612203"/>
    <w:rsid w:val="006132FB"/>
    <w:rsid w:val="00622823"/>
    <w:rsid w:val="00623ACB"/>
    <w:rsid w:val="006253D1"/>
    <w:rsid w:val="00632109"/>
    <w:rsid w:val="00632C87"/>
    <w:rsid w:val="006331B3"/>
    <w:rsid w:val="0063488B"/>
    <w:rsid w:val="006356AA"/>
    <w:rsid w:val="00637A48"/>
    <w:rsid w:val="006429DB"/>
    <w:rsid w:val="0064409F"/>
    <w:rsid w:val="006519BC"/>
    <w:rsid w:val="00651FB7"/>
    <w:rsid w:val="006537A5"/>
    <w:rsid w:val="00653A66"/>
    <w:rsid w:val="0065446E"/>
    <w:rsid w:val="0065525F"/>
    <w:rsid w:val="00655EB2"/>
    <w:rsid w:val="00660015"/>
    <w:rsid w:val="00661A17"/>
    <w:rsid w:val="006653EB"/>
    <w:rsid w:val="0067443A"/>
    <w:rsid w:val="00675109"/>
    <w:rsid w:val="00675B86"/>
    <w:rsid w:val="00677384"/>
    <w:rsid w:val="006774BF"/>
    <w:rsid w:val="00684DCF"/>
    <w:rsid w:val="006942ED"/>
    <w:rsid w:val="006944EF"/>
    <w:rsid w:val="006A289F"/>
    <w:rsid w:val="006A33FB"/>
    <w:rsid w:val="006B1FE7"/>
    <w:rsid w:val="006B72D6"/>
    <w:rsid w:val="006C2C92"/>
    <w:rsid w:val="006C54B8"/>
    <w:rsid w:val="006D2166"/>
    <w:rsid w:val="006D3DF1"/>
    <w:rsid w:val="006D5097"/>
    <w:rsid w:val="006D5AC5"/>
    <w:rsid w:val="006E2D9E"/>
    <w:rsid w:val="006E77DD"/>
    <w:rsid w:val="006F0CCF"/>
    <w:rsid w:val="006F0F85"/>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39D3"/>
    <w:rsid w:val="00757C3E"/>
    <w:rsid w:val="00764D64"/>
    <w:rsid w:val="00770054"/>
    <w:rsid w:val="007723AF"/>
    <w:rsid w:val="00773A43"/>
    <w:rsid w:val="00773EBC"/>
    <w:rsid w:val="007769DF"/>
    <w:rsid w:val="00776BBF"/>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6082"/>
    <w:rsid w:val="008805C8"/>
    <w:rsid w:val="00883D58"/>
    <w:rsid w:val="0089054E"/>
    <w:rsid w:val="00894C50"/>
    <w:rsid w:val="00895EF7"/>
    <w:rsid w:val="008966AD"/>
    <w:rsid w:val="00897AB8"/>
    <w:rsid w:val="00897BFB"/>
    <w:rsid w:val="008A1478"/>
    <w:rsid w:val="008A1B6F"/>
    <w:rsid w:val="008A6A9C"/>
    <w:rsid w:val="008A6E02"/>
    <w:rsid w:val="008A6E4D"/>
    <w:rsid w:val="008A793D"/>
    <w:rsid w:val="008A79E4"/>
    <w:rsid w:val="008B0017"/>
    <w:rsid w:val="008B092A"/>
    <w:rsid w:val="008B17FD"/>
    <w:rsid w:val="008B3A8C"/>
    <w:rsid w:val="008B4143"/>
    <w:rsid w:val="008B59D6"/>
    <w:rsid w:val="008B5B85"/>
    <w:rsid w:val="008C155F"/>
    <w:rsid w:val="008C2121"/>
    <w:rsid w:val="008C568D"/>
    <w:rsid w:val="008D0B37"/>
    <w:rsid w:val="008D7129"/>
    <w:rsid w:val="008E3652"/>
    <w:rsid w:val="008E3672"/>
    <w:rsid w:val="008E49AB"/>
    <w:rsid w:val="008E5316"/>
    <w:rsid w:val="008F056B"/>
    <w:rsid w:val="008F0CF5"/>
    <w:rsid w:val="008F45AC"/>
    <w:rsid w:val="008F4EF3"/>
    <w:rsid w:val="008F5430"/>
    <w:rsid w:val="008F6D58"/>
    <w:rsid w:val="008F6EFE"/>
    <w:rsid w:val="008F708E"/>
    <w:rsid w:val="00902118"/>
    <w:rsid w:val="00906016"/>
    <w:rsid w:val="00910949"/>
    <w:rsid w:val="0091195E"/>
    <w:rsid w:val="0091612C"/>
    <w:rsid w:val="00916652"/>
    <w:rsid w:val="00917A1B"/>
    <w:rsid w:val="00917AC1"/>
    <w:rsid w:val="00917FE3"/>
    <w:rsid w:val="00922515"/>
    <w:rsid w:val="00923251"/>
    <w:rsid w:val="00923D9A"/>
    <w:rsid w:val="009244C1"/>
    <w:rsid w:val="0092487E"/>
    <w:rsid w:val="0092553A"/>
    <w:rsid w:val="00927BA4"/>
    <w:rsid w:val="0093492C"/>
    <w:rsid w:val="009364B7"/>
    <w:rsid w:val="009418D0"/>
    <w:rsid w:val="00941FB8"/>
    <w:rsid w:val="009437BD"/>
    <w:rsid w:val="009458FF"/>
    <w:rsid w:val="0095031E"/>
    <w:rsid w:val="00952714"/>
    <w:rsid w:val="00953127"/>
    <w:rsid w:val="00954137"/>
    <w:rsid w:val="00955BF1"/>
    <w:rsid w:val="00957043"/>
    <w:rsid w:val="00957060"/>
    <w:rsid w:val="00960EC6"/>
    <w:rsid w:val="009632A0"/>
    <w:rsid w:val="00964A60"/>
    <w:rsid w:val="0096610B"/>
    <w:rsid w:val="00966C57"/>
    <w:rsid w:val="0097113C"/>
    <w:rsid w:val="009743B6"/>
    <w:rsid w:val="00974D23"/>
    <w:rsid w:val="00975CBF"/>
    <w:rsid w:val="00980D38"/>
    <w:rsid w:val="00982E38"/>
    <w:rsid w:val="00986365"/>
    <w:rsid w:val="009869E9"/>
    <w:rsid w:val="00986BC3"/>
    <w:rsid w:val="00987EEE"/>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E29"/>
    <w:rsid w:val="00A018A3"/>
    <w:rsid w:val="00A01B1B"/>
    <w:rsid w:val="00A02E76"/>
    <w:rsid w:val="00A045DD"/>
    <w:rsid w:val="00A06D66"/>
    <w:rsid w:val="00A073BF"/>
    <w:rsid w:val="00A131B7"/>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64FD"/>
    <w:rsid w:val="00A65407"/>
    <w:rsid w:val="00A70107"/>
    <w:rsid w:val="00A74CAF"/>
    <w:rsid w:val="00A764EF"/>
    <w:rsid w:val="00A8050B"/>
    <w:rsid w:val="00A8077E"/>
    <w:rsid w:val="00A8166B"/>
    <w:rsid w:val="00A85EE5"/>
    <w:rsid w:val="00A90E13"/>
    <w:rsid w:val="00A9143E"/>
    <w:rsid w:val="00A91F79"/>
    <w:rsid w:val="00A94BD0"/>
    <w:rsid w:val="00A94FC9"/>
    <w:rsid w:val="00A95577"/>
    <w:rsid w:val="00A97E66"/>
    <w:rsid w:val="00AA3279"/>
    <w:rsid w:val="00AB2062"/>
    <w:rsid w:val="00AB3613"/>
    <w:rsid w:val="00AB5D6A"/>
    <w:rsid w:val="00AC2CB6"/>
    <w:rsid w:val="00AD27C1"/>
    <w:rsid w:val="00AD4F95"/>
    <w:rsid w:val="00AE0E84"/>
    <w:rsid w:val="00AE30F7"/>
    <w:rsid w:val="00AE32DD"/>
    <w:rsid w:val="00AF4311"/>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32FA6"/>
    <w:rsid w:val="00B33522"/>
    <w:rsid w:val="00B3680C"/>
    <w:rsid w:val="00B37C20"/>
    <w:rsid w:val="00B41E9F"/>
    <w:rsid w:val="00B42449"/>
    <w:rsid w:val="00B50783"/>
    <w:rsid w:val="00B5253D"/>
    <w:rsid w:val="00B611B8"/>
    <w:rsid w:val="00B67BC6"/>
    <w:rsid w:val="00B73EB9"/>
    <w:rsid w:val="00B748E4"/>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BBB"/>
    <w:rsid w:val="00BE43B1"/>
    <w:rsid w:val="00BE5D56"/>
    <w:rsid w:val="00BF11E1"/>
    <w:rsid w:val="00C00590"/>
    <w:rsid w:val="00C013A1"/>
    <w:rsid w:val="00C01580"/>
    <w:rsid w:val="00C0654D"/>
    <w:rsid w:val="00C105A6"/>
    <w:rsid w:val="00C10C63"/>
    <w:rsid w:val="00C1279C"/>
    <w:rsid w:val="00C14867"/>
    <w:rsid w:val="00C16E53"/>
    <w:rsid w:val="00C17841"/>
    <w:rsid w:val="00C255BB"/>
    <w:rsid w:val="00C27323"/>
    <w:rsid w:val="00C30B88"/>
    <w:rsid w:val="00C346B4"/>
    <w:rsid w:val="00C40475"/>
    <w:rsid w:val="00C411EA"/>
    <w:rsid w:val="00C431B4"/>
    <w:rsid w:val="00C4471C"/>
    <w:rsid w:val="00C458D3"/>
    <w:rsid w:val="00C502CF"/>
    <w:rsid w:val="00C50527"/>
    <w:rsid w:val="00C509E2"/>
    <w:rsid w:val="00C51FAB"/>
    <w:rsid w:val="00C5304F"/>
    <w:rsid w:val="00C5373A"/>
    <w:rsid w:val="00C60544"/>
    <w:rsid w:val="00C6076C"/>
    <w:rsid w:val="00C60DEB"/>
    <w:rsid w:val="00C623D3"/>
    <w:rsid w:val="00C629E1"/>
    <w:rsid w:val="00C63175"/>
    <w:rsid w:val="00C63CF1"/>
    <w:rsid w:val="00C64634"/>
    <w:rsid w:val="00C66322"/>
    <w:rsid w:val="00C6715B"/>
    <w:rsid w:val="00C71D1F"/>
    <w:rsid w:val="00C74C79"/>
    <w:rsid w:val="00C7680C"/>
    <w:rsid w:val="00C81A32"/>
    <w:rsid w:val="00C81B7E"/>
    <w:rsid w:val="00C86C59"/>
    <w:rsid w:val="00C8767A"/>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E1"/>
    <w:rsid w:val="00CC6ACD"/>
    <w:rsid w:val="00CC7DC8"/>
    <w:rsid w:val="00CD299E"/>
    <w:rsid w:val="00CD656B"/>
    <w:rsid w:val="00CD6D9A"/>
    <w:rsid w:val="00CD7F3F"/>
    <w:rsid w:val="00CE038F"/>
    <w:rsid w:val="00CE45FC"/>
    <w:rsid w:val="00CE5C1A"/>
    <w:rsid w:val="00CF144D"/>
    <w:rsid w:val="00CF2D36"/>
    <w:rsid w:val="00CF342E"/>
    <w:rsid w:val="00D00E92"/>
    <w:rsid w:val="00D055EC"/>
    <w:rsid w:val="00D11F33"/>
    <w:rsid w:val="00D13E7D"/>
    <w:rsid w:val="00D14208"/>
    <w:rsid w:val="00D1757C"/>
    <w:rsid w:val="00D234B6"/>
    <w:rsid w:val="00D254F0"/>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96D"/>
    <w:rsid w:val="00D92473"/>
    <w:rsid w:val="00DA1B01"/>
    <w:rsid w:val="00DA6BE0"/>
    <w:rsid w:val="00DB3AF6"/>
    <w:rsid w:val="00DB4C18"/>
    <w:rsid w:val="00DB53FB"/>
    <w:rsid w:val="00DC4EE2"/>
    <w:rsid w:val="00DC5A57"/>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06F8C"/>
    <w:rsid w:val="00E1077F"/>
    <w:rsid w:val="00E119AC"/>
    <w:rsid w:val="00E17BD5"/>
    <w:rsid w:val="00E23A75"/>
    <w:rsid w:val="00E2421E"/>
    <w:rsid w:val="00E25A1C"/>
    <w:rsid w:val="00E30318"/>
    <w:rsid w:val="00E315C1"/>
    <w:rsid w:val="00E32708"/>
    <w:rsid w:val="00E32B77"/>
    <w:rsid w:val="00E37034"/>
    <w:rsid w:val="00E37782"/>
    <w:rsid w:val="00E44022"/>
    <w:rsid w:val="00E442EC"/>
    <w:rsid w:val="00E545B2"/>
    <w:rsid w:val="00E651B5"/>
    <w:rsid w:val="00E70E56"/>
    <w:rsid w:val="00E75758"/>
    <w:rsid w:val="00E75CE5"/>
    <w:rsid w:val="00E768E8"/>
    <w:rsid w:val="00E8055E"/>
    <w:rsid w:val="00E82195"/>
    <w:rsid w:val="00E83362"/>
    <w:rsid w:val="00E87962"/>
    <w:rsid w:val="00E90D36"/>
    <w:rsid w:val="00E913D9"/>
    <w:rsid w:val="00E91553"/>
    <w:rsid w:val="00E94AAC"/>
    <w:rsid w:val="00EA186A"/>
    <w:rsid w:val="00EA19C2"/>
    <w:rsid w:val="00EA5418"/>
    <w:rsid w:val="00EA5AD0"/>
    <w:rsid w:val="00EA6927"/>
    <w:rsid w:val="00EA6BE9"/>
    <w:rsid w:val="00EB3D8F"/>
    <w:rsid w:val="00EC0BE3"/>
    <w:rsid w:val="00EC1EBD"/>
    <w:rsid w:val="00EC56A4"/>
    <w:rsid w:val="00EC5C3D"/>
    <w:rsid w:val="00EC61A6"/>
    <w:rsid w:val="00EC7901"/>
    <w:rsid w:val="00ED0858"/>
    <w:rsid w:val="00ED29C4"/>
    <w:rsid w:val="00ED319C"/>
    <w:rsid w:val="00ED518E"/>
    <w:rsid w:val="00ED6126"/>
    <w:rsid w:val="00ED6894"/>
    <w:rsid w:val="00ED79E2"/>
    <w:rsid w:val="00EE04FF"/>
    <w:rsid w:val="00EE0F4C"/>
    <w:rsid w:val="00EE2F63"/>
    <w:rsid w:val="00EE46FB"/>
    <w:rsid w:val="00EF62F8"/>
    <w:rsid w:val="00EF79C3"/>
    <w:rsid w:val="00F011BD"/>
    <w:rsid w:val="00F016BA"/>
    <w:rsid w:val="00F01B31"/>
    <w:rsid w:val="00F16A95"/>
    <w:rsid w:val="00F177C0"/>
    <w:rsid w:val="00F17C0D"/>
    <w:rsid w:val="00F20F31"/>
    <w:rsid w:val="00F2612E"/>
    <w:rsid w:val="00F30A85"/>
    <w:rsid w:val="00F32EC8"/>
    <w:rsid w:val="00F34C98"/>
    <w:rsid w:val="00F364E9"/>
    <w:rsid w:val="00F40A84"/>
    <w:rsid w:val="00F424B7"/>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E6B37"/>
    <w:rsid w:val="00FE7EF5"/>
    <w:rsid w:val="00FF227C"/>
    <w:rsid w:val="00FF4E18"/>
    <w:rsid w:val="00FF5253"/>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4F661-5DCC-49D2-869E-A50B694FD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9577</Words>
  <Characters>52677</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62130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2019-10-22T17:01:00Z</cp:lastPrinted>
  <dcterms:created xsi:type="dcterms:W3CDTF">2019-10-29T00:44:00Z</dcterms:created>
  <dcterms:modified xsi:type="dcterms:W3CDTF">2019-10-29T00:44:00Z</dcterms:modified>
</cp:coreProperties>
</file>