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rsidR="006B2E77" w:rsidRDefault="006B2E77" w:rsidP="00F56547">
      <w:pPr>
        <w:pStyle w:val="Texto"/>
        <w:spacing w:after="0" w:line="360" w:lineRule="auto"/>
        <w:ind w:firstLine="0"/>
        <w:rPr>
          <w:szCs w:val="18"/>
        </w:rPr>
      </w:pPr>
    </w:p>
    <w:p w:rsidR="00F56547" w:rsidRDefault="00F56547" w:rsidP="00F56547">
      <w:pPr>
        <w:pStyle w:val="Texto"/>
        <w:spacing w:after="0" w:line="360" w:lineRule="auto"/>
        <w:ind w:firstLine="0"/>
        <w:rPr>
          <w:szCs w:val="18"/>
        </w:rPr>
      </w:pPr>
      <w:r w:rsidRPr="00771AD2">
        <w:rPr>
          <w:szCs w:val="18"/>
        </w:rPr>
        <w:t xml:space="preserve">El </w:t>
      </w:r>
      <w:r w:rsidR="003F6808">
        <w:rPr>
          <w:szCs w:val="18"/>
        </w:rPr>
        <w:t>Sistema Estatal para el Desarrollo Integral de la Familia tienen como propósito tr</w:t>
      </w:r>
      <w:r w:rsidR="002B6B94">
        <w:rPr>
          <w:szCs w:val="18"/>
        </w:rPr>
        <w:t>ansparentar todos y cada uno de l</w:t>
      </w:r>
      <w:r w:rsidRPr="00771AD2">
        <w:rPr>
          <w:szCs w:val="18"/>
        </w:rPr>
        <w:t>os aspectos económicos-financieros más relevantes que influyer</w:t>
      </w:r>
      <w:r w:rsidR="002B6B94">
        <w:rPr>
          <w:szCs w:val="18"/>
        </w:rPr>
        <w:t>on en las deci</w:t>
      </w:r>
      <w:r w:rsidR="00BF049D">
        <w:rPr>
          <w:szCs w:val="18"/>
        </w:rPr>
        <w:t>siones del ejercicio fiscal 2019</w:t>
      </w:r>
      <w:r w:rsidRPr="00771AD2">
        <w:rPr>
          <w:szCs w:val="18"/>
        </w:rPr>
        <w:t xml:space="preserve">, y </w:t>
      </w:r>
      <w:r>
        <w:rPr>
          <w:szCs w:val="18"/>
        </w:rPr>
        <w:t>que fueron</w:t>
      </w:r>
      <w:r w:rsidRPr="00771AD2">
        <w:rPr>
          <w:szCs w:val="18"/>
        </w:rPr>
        <w:t xml:space="preserve"> considerados en la elaboración de los estados financieros para la mayor comprensión de los mismos y sus particularidades.</w:t>
      </w:r>
    </w:p>
    <w:p w:rsidR="00F56547" w:rsidRPr="00771AD2" w:rsidRDefault="00F56547" w:rsidP="00F56547">
      <w:pPr>
        <w:pStyle w:val="Texto"/>
        <w:spacing w:after="0" w:line="360" w:lineRule="auto"/>
        <w:ind w:firstLine="0"/>
        <w:rPr>
          <w:szCs w:val="18"/>
        </w:rPr>
      </w:pPr>
    </w:p>
    <w:p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340EFB">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5E5C00">
        <w:rPr>
          <w:rFonts w:ascii="Arial" w:eastAsia="Times New Roman" w:hAnsi="Arial" w:cs="Arial"/>
          <w:sz w:val="18"/>
          <w:szCs w:val="18"/>
          <w:lang w:val="es-ES" w:eastAsia="es-ES"/>
        </w:rPr>
        <w:t xml:space="preserve">30 de junio </w:t>
      </w:r>
      <w:r w:rsidR="00BF049D">
        <w:rPr>
          <w:rFonts w:ascii="Arial" w:eastAsia="Times New Roman" w:hAnsi="Arial" w:cs="Arial"/>
          <w:sz w:val="18"/>
          <w:szCs w:val="18"/>
          <w:lang w:val="es-ES" w:eastAsia="es-ES"/>
        </w:rPr>
        <w:t xml:space="preserve"> de 2019 </w:t>
      </w:r>
      <w:r w:rsidRPr="001B7422">
        <w:rPr>
          <w:rFonts w:ascii="Arial" w:eastAsia="Times New Roman" w:hAnsi="Arial" w:cs="Arial"/>
          <w:sz w:val="18"/>
          <w:szCs w:val="18"/>
          <w:lang w:val="es-ES" w:eastAsia="es-ES"/>
        </w:rPr>
        <w:t xml:space="preserve">obtuvo ingresos por </w:t>
      </w:r>
      <w:r w:rsidR="00070A89" w:rsidRPr="001B7422">
        <w:rPr>
          <w:rFonts w:ascii="Arial" w:eastAsia="Times New Roman" w:hAnsi="Arial" w:cs="Arial"/>
          <w:sz w:val="18"/>
          <w:szCs w:val="18"/>
          <w:lang w:val="es-ES" w:eastAsia="es-ES"/>
        </w:rPr>
        <w:t xml:space="preserve">$ </w:t>
      </w:r>
      <w:r w:rsidR="005E5C00">
        <w:rPr>
          <w:rFonts w:ascii="Arial" w:eastAsia="Times New Roman" w:hAnsi="Arial" w:cs="Arial"/>
          <w:sz w:val="18"/>
          <w:szCs w:val="18"/>
          <w:lang w:val="es-ES" w:eastAsia="es-ES"/>
        </w:rPr>
        <w:t xml:space="preserve">106,826,850.95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w:t>
      </w:r>
      <w:bookmarkStart w:id="0" w:name="_GoBack"/>
      <w:bookmarkEnd w:id="0"/>
      <w:r>
        <w:rPr>
          <w:rFonts w:ascii="Arial" w:hAnsi="Arial" w:cs="Arial"/>
          <w:sz w:val="18"/>
          <w:szCs w:val="18"/>
        </w:rPr>
        <w:t>smo, lo que permitió cumplir con los objetivos y metas establecidas dentro del Plan Est</w:t>
      </w:r>
      <w:r w:rsidR="003F6808">
        <w:rPr>
          <w:rFonts w:ascii="Arial" w:hAnsi="Arial" w:cs="Arial"/>
          <w:sz w:val="18"/>
          <w:szCs w:val="18"/>
        </w:rPr>
        <w:t>atal de Desarrollo, recursos derivado</w:t>
      </w:r>
      <w:r w:rsidR="005B458A">
        <w:rPr>
          <w:rFonts w:ascii="Arial" w:hAnsi="Arial" w:cs="Arial"/>
          <w:sz w:val="18"/>
          <w:szCs w:val="18"/>
        </w:rPr>
        <w:t>s de Participaciones E</w:t>
      </w:r>
      <w:r w:rsidR="003F6808">
        <w:rPr>
          <w:rFonts w:ascii="Arial" w:hAnsi="Arial" w:cs="Arial"/>
          <w:sz w:val="18"/>
          <w:szCs w:val="18"/>
        </w:rPr>
        <w:t>statales, Fondo de Aportaciones Múltiples,</w:t>
      </w:r>
      <w:r w:rsidR="002B6B94">
        <w:rPr>
          <w:rFonts w:ascii="Arial" w:hAnsi="Arial" w:cs="Arial"/>
          <w:sz w:val="18"/>
          <w:szCs w:val="18"/>
        </w:rPr>
        <w:t xml:space="preserve"> así como los recursos por ingresos propios que este organismo capto durante el ejercicio.</w:t>
      </w:r>
    </w:p>
    <w:p w:rsidR="00BF049D" w:rsidRDefault="00F56547" w:rsidP="00F56547">
      <w:pPr>
        <w:pStyle w:val="Texto"/>
        <w:spacing w:after="0" w:line="360" w:lineRule="auto"/>
        <w:ind w:firstLine="0"/>
        <w:rPr>
          <w:szCs w:val="18"/>
        </w:rPr>
      </w:pPr>
      <w:r w:rsidRPr="001B7422">
        <w:rPr>
          <w:szCs w:val="18"/>
        </w:rPr>
        <w:t>C</w:t>
      </w:r>
      <w:r w:rsidR="003F6808">
        <w:rPr>
          <w:szCs w:val="18"/>
        </w:rPr>
        <w:t>on el Fondo de Aportaciones Múltiples en su apart</w:t>
      </w:r>
      <w:r w:rsidR="002B6B94">
        <w:rPr>
          <w:szCs w:val="18"/>
        </w:rPr>
        <w:t>ado de Asistencia Social se dio</w:t>
      </w:r>
      <w:r w:rsidR="003F6808">
        <w:rPr>
          <w:szCs w:val="18"/>
        </w:rPr>
        <w:t xml:space="preserve"> prioridad a </w:t>
      </w:r>
      <w:r w:rsidRPr="001B7422">
        <w:rPr>
          <w:szCs w:val="18"/>
        </w:rPr>
        <w:t>niño</w:t>
      </w:r>
      <w:r w:rsidR="003F6808">
        <w:rPr>
          <w:szCs w:val="18"/>
        </w:rPr>
        <w:t>s</w:t>
      </w:r>
      <w:r w:rsidR="002B6B94">
        <w:rPr>
          <w:szCs w:val="18"/>
        </w:rPr>
        <w:t xml:space="preserve"> y</w:t>
      </w:r>
      <w:r w:rsidRPr="001B7422">
        <w:rPr>
          <w:szCs w:val="18"/>
        </w:rPr>
        <w:t xml:space="preserve"> </w:t>
      </w:r>
      <w:proofErr w:type="gramStart"/>
      <w:r w:rsidRPr="001B7422">
        <w:rPr>
          <w:szCs w:val="18"/>
        </w:rPr>
        <w:t>niña</w:t>
      </w:r>
      <w:r w:rsidR="003F6808">
        <w:rPr>
          <w:szCs w:val="18"/>
        </w:rPr>
        <w:t>s</w:t>
      </w:r>
      <w:r w:rsidRPr="001B7422">
        <w:rPr>
          <w:szCs w:val="18"/>
        </w:rPr>
        <w:t xml:space="preserve">  </w:t>
      </w:r>
      <w:r w:rsidR="003F6808">
        <w:rPr>
          <w:szCs w:val="18"/>
        </w:rPr>
        <w:t>que</w:t>
      </w:r>
      <w:proofErr w:type="gramEnd"/>
      <w:r w:rsidR="003F6808">
        <w:rPr>
          <w:szCs w:val="18"/>
        </w:rPr>
        <w:t xml:space="preserve"> en sus</w:t>
      </w:r>
      <w:r w:rsidRPr="001B7422">
        <w:rPr>
          <w:szCs w:val="18"/>
        </w:rPr>
        <w:t xml:space="preserve"> primeros años de vida </w:t>
      </w:r>
      <w:r w:rsidR="002B6B94">
        <w:rPr>
          <w:szCs w:val="18"/>
        </w:rPr>
        <w:t>presenta</w:t>
      </w:r>
      <w:r w:rsidR="003F6808">
        <w:rPr>
          <w:szCs w:val="18"/>
        </w:rPr>
        <w:t>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w:t>
      </w:r>
      <w:r w:rsidR="00BF049D">
        <w:rPr>
          <w:szCs w:val="18"/>
        </w:rPr>
        <w:t xml:space="preserve">mentaria; en específico con </w:t>
      </w:r>
      <w:r w:rsidRPr="001B7422">
        <w:rPr>
          <w:szCs w:val="18"/>
        </w:rPr>
        <w:t xml:space="preserve"> </w:t>
      </w:r>
      <w:r w:rsidR="00340EFB">
        <w:rPr>
          <w:szCs w:val="18"/>
        </w:rPr>
        <w:t>programas básicos</w:t>
      </w:r>
      <w:r w:rsidR="00BF049D">
        <w:rPr>
          <w:szCs w:val="18"/>
        </w:rPr>
        <w:t xml:space="preserve"> como:</w:t>
      </w:r>
    </w:p>
    <w:p w:rsidR="00BF049D" w:rsidRDefault="00BF049D" w:rsidP="00F56547">
      <w:pPr>
        <w:pStyle w:val="Texto"/>
        <w:spacing w:after="0" w:line="360" w:lineRule="auto"/>
        <w:ind w:firstLine="0"/>
        <w:rPr>
          <w:szCs w:val="18"/>
        </w:rPr>
      </w:pPr>
    </w:p>
    <w:p w:rsidR="00F56547" w:rsidRDefault="00F56547" w:rsidP="00BF049D">
      <w:pPr>
        <w:pStyle w:val="Texto"/>
        <w:spacing w:after="0" w:line="360" w:lineRule="auto"/>
        <w:ind w:firstLine="0"/>
        <w:rPr>
          <w:szCs w:val="18"/>
        </w:rPr>
      </w:pPr>
      <w:r w:rsidRPr="001B7422">
        <w:rPr>
          <w:szCs w:val="18"/>
        </w:rPr>
        <w:t>Atender a menores de 5 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a menores de 5 años  en riesgo, no escolarizados en este programa se atienden a niñas y niños entre un año y cuatro años once meses que presentan grados de desnutrición o en riesgo, que habitan principalmente en zonas indígenas, rurales y sin descuidar las zonas urbano-marginadas</w:t>
      </w:r>
      <w:r w:rsidR="00BF049D">
        <w:rPr>
          <w:szCs w:val="18"/>
        </w:rPr>
        <w:t>.</w:t>
      </w:r>
    </w:p>
    <w:p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rsidR="00F56547" w:rsidRPr="00BF049D" w:rsidRDefault="0024409E" w:rsidP="00BF049D">
      <w:pPr>
        <w:shd w:val="clear" w:color="auto" w:fill="FFFFFF"/>
        <w:spacing w:after="0" w:line="360" w:lineRule="auto"/>
        <w:ind w:right="-88"/>
        <w:jc w:val="both"/>
        <w:rPr>
          <w:rFonts w:ascii="Arial" w:eastAsia="Times New Roman" w:hAnsi="Arial" w:cs="Arial"/>
          <w:sz w:val="18"/>
          <w:szCs w:val="18"/>
          <w:lang w:val="es-ES" w:eastAsia="es-ES"/>
        </w:rPr>
      </w:pPr>
      <w:r w:rsidRPr="00BF049D">
        <w:rPr>
          <w:rFonts w:ascii="Arial" w:eastAsia="Times New Roman" w:hAnsi="Arial" w:cs="Arial"/>
          <w:sz w:val="18"/>
          <w:szCs w:val="18"/>
          <w:lang w:val="es-ES" w:eastAsia="es-ES"/>
        </w:rPr>
        <w:t>Se da continuidad a los</w:t>
      </w:r>
      <w:r w:rsidR="00F56547" w:rsidRPr="00BF049D">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sidRPr="00BF049D">
        <w:rPr>
          <w:rFonts w:ascii="Arial" w:eastAsia="Times New Roman" w:hAnsi="Arial" w:cs="Arial"/>
          <w:sz w:val="18"/>
          <w:szCs w:val="18"/>
          <w:lang w:val="es-ES" w:eastAsia="es-ES"/>
        </w:rPr>
        <w:t>ta entre la población atendida.</w:t>
      </w:r>
      <w:r w:rsidR="00F56547" w:rsidRPr="00BF049D">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sidRPr="00BF049D">
        <w:rPr>
          <w:rFonts w:ascii="Arial" w:eastAsia="Times New Roman" w:hAnsi="Arial" w:cs="Arial"/>
          <w:sz w:val="18"/>
          <w:szCs w:val="18"/>
          <w:lang w:val="es-ES" w:eastAsia="es-ES"/>
        </w:rPr>
        <w:t xml:space="preserve"> </w:t>
      </w:r>
    </w:p>
    <w:p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rsidR="00BF049D" w:rsidRDefault="00BF049D" w:rsidP="00F56547">
      <w:pPr>
        <w:shd w:val="clear" w:color="auto" w:fill="FFFFFF"/>
        <w:spacing w:after="0" w:line="360" w:lineRule="auto"/>
        <w:ind w:right="-88"/>
        <w:jc w:val="both"/>
        <w:rPr>
          <w:rFonts w:ascii="Arial" w:hAnsi="Arial" w:cs="Arial"/>
          <w:sz w:val="18"/>
          <w:szCs w:val="18"/>
        </w:rPr>
      </w:pPr>
      <w:r>
        <w:rPr>
          <w:rFonts w:ascii="Arial" w:eastAsia="Times New Roman" w:hAnsi="Arial" w:cs="Arial"/>
          <w:sz w:val="18"/>
          <w:szCs w:val="18"/>
          <w:lang w:val="es-ES" w:eastAsia="es-ES"/>
        </w:rPr>
        <w:lastRenderedPageBreak/>
        <w:t xml:space="preserve">En materia de discapacidad, se da atención a través de </w:t>
      </w:r>
      <w:r>
        <w:rPr>
          <w:rFonts w:ascii="Arial" w:hAnsi="Arial" w:cs="Arial"/>
          <w:sz w:val="18"/>
          <w:szCs w:val="18"/>
        </w:rPr>
        <w:t xml:space="preserve">las unidades básicas de rehabilitación y talleres que se ofrecen en el centro de capacitación para personas con discapacidad, </w:t>
      </w:r>
      <w:r w:rsidR="002B6B94">
        <w:rPr>
          <w:rFonts w:ascii="Arial" w:hAnsi="Arial" w:cs="Arial"/>
          <w:sz w:val="18"/>
          <w:szCs w:val="18"/>
        </w:rPr>
        <w:t xml:space="preserve">dando así atención a la población que por algún motivo tiene una discapacidad temporal o permanente, </w:t>
      </w:r>
      <w:r>
        <w:rPr>
          <w:rFonts w:ascii="Arial" w:hAnsi="Arial" w:cs="Arial"/>
          <w:sz w:val="18"/>
          <w:szCs w:val="18"/>
        </w:rPr>
        <w:t xml:space="preserve">contando con el servicio de transporte en </w:t>
      </w:r>
      <w:r w:rsidR="002B6B94">
        <w:rPr>
          <w:rFonts w:ascii="Arial" w:hAnsi="Arial" w:cs="Arial"/>
          <w:sz w:val="18"/>
          <w:szCs w:val="18"/>
        </w:rPr>
        <w:t xml:space="preserve">unidades </w:t>
      </w:r>
      <w:r>
        <w:rPr>
          <w:rFonts w:ascii="Arial" w:hAnsi="Arial" w:cs="Arial"/>
          <w:sz w:val="18"/>
          <w:szCs w:val="18"/>
        </w:rPr>
        <w:t>vehiculares adaptadas para el traslado de esta población.</w:t>
      </w:r>
    </w:p>
    <w:p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 </w:t>
      </w:r>
    </w:p>
    <w:p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A través de la Procuraduría, se trabaja para garantizar la protección de los derechos de las niñas, niños y adolescentes, para lo cual se abrió </w:t>
      </w:r>
      <w:r w:rsidR="002B6B94">
        <w:rPr>
          <w:rFonts w:ascii="Arial" w:hAnsi="Arial" w:cs="Arial"/>
          <w:sz w:val="18"/>
          <w:szCs w:val="18"/>
        </w:rPr>
        <w:t xml:space="preserve">Centro de Convivencia Familiar, para que los menores que se encuentran pasando </w:t>
      </w:r>
      <w:r w:rsidR="005C2BEA">
        <w:rPr>
          <w:rFonts w:ascii="Arial" w:hAnsi="Arial" w:cs="Arial"/>
          <w:sz w:val="18"/>
          <w:szCs w:val="18"/>
        </w:rPr>
        <w:t>por algún conflicto, facilitando sus convivencias en un ambiente cálido y seguro que fortalezca la construcción de relaciones sanas basadas en el respeto, apegadas a los derechos de las niñas, niños y adolescentes.</w:t>
      </w:r>
    </w:p>
    <w:p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 así como en cumplimiento a los artículos 6, 7 y 9 de la Ley de Fiscalización Superior del Estado de Tlaxcala y sus Municipios.</w:t>
      </w:r>
    </w:p>
    <w:p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BF049D">
        <w:rPr>
          <w:rFonts w:ascii="Arial" w:hAnsi="Arial" w:cs="Arial"/>
          <w:sz w:val="18"/>
          <w:szCs w:val="18"/>
        </w:rPr>
        <w:t>ública del ejercicio fiscal 2019</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rsidR="00F56547" w:rsidRPr="00200FD0" w:rsidRDefault="00F56547" w:rsidP="00F56547">
      <w:pPr>
        <w:pStyle w:val="Prrafodelista"/>
        <w:spacing w:line="360" w:lineRule="auto"/>
        <w:jc w:val="both"/>
        <w:rPr>
          <w:rFonts w:ascii="Arial" w:hAnsi="Arial" w:cs="Arial"/>
          <w:b/>
          <w:sz w:val="18"/>
          <w:szCs w:val="18"/>
        </w:rPr>
      </w:pPr>
      <w:r w:rsidRPr="00200FD0">
        <w:rPr>
          <w:rFonts w:ascii="Arial" w:hAnsi="Arial" w:cs="Arial"/>
          <w:b/>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sidRPr="004F2511">
        <w:rPr>
          <w:rFonts w:ascii="Arial" w:hAnsi="Arial" w:cs="Arial"/>
          <w:b/>
          <w:sz w:val="18"/>
          <w:szCs w:val="18"/>
        </w:rPr>
        <w:t>Información Contable</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lastRenderedPageBreak/>
        <w:t>Notas de Memoria (cuentas de orden)</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rsidR="00F56547" w:rsidRPr="004F2511" w:rsidRDefault="00F56547" w:rsidP="00F56547">
      <w:pPr>
        <w:pStyle w:val="Prrafodelista"/>
        <w:spacing w:line="360" w:lineRule="auto"/>
        <w:ind w:left="1440"/>
        <w:jc w:val="both"/>
        <w:rPr>
          <w:rFonts w:ascii="Arial" w:hAnsi="Arial" w:cs="Arial"/>
          <w:b/>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Presupuestaria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rsidR="00F56547" w:rsidRDefault="00F56547" w:rsidP="00F56547">
      <w:pPr>
        <w:pStyle w:val="Prrafodelista"/>
        <w:spacing w:line="360" w:lineRule="auto"/>
        <w:ind w:left="1080"/>
        <w:jc w:val="both"/>
        <w:rPr>
          <w:rFonts w:ascii="Arial" w:hAnsi="Arial" w:cs="Arial"/>
          <w:sz w:val="18"/>
          <w:szCs w:val="18"/>
        </w:rPr>
      </w:pPr>
    </w:p>
    <w:p w:rsidR="00F56547" w:rsidRPr="004F2511" w:rsidRDefault="00F56547" w:rsidP="00F56547">
      <w:pPr>
        <w:pStyle w:val="Prrafodelista"/>
        <w:spacing w:line="360" w:lineRule="auto"/>
        <w:ind w:left="1080"/>
        <w:jc w:val="both"/>
        <w:rPr>
          <w:rFonts w:ascii="Arial" w:hAnsi="Arial" w:cs="Arial"/>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Anexos</w:t>
      </w:r>
    </w:p>
    <w:p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rsidR="00340EFB" w:rsidRDefault="00340EFB" w:rsidP="00340EFB">
      <w:pPr>
        <w:pStyle w:val="Prrafodelista"/>
        <w:spacing w:line="360" w:lineRule="auto"/>
        <w:jc w:val="both"/>
        <w:rPr>
          <w:rFonts w:ascii="Arial" w:hAnsi="Arial" w:cs="Arial"/>
          <w:sz w:val="18"/>
          <w:szCs w:val="18"/>
        </w:rPr>
      </w:pPr>
    </w:p>
    <w:p w:rsidR="00644BFA" w:rsidRPr="00F56547" w:rsidRDefault="00340EFB" w:rsidP="006143EA">
      <w:pPr>
        <w:pStyle w:val="Prrafodelista"/>
        <w:numPr>
          <w:ilvl w:val="0"/>
          <w:numId w:val="5"/>
        </w:numPr>
        <w:spacing w:line="360" w:lineRule="auto"/>
        <w:jc w:val="both"/>
      </w:pPr>
      <w:r w:rsidRPr="005C2BEA">
        <w:rPr>
          <w:rFonts w:ascii="Arial" w:hAnsi="Arial" w:cs="Arial"/>
          <w:b/>
          <w:sz w:val="18"/>
          <w:szCs w:val="18"/>
        </w:rPr>
        <w:t>Formatos de Disciplina Financiera</w:t>
      </w:r>
    </w:p>
    <w:sectPr w:rsidR="00644BFA" w:rsidRPr="00F5654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030" w:rsidRDefault="00200030" w:rsidP="00EA5418">
      <w:pPr>
        <w:spacing w:after="0" w:line="240" w:lineRule="auto"/>
      </w:pPr>
      <w:r>
        <w:separator/>
      </w:r>
    </w:p>
  </w:endnote>
  <w:endnote w:type="continuationSeparator" w:id="0">
    <w:p w:rsidR="00200030" w:rsidRDefault="0020003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5E5C00" w:rsidRPr="005E5C00">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5E5C00" w:rsidRPr="005E5C00">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030" w:rsidRDefault="00200030" w:rsidP="00EA5418">
      <w:pPr>
        <w:spacing w:after="0" w:line="240" w:lineRule="auto"/>
      </w:pPr>
      <w:r>
        <w:separator/>
      </w:r>
    </w:p>
  </w:footnote>
  <w:footnote w:type="continuationSeparator" w:id="0">
    <w:p w:rsidR="00200030" w:rsidRDefault="0020003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F549E">
                                <w:rPr>
                                  <w:rFonts w:ascii="Soberana Titular" w:hAnsi="Soberana Titular" w:cs="Arial"/>
                                  <w:color w:val="808080" w:themeColor="background1" w:themeShade="80"/>
                                  <w:sz w:val="42"/>
                                  <w:szCs w:val="42"/>
                                </w:rPr>
                                <w:t>9</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F549E">
                          <w:rPr>
                            <w:rFonts w:ascii="Soberana Titular" w:hAnsi="Soberana Titular" w:cs="Arial"/>
                            <w:color w:val="808080" w:themeColor="background1" w:themeShade="80"/>
                            <w:sz w:val="42"/>
                            <w:szCs w:val="42"/>
                          </w:rPr>
                          <w:t>9</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8F5388"/>
    <w:multiLevelType w:val="hybridMultilevel"/>
    <w:tmpl w:val="EC0E5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6"/>
  </w:num>
  <w:num w:numId="4">
    <w:abstractNumId w:val="5"/>
  </w:num>
  <w:num w:numId="5">
    <w:abstractNumId w:val="4"/>
  </w:num>
  <w:num w:numId="6">
    <w:abstractNumId w:val="8"/>
  </w:num>
  <w:num w:numId="7">
    <w:abstractNumId w:val="10"/>
  </w:num>
  <w:num w:numId="8">
    <w:abstractNumId w:val="9"/>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activeWritingStyle w:appName="MSWord" w:lang="es-MX" w:vendorID="64" w:dllVersion="131078" w:nlCheck="1" w:checkStyle="1"/>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16D5D"/>
    <w:rsid w:val="00022298"/>
    <w:rsid w:val="000303C7"/>
    <w:rsid w:val="00040466"/>
    <w:rsid w:val="00056042"/>
    <w:rsid w:val="00070A89"/>
    <w:rsid w:val="00086F3F"/>
    <w:rsid w:val="000970D1"/>
    <w:rsid w:val="000A3EE5"/>
    <w:rsid w:val="000F7F45"/>
    <w:rsid w:val="00100A8F"/>
    <w:rsid w:val="001126C6"/>
    <w:rsid w:val="0013011C"/>
    <w:rsid w:val="001646D9"/>
    <w:rsid w:val="001B1B72"/>
    <w:rsid w:val="001B7422"/>
    <w:rsid w:val="00200030"/>
    <w:rsid w:val="00200FD0"/>
    <w:rsid w:val="0024409E"/>
    <w:rsid w:val="002865A7"/>
    <w:rsid w:val="002A70B3"/>
    <w:rsid w:val="002B6B94"/>
    <w:rsid w:val="002E5897"/>
    <w:rsid w:val="00307635"/>
    <w:rsid w:val="0031358A"/>
    <w:rsid w:val="00316064"/>
    <w:rsid w:val="00340EFB"/>
    <w:rsid w:val="00355821"/>
    <w:rsid w:val="003575A4"/>
    <w:rsid w:val="003610E0"/>
    <w:rsid w:val="00365902"/>
    <w:rsid w:val="00372F40"/>
    <w:rsid w:val="00384008"/>
    <w:rsid w:val="003C3F67"/>
    <w:rsid w:val="003D5DBF"/>
    <w:rsid w:val="003E702A"/>
    <w:rsid w:val="003E7FD0"/>
    <w:rsid w:val="003F6808"/>
    <w:rsid w:val="0044253C"/>
    <w:rsid w:val="00453F55"/>
    <w:rsid w:val="00465DD6"/>
    <w:rsid w:val="00486AE1"/>
    <w:rsid w:val="00497D8B"/>
    <w:rsid w:val="004C1B04"/>
    <w:rsid w:val="004D41B8"/>
    <w:rsid w:val="004F2511"/>
    <w:rsid w:val="00502D8E"/>
    <w:rsid w:val="005117F4"/>
    <w:rsid w:val="00522632"/>
    <w:rsid w:val="00531310"/>
    <w:rsid w:val="00534982"/>
    <w:rsid w:val="00540418"/>
    <w:rsid w:val="0056720F"/>
    <w:rsid w:val="00582405"/>
    <w:rsid w:val="005859FA"/>
    <w:rsid w:val="00597367"/>
    <w:rsid w:val="005B458A"/>
    <w:rsid w:val="005C2BEA"/>
    <w:rsid w:val="005E5C00"/>
    <w:rsid w:val="006048D2"/>
    <w:rsid w:val="00611E39"/>
    <w:rsid w:val="00644BFA"/>
    <w:rsid w:val="006859EA"/>
    <w:rsid w:val="006A05BA"/>
    <w:rsid w:val="006A336A"/>
    <w:rsid w:val="006B2B34"/>
    <w:rsid w:val="006B2E77"/>
    <w:rsid w:val="006B729B"/>
    <w:rsid w:val="006D6984"/>
    <w:rsid w:val="006E6B8E"/>
    <w:rsid w:val="006E77DD"/>
    <w:rsid w:val="00766753"/>
    <w:rsid w:val="00775050"/>
    <w:rsid w:val="0079582C"/>
    <w:rsid w:val="007D6E9A"/>
    <w:rsid w:val="00805634"/>
    <w:rsid w:val="00850E90"/>
    <w:rsid w:val="00852580"/>
    <w:rsid w:val="00867DD9"/>
    <w:rsid w:val="008A6E4D"/>
    <w:rsid w:val="008B0017"/>
    <w:rsid w:val="008D0FB6"/>
    <w:rsid w:val="008D2414"/>
    <w:rsid w:val="008D4272"/>
    <w:rsid w:val="008E3652"/>
    <w:rsid w:val="00924A4C"/>
    <w:rsid w:val="00A14B74"/>
    <w:rsid w:val="00A40A9E"/>
    <w:rsid w:val="00A51438"/>
    <w:rsid w:val="00A84440"/>
    <w:rsid w:val="00AA128F"/>
    <w:rsid w:val="00AA136E"/>
    <w:rsid w:val="00AB13B7"/>
    <w:rsid w:val="00AD3993"/>
    <w:rsid w:val="00B17423"/>
    <w:rsid w:val="00B20D29"/>
    <w:rsid w:val="00B3254D"/>
    <w:rsid w:val="00B42A02"/>
    <w:rsid w:val="00B849EE"/>
    <w:rsid w:val="00BE7B79"/>
    <w:rsid w:val="00BF049D"/>
    <w:rsid w:val="00C30FAC"/>
    <w:rsid w:val="00C44F01"/>
    <w:rsid w:val="00C72772"/>
    <w:rsid w:val="00CA2D37"/>
    <w:rsid w:val="00CC5CB6"/>
    <w:rsid w:val="00D055EC"/>
    <w:rsid w:val="00D2016A"/>
    <w:rsid w:val="00D404ED"/>
    <w:rsid w:val="00D47208"/>
    <w:rsid w:val="00D51261"/>
    <w:rsid w:val="00D748D3"/>
    <w:rsid w:val="00D75CA4"/>
    <w:rsid w:val="00DC0DBF"/>
    <w:rsid w:val="00DD230F"/>
    <w:rsid w:val="00E20DD2"/>
    <w:rsid w:val="00E2226C"/>
    <w:rsid w:val="00E32708"/>
    <w:rsid w:val="00E54CE3"/>
    <w:rsid w:val="00E706BD"/>
    <w:rsid w:val="00EA5418"/>
    <w:rsid w:val="00EF549E"/>
    <w:rsid w:val="00F41273"/>
    <w:rsid w:val="00F444F8"/>
    <w:rsid w:val="00F5654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28BD3-1F7E-4D6A-A74D-DBE52688C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1015</Words>
  <Characters>5584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CORDERO</cp:lastModifiedBy>
  <cp:revision>14</cp:revision>
  <cp:lastPrinted>2016-09-30T19:57:00Z</cp:lastPrinted>
  <dcterms:created xsi:type="dcterms:W3CDTF">2017-07-04T02:29:00Z</dcterms:created>
  <dcterms:modified xsi:type="dcterms:W3CDTF">2019-07-03T22:54:00Z</dcterms:modified>
</cp:coreProperties>
</file>