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D02A9A" w:rsidRDefault="005A7647" w:rsidP="00421166">
      <w:r>
        <w:object w:dxaOrig="23636" w:dyaOrig="15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95pt;height:445.15pt" o:ole="">
            <v:imagedata r:id="rId8" o:title=""/>
          </v:shape>
          <o:OLEObject Type="Embed" ProgID="Excel.Sheet.12" ShapeID="_x0000_i1025" DrawAspect="Content" ObjectID="_1624096410" r:id="rId9"/>
        </w:object>
      </w:r>
    </w:p>
    <w:p w:rsidR="00C35527" w:rsidRDefault="00630E71" w:rsidP="00421166">
      <w:bookmarkStart w:id="1" w:name="_GoBack"/>
      <w:r>
        <w:rPr>
          <w:noProof/>
          <w:lang w:eastAsia="es-MX"/>
        </w:rPr>
        <w:lastRenderedPageBreak/>
        <w:object w:dxaOrig="1440" w:dyaOrig="1440">
          <v:shape id="_x0000_s1080" type="#_x0000_t75" style="position:absolute;margin-left:-.15pt;margin-top:.35pt;width:690pt;height:383.9pt;z-index:251676672;mso-position-horizontal-relative:text;mso-position-vertical-relative:text">
            <v:imagedata r:id="rId10" o:title=""/>
            <w10:wrap type="square" side="right"/>
          </v:shape>
          <o:OLEObject Type="Embed" ProgID="Excel.Sheet.12" ShapeID="_x0000_s1080" DrawAspect="Content" ObjectID="_1624096414" r:id="rId11"/>
        </w:object>
      </w:r>
      <w:bookmarkEnd w:id="1"/>
    </w:p>
    <w:p w:rsidR="008D3556" w:rsidRDefault="00ED69A7" w:rsidP="00421166">
      <w:r>
        <w:rPr>
          <w:noProof/>
        </w:rPr>
        <w:lastRenderedPageBreak/>
        <w:object w:dxaOrig="1440" w:dyaOrig="1440">
          <v:shape id="_x0000_s1067" type="#_x0000_t75" style="position:absolute;margin-left:-.15pt;margin-top:18.7pt;width:690.6pt;height:396.5pt;z-index:251670528;mso-position-horizontal-relative:text;mso-position-vertical-relative:text">
            <v:imagedata r:id="rId12" o:title=""/>
            <w10:wrap type="square" side="left"/>
          </v:shape>
          <o:OLEObject Type="Embed" ProgID="Excel.Sheet.12" ShapeID="_x0000_s1067" DrawAspect="Content" ObjectID="_1624096415" r:id="rId13"/>
        </w:object>
      </w:r>
    </w:p>
    <w:p w:rsidR="00A27BC6" w:rsidRDefault="00A27BC6" w:rsidP="00003BED">
      <w:pPr>
        <w:spacing w:after="0"/>
      </w:pPr>
    </w:p>
    <w:p w:rsidR="00DA2F9F" w:rsidRDefault="00DA2F9F" w:rsidP="00003BED">
      <w:pPr>
        <w:spacing w:after="0"/>
      </w:pPr>
    </w:p>
    <w:bookmarkStart w:id="2" w:name="_MON_1470807348"/>
    <w:bookmarkEnd w:id="2"/>
    <w:p w:rsidR="00372F40" w:rsidRDefault="005A7647" w:rsidP="008E3652">
      <w:pPr>
        <w:jc w:val="center"/>
      </w:pPr>
      <w:r>
        <w:object w:dxaOrig="18261" w:dyaOrig="12423">
          <v:shape id="_x0000_i1026" type="#_x0000_t75" style="width:677.45pt;height:430.1pt" o:ole="">
            <v:imagedata r:id="rId14" o:title=""/>
          </v:shape>
          <o:OLEObject Type="Embed" ProgID="Excel.Sheet.12" ShapeID="_x0000_i1026" DrawAspect="Content" ObjectID="_1624096411" r:id="rId15"/>
        </w:object>
      </w:r>
    </w:p>
    <w:p w:rsidR="005A7647" w:rsidRDefault="005A7647" w:rsidP="008E3652">
      <w:pPr>
        <w:jc w:val="center"/>
      </w:pPr>
    </w:p>
    <w:p w:rsidR="00372F40" w:rsidRDefault="00ED69A7" w:rsidP="005F6CB5">
      <w:r>
        <w:rPr>
          <w:noProof/>
        </w:rPr>
        <w:lastRenderedPageBreak/>
        <w:object w:dxaOrig="1440" w:dyaOrig="1440">
          <v:shape id="_x0000_s1061" type="#_x0000_t75" style="position:absolute;margin-left:.15pt;margin-top:12.1pt;width:690.05pt;height:356.65pt;z-index:251668480;mso-position-horizontal-relative:text;mso-position-vertical-relative:text">
            <v:imagedata r:id="rId16" o:title=""/>
            <w10:wrap type="square" side="right"/>
          </v:shape>
          <o:OLEObject Type="Embed" ProgID="Excel.Sheet.12" ShapeID="_x0000_s1061" DrawAspect="Content" ObjectID="_1624096416" r:id="rId17"/>
        </w:object>
      </w:r>
    </w:p>
    <w:p w:rsidR="00372F40" w:rsidRDefault="00372F40" w:rsidP="002A70B3">
      <w:pPr>
        <w:tabs>
          <w:tab w:val="left" w:pos="2430"/>
        </w:tabs>
      </w:pPr>
    </w:p>
    <w:bookmarkStart w:id="3" w:name="_MON_1470814596"/>
    <w:bookmarkEnd w:id="3"/>
    <w:p w:rsidR="00E32708" w:rsidRDefault="005A7647" w:rsidP="00E32708">
      <w:pPr>
        <w:tabs>
          <w:tab w:val="left" w:pos="2430"/>
        </w:tabs>
        <w:jc w:val="center"/>
      </w:pPr>
      <w:r>
        <w:object w:dxaOrig="19459" w:dyaOrig="14401">
          <v:shape id="_x0000_i1027" type="#_x0000_t75" style="width:686.8pt;height:448.3pt" o:ole="">
            <v:imagedata r:id="rId18" o:title=""/>
          </v:shape>
          <o:OLEObject Type="Embed" ProgID="Excel.Sheet.12" ShapeID="_x0000_i1027" DrawAspect="Content" ObjectID="_1624096412" r:id="rId19"/>
        </w:object>
      </w:r>
    </w:p>
    <w:bookmarkStart w:id="4" w:name="_MON_1470810366"/>
    <w:bookmarkEnd w:id="4"/>
    <w:p w:rsidR="00E32708" w:rsidRDefault="005A7647" w:rsidP="00E32708">
      <w:pPr>
        <w:tabs>
          <w:tab w:val="left" w:pos="2430"/>
        </w:tabs>
        <w:jc w:val="center"/>
      </w:pPr>
      <w:r>
        <w:object w:dxaOrig="26040" w:dyaOrig="16796">
          <v:shape id="_x0000_i1028" type="#_x0000_t75" style="width:693.7pt;height:448.3pt" o:ole="">
            <v:imagedata r:id="rId20" o:title=""/>
          </v:shape>
          <o:OLEObject Type="Embed" ProgID="Excel.Sheet.12" ShapeID="_x0000_i1028" DrawAspect="Content" ObjectID="_1624096413" r:id="rId21"/>
        </w:object>
      </w:r>
    </w:p>
    <w:p w:rsidR="00372F40" w:rsidRPr="0079784C" w:rsidRDefault="00372F40">
      <w:pPr>
        <w:rPr>
          <w:rFonts w:ascii="Arial" w:hAnsi="Arial" w:cs="Arial"/>
        </w:rPr>
      </w:pPr>
    </w:p>
    <w:p w:rsidR="00372F40" w:rsidRPr="0079784C" w:rsidRDefault="00540418" w:rsidP="00540418">
      <w:pPr>
        <w:jc w:val="center"/>
        <w:rPr>
          <w:rFonts w:ascii="Arial" w:hAnsi="Arial" w:cs="Arial"/>
        </w:rPr>
      </w:pPr>
      <w:r w:rsidRPr="0079784C">
        <w:rPr>
          <w:rFonts w:ascii="Arial" w:hAnsi="Arial" w:cs="Arial"/>
        </w:rPr>
        <w:t>Informe de Pasivos Contingentes</w:t>
      </w:r>
    </w:p>
    <w:p w:rsidR="00372F40" w:rsidRPr="0079784C" w:rsidRDefault="00D4060F" w:rsidP="0079582C">
      <w:pPr>
        <w:jc w:val="center"/>
        <w:rPr>
          <w:rFonts w:ascii="Arial" w:hAnsi="Arial" w:cs="Arial"/>
        </w:rPr>
      </w:pPr>
      <w:r w:rsidRPr="0079784C">
        <w:rPr>
          <w:rFonts w:ascii="Arial" w:hAnsi="Arial" w:cs="Arial"/>
        </w:rPr>
        <w:t>201</w:t>
      </w:r>
      <w:r w:rsidR="000365F5" w:rsidRPr="0079784C">
        <w:rPr>
          <w:rFonts w:ascii="Arial" w:hAnsi="Arial" w:cs="Arial"/>
        </w:rPr>
        <w:t>9</w:t>
      </w:r>
    </w:p>
    <w:p w:rsidR="00540418" w:rsidRPr="0079784C" w:rsidRDefault="00540418">
      <w:pPr>
        <w:rPr>
          <w:rFonts w:ascii="Arial" w:hAnsi="Arial" w:cs="Arial"/>
        </w:rPr>
      </w:pPr>
    </w:p>
    <w:p w:rsidR="0079582C" w:rsidRPr="0079784C" w:rsidRDefault="00D4060F" w:rsidP="0066705D">
      <w:pPr>
        <w:pStyle w:val="Prrafodelista"/>
        <w:numPr>
          <w:ilvl w:val="0"/>
          <w:numId w:val="4"/>
        </w:numPr>
        <w:rPr>
          <w:rFonts w:ascii="Arial" w:hAnsi="Arial" w:cs="Arial"/>
        </w:rPr>
      </w:pPr>
      <w:r w:rsidRPr="0079784C">
        <w:rPr>
          <w:rFonts w:ascii="Arial" w:hAnsi="Arial" w:cs="Arial"/>
        </w:rPr>
        <w:t xml:space="preserve">Durante el </w:t>
      </w:r>
      <w:r w:rsidR="000365F5" w:rsidRPr="0079784C">
        <w:rPr>
          <w:rFonts w:ascii="Arial" w:hAnsi="Arial" w:cs="Arial"/>
        </w:rPr>
        <w:t>presente periodo</w:t>
      </w:r>
      <w:r w:rsidRPr="0079784C">
        <w:rPr>
          <w:rFonts w:ascii="Arial" w:hAnsi="Arial" w:cs="Arial"/>
        </w:rPr>
        <w:t xml:space="preserve"> </w:t>
      </w:r>
      <w:r w:rsidR="008C3328" w:rsidRPr="0079784C">
        <w:rPr>
          <w:rFonts w:ascii="Arial" w:hAnsi="Arial" w:cs="Arial"/>
        </w:rPr>
        <w:t xml:space="preserve">en </w:t>
      </w:r>
      <w:r w:rsidR="00C82590" w:rsidRPr="0079784C">
        <w:rPr>
          <w:rFonts w:ascii="Arial" w:hAnsi="Arial" w:cs="Arial"/>
        </w:rPr>
        <w:t>la Secretaría de Salud y O.P.D. Salud de Tlaxcala</w:t>
      </w:r>
      <w:r w:rsidR="00A055E1">
        <w:rPr>
          <w:rFonts w:ascii="Arial" w:hAnsi="Arial" w:cs="Arial"/>
        </w:rPr>
        <w:t xml:space="preserve"> está llevando litigios n materia laboral con un monto cuantificable al 30 de mayo de 2019 por $40,001,602 mismos que</w:t>
      </w:r>
      <w:r w:rsidR="00C82590" w:rsidRPr="0079784C">
        <w:rPr>
          <w:rFonts w:ascii="Arial" w:hAnsi="Arial" w:cs="Arial"/>
        </w:rPr>
        <w:t xml:space="preserve"> </w:t>
      </w:r>
      <w:r w:rsidRPr="0079784C">
        <w:rPr>
          <w:rFonts w:ascii="Arial" w:hAnsi="Arial" w:cs="Arial"/>
        </w:rPr>
        <w:t xml:space="preserve">no </w:t>
      </w:r>
      <w:r w:rsidR="00561D8D" w:rsidRPr="0079784C">
        <w:rPr>
          <w:rFonts w:ascii="Arial" w:hAnsi="Arial" w:cs="Arial"/>
        </w:rPr>
        <w:t>se</w:t>
      </w:r>
      <w:r w:rsidR="00C95D68" w:rsidRPr="0079784C">
        <w:rPr>
          <w:rFonts w:ascii="Arial" w:hAnsi="Arial" w:cs="Arial"/>
        </w:rPr>
        <w:t xml:space="preserve"> han</w:t>
      </w:r>
      <w:r w:rsidR="00561D8D" w:rsidRPr="0079784C">
        <w:rPr>
          <w:rFonts w:ascii="Arial" w:hAnsi="Arial" w:cs="Arial"/>
        </w:rPr>
        <w:t xml:space="preserve"> </w:t>
      </w:r>
      <w:r w:rsidR="00A055E1">
        <w:rPr>
          <w:rFonts w:ascii="Arial" w:hAnsi="Arial" w:cs="Arial"/>
        </w:rPr>
        <w:t>registrado</w:t>
      </w:r>
      <w:r w:rsidRPr="0079784C">
        <w:rPr>
          <w:rFonts w:ascii="Arial" w:hAnsi="Arial" w:cs="Arial"/>
        </w:rPr>
        <w:t xml:space="preserve"> </w:t>
      </w:r>
      <w:r w:rsidR="00A055E1">
        <w:rPr>
          <w:rFonts w:ascii="Arial" w:hAnsi="Arial" w:cs="Arial"/>
        </w:rPr>
        <w:t xml:space="preserve">como </w:t>
      </w:r>
      <w:r w:rsidRPr="0079784C">
        <w:rPr>
          <w:rFonts w:ascii="Arial" w:hAnsi="Arial" w:cs="Arial"/>
        </w:rPr>
        <w:t>Pasivos de Contingencia</w:t>
      </w:r>
      <w:r w:rsidR="00A055E1">
        <w:rPr>
          <w:rFonts w:ascii="Arial" w:hAnsi="Arial" w:cs="Arial"/>
        </w:rPr>
        <w:t>, y de los cuales no se tiene un presupuesto asignado para su pago.</w:t>
      </w:r>
    </w:p>
    <w:p w:rsidR="0079582C" w:rsidRPr="0079784C" w:rsidRDefault="0079582C" w:rsidP="00D4060F">
      <w:pPr>
        <w:pStyle w:val="Prrafodelista"/>
        <w:rPr>
          <w:rFonts w:ascii="Arial" w:hAnsi="Arial" w:cs="Arial"/>
        </w:rPr>
      </w:pPr>
    </w:p>
    <w:p w:rsidR="00D4060F" w:rsidRPr="0079784C" w:rsidRDefault="00D4060F" w:rsidP="00D4060F">
      <w:pPr>
        <w:pStyle w:val="Prrafodelista"/>
        <w:rPr>
          <w:rFonts w:ascii="Arial" w:hAnsi="Arial" w:cs="Arial"/>
        </w:rPr>
      </w:pPr>
    </w:p>
    <w:p w:rsidR="00D4060F" w:rsidRPr="0079784C" w:rsidRDefault="00D4060F" w:rsidP="00D4060F">
      <w:pPr>
        <w:pStyle w:val="Prrafodelista"/>
        <w:rPr>
          <w:rFonts w:ascii="Arial" w:hAnsi="Arial" w:cs="Arial"/>
        </w:rPr>
      </w:pPr>
    </w:p>
    <w:p w:rsidR="00D4060F" w:rsidRPr="0079784C" w:rsidRDefault="00D4060F" w:rsidP="00D4060F">
      <w:pPr>
        <w:pStyle w:val="Prrafodelista"/>
        <w:rPr>
          <w:rFonts w:ascii="Arial" w:hAnsi="Arial" w:cs="Arial"/>
        </w:rPr>
      </w:pPr>
    </w:p>
    <w:p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rsidTr="00D4060F">
        <w:trPr>
          <w:trHeight w:val="282"/>
          <w:jc w:val="center"/>
        </w:trPr>
        <w:tc>
          <w:tcPr>
            <w:tcW w:w="5866" w:type="dxa"/>
            <w:tcBorders>
              <w:top w:val="single" w:sz="4" w:space="0" w:color="auto"/>
            </w:tcBorders>
            <w:noWrap/>
            <w:hideMark/>
          </w:tcPr>
          <w:p w:rsidR="00D4060F" w:rsidRPr="0079784C" w:rsidRDefault="00D4060F" w:rsidP="00F6519D">
            <w:pPr>
              <w:ind w:left="360"/>
              <w:jc w:val="center"/>
              <w:rPr>
                <w:rFonts w:ascii="Arial" w:hAnsi="Arial" w:cs="Arial"/>
              </w:rPr>
            </w:pPr>
            <w:r w:rsidRPr="0079784C">
              <w:rPr>
                <w:rFonts w:ascii="Arial" w:hAnsi="Arial" w:cs="Arial"/>
              </w:rPr>
              <w:t xml:space="preserve">Dr. </w:t>
            </w:r>
            <w:r w:rsidR="00F6519D" w:rsidRPr="0079784C">
              <w:rPr>
                <w:rFonts w:ascii="Arial" w:hAnsi="Arial" w:cs="Arial"/>
              </w:rPr>
              <w:t xml:space="preserve">Alberto </w:t>
            </w:r>
            <w:proofErr w:type="spellStart"/>
            <w:r w:rsidR="00F6519D" w:rsidRPr="0079784C">
              <w:rPr>
                <w:rFonts w:ascii="Arial" w:hAnsi="Arial" w:cs="Arial"/>
              </w:rPr>
              <w:t>Jonguitud</w:t>
            </w:r>
            <w:proofErr w:type="spellEnd"/>
            <w:r w:rsidR="00F6519D" w:rsidRPr="0079784C">
              <w:rPr>
                <w:rFonts w:ascii="Arial" w:hAnsi="Arial" w:cs="Arial"/>
              </w:rPr>
              <w:t xml:space="preserve"> </w:t>
            </w:r>
            <w:r w:rsidR="00C8597B" w:rsidRPr="0079784C">
              <w:rPr>
                <w:rFonts w:ascii="Arial" w:hAnsi="Arial" w:cs="Arial"/>
              </w:rPr>
              <w:t>Falcón</w:t>
            </w:r>
          </w:p>
        </w:tc>
        <w:tc>
          <w:tcPr>
            <w:tcW w:w="1338" w:type="dxa"/>
            <w:noWrap/>
            <w:hideMark/>
          </w:tcPr>
          <w:p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rsidR="00D4060F" w:rsidRPr="0079784C" w:rsidRDefault="007A05F1" w:rsidP="00033B87">
            <w:pPr>
              <w:ind w:left="360"/>
              <w:jc w:val="center"/>
              <w:rPr>
                <w:rFonts w:ascii="Arial" w:hAnsi="Arial" w:cs="Arial"/>
              </w:rPr>
            </w:pPr>
            <w:r w:rsidRPr="0079784C">
              <w:rPr>
                <w:rFonts w:ascii="Arial" w:hAnsi="Arial" w:cs="Arial"/>
              </w:rPr>
              <w:t>C.P. María Guadalupe Zamora Rodríguez</w:t>
            </w:r>
          </w:p>
        </w:tc>
      </w:tr>
      <w:tr w:rsidR="00D4060F" w:rsidRPr="0079784C" w:rsidTr="00D4060F">
        <w:trPr>
          <w:trHeight w:val="282"/>
          <w:jc w:val="center"/>
        </w:trPr>
        <w:tc>
          <w:tcPr>
            <w:tcW w:w="5866" w:type="dxa"/>
            <w:hideMark/>
          </w:tcPr>
          <w:p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rsidR="00D4060F" w:rsidRPr="0079784C" w:rsidRDefault="00D4060F" w:rsidP="00D4060F">
            <w:pPr>
              <w:ind w:left="360"/>
              <w:jc w:val="center"/>
              <w:rPr>
                <w:rFonts w:ascii="Arial" w:hAnsi="Arial" w:cs="Arial"/>
              </w:rPr>
            </w:pPr>
          </w:p>
        </w:tc>
        <w:tc>
          <w:tcPr>
            <w:tcW w:w="5121" w:type="dxa"/>
            <w:hideMark/>
          </w:tcPr>
          <w:p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rsidR="00D4060F" w:rsidRPr="0079784C" w:rsidRDefault="00D4060F" w:rsidP="00D4060F">
      <w:pPr>
        <w:pStyle w:val="Prrafodelista"/>
        <w:rPr>
          <w:rFonts w:ascii="Arial" w:hAnsi="Arial" w:cs="Arial"/>
        </w:rPr>
      </w:pPr>
    </w:p>
    <w:p w:rsidR="00540418" w:rsidRDefault="00540418">
      <w:pPr>
        <w:rPr>
          <w:rFonts w:ascii="Soberana Sans Light" w:hAnsi="Soberana Sans Light"/>
        </w:rPr>
      </w:pPr>
      <w:r>
        <w:rPr>
          <w:rFonts w:ascii="Soberana Sans Light" w:hAnsi="Soberana Sans Light"/>
        </w:rPr>
        <w:br w:type="page"/>
      </w:r>
    </w:p>
    <w:p w:rsidR="00AC7F8A" w:rsidRPr="00630DB0" w:rsidRDefault="00AC7F8A" w:rsidP="00AC7F8A">
      <w:pPr>
        <w:pStyle w:val="Texto"/>
        <w:spacing w:after="0" w:line="240" w:lineRule="exact"/>
        <w:jc w:val="center"/>
        <w:rPr>
          <w:b/>
          <w:szCs w:val="18"/>
        </w:rPr>
      </w:pPr>
      <w:r w:rsidRPr="00630DB0">
        <w:rPr>
          <w:b/>
          <w:szCs w:val="18"/>
        </w:rPr>
        <w:lastRenderedPageBreak/>
        <w:t>NOTAS A LOS ESTADOS FINANCIEROS</w:t>
      </w:r>
    </w:p>
    <w:p w:rsidR="00AC7F8A" w:rsidRDefault="00AC7F8A" w:rsidP="00AC7F8A">
      <w:pPr>
        <w:pStyle w:val="Texto"/>
        <w:spacing w:after="0" w:line="240" w:lineRule="exact"/>
        <w:jc w:val="center"/>
        <w:rPr>
          <w:b/>
          <w:szCs w:val="18"/>
        </w:rPr>
      </w:pPr>
    </w:p>
    <w:p w:rsidR="00AC7F8A" w:rsidRPr="00630DB0" w:rsidRDefault="00AC7F8A" w:rsidP="00AC7F8A">
      <w:pPr>
        <w:pStyle w:val="Texto"/>
        <w:spacing w:after="0" w:line="240" w:lineRule="exact"/>
        <w:jc w:val="center"/>
        <w:rPr>
          <w:szCs w:val="18"/>
        </w:rPr>
      </w:pPr>
      <w:r w:rsidRPr="00630DB0">
        <w:rPr>
          <w:b/>
          <w:szCs w:val="18"/>
        </w:rPr>
        <w:t>a) NOTAS DE DESGLOSE</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INCISO"/>
        <w:spacing w:after="0" w:line="240" w:lineRule="exact"/>
        <w:ind w:left="648"/>
        <w:rPr>
          <w:b/>
          <w:smallCaps/>
        </w:rPr>
      </w:pPr>
      <w:r w:rsidRPr="00630DB0">
        <w:rPr>
          <w:b/>
          <w:smallCaps/>
        </w:rPr>
        <w:t>I)</w:t>
      </w:r>
      <w:r w:rsidRPr="00630DB0">
        <w:rPr>
          <w:b/>
          <w:smallCaps/>
        </w:rPr>
        <w:tab/>
        <w:t>Notas al Estado de Situación Financiera</w:t>
      </w:r>
    </w:p>
    <w:p w:rsidR="00AC7F8A" w:rsidRPr="00630DB0"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Activo</w:t>
      </w:r>
    </w:p>
    <w:p w:rsidR="00AC7F8A" w:rsidRDefault="00AC7F8A" w:rsidP="00AC7F8A">
      <w:pPr>
        <w:pStyle w:val="Texto"/>
        <w:spacing w:after="0" w:line="240" w:lineRule="exact"/>
        <w:rPr>
          <w:b/>
          <w:szCs w:val="18"/>
          <w:lang w:val="es-MX"/>
        </w:rPr>
      </w:pPr>
    </w:p>
    <w:p w:rsidR="002644BD" w:rsidRPr="00630DB0" w:rsidRDefault="002644BD" w:rsidP="00AC7F8A">
      <w:pPr>
        <w:pStyle w:val="Texto"/>
        <w:spacing w:after="0" w:line="240" w:lineRule="exact"/>
        <w:rPr>
          <w:b/>
          <w:szCs w:val="18"/>
          <w:lang w:val="es-MX"/>
        </w:rPr>
      </w:pPr>
    </w:p>
    <w:p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rsidR="00AC7F8A" w:rsidRPr="00FF3E34" w:rsidRDefault="00AC7F8A" w:rsidP="00AC7F8A">
      <w:pPr>
        <w:pStyle w:val="Prrafodelista"/>
        <w:ind w:left="723"/>
        <w:jc w:val="both"/>
        <w:rPr>
          <w:rFonts w:ascii="Arial" w:hAnsi="Arial" w:cs="Arial"/>
          <w:sz w:val="18"/>
          <w:szCs w:val="18"/>
        </w:rPr>
      </w:pPr>
      <w:r w:rsidRPr="00FF3E34">
        <w:rPr>
          <w:rFonts w:ascii="Arial" w:hAnsi="Arial" w:cs="Arial"/>
          <w:sz w:val="18"/>
          <w:szCs w:val="18"/>
        </w:rPr>
        <w:t xml:space="preserve">El saldo de éste rubro representa el valor total de dinero a nombre de Salud de Tlaxcala depositado en instituciones bancarias, el cual asciende a $ </w:t>
      </w:r>
      <w:r w:rsidR="00DE287E" w:rsidRPr="00DE287E">
        <w:rPr>
          <w:rFonts w:ascii="Arial" w:hAnsi="Arial" w:cs="Arial"/>
          <w:sz w:val="18"/>
          <w:szCs w:val="18"/>
        </w:rPr>
        <w:t>35</w:t>
      </w:r>
      <w:r w:rsidR="00663864">
        <w:rPr>
          <w:rFonts w:ascii="Arial" w:hAnsi="Arial" w:cs="Arial"/>
          <w:sz w:val="18"/>
          <w:szCs w:val="18"/>
        </w:rPr>
        <w:t>4</w:t>
      </w:r>
      <w:r w:rsidR="00DE287E">
        <w:rPr>
          <w:rFonts w:ascii="Arial" w:hAnsi="Arial" w:cs="Arial"/>
          <w:sz w:val="18"/>
          <w:szCs w:val="18"/>
        </w:rPr>
        <w:t>,</w:t>
      </w:r>
      <w:r w:rsidR="00DE287E" w:rsidRPr="00DE287E">
        <w:rPr>
          <w:rFonts w:ascii="Arial" w:hAnsi="Arial" w:cs="Arial"/>
          <w:sz w:val="18"/>
          <w:szCs w:val="18"/>
        </w:rPr>
        <w:t>7</w:t>
      </w:r>
      <w:r w:rsidR="00663864">
        <w:rPr>
          <w:rFonts w:ascii="Arial" w:hAnsi="Arial" w:cs="Arial"/>
          <w:sz w:val="18"/>
          <w:szCs w:val="18"/>
        </w:rPr>
        <w:t>42</w:t>
      </w:r>
      <w:r w:rsidR="00DE287E">
        <w:rPr>
          <w:rFonts w:ascii="Arial" w:hAnsi="Arial" w:cs="Arial"/>
          <w:sz w:val="18"/>
          <w:szCs w:val="18"/>
        </w:rPr>
        <w:t>,</w:t>
      </w:r>
      <w:r w:rsidR="00663864">
        <w:rPr>
          <w:rFonts w:ascii="Arial" w:hAnsi="Arial" w:cs="Arial"/>
          <w:sz w:val="18"/>
          <w:szCs w:val="18"/>
        </w:rPr>
        <w:t>18</w:t>
      </w:r>
      <w:r w:rsidR="00DE287E">
        <w:rPr>
          <w:rFonts w:ascii="Arial" w:hAnsi="Arial" w:cs="Arial"/>
          <w:sz w:val="18"/>
          <w:szCs w:val="18"/>
        </w:rPr>
        <w:t>5</w:t>
      </w:r>
      <w:r w:rsidRPr="00FF3E34">
        <w:rPr>
          <w:rFonts w:ascii="Arial" w:hAnsi="Arial" w:cs="Arial"/>
          <w:sz w:val="18"/>
          <w:szCs w:val="18"/>
        </w:rPr>
        <w:t>, y que está destinado para el pago diversas acciones de éste Organismo Público, tales como, sueldos y prestaciones, adquisición de bienes y servicios, el entero de impuestos y retenciones realizadas a los trabajadores y compromisos adquiridos con terceros. Estos recursos son obtenidos principalmente por aportaciones federales</w:t>
      </w:r>
      <w:r>
        <w:rPr>
          <w:rFonts w:ascii="Arial" w:hAnsi="Arial" w:cs="Arial"/>
          <w:sz w:val="18"/>
          <w:szCs w:val="18"/>
        </w:rPr>
        <w:t xml:space="preserve">, </w:t>
      </w:r>
      <w:r w:rsidRPr="00FF3E34">
        <w:rPr>
          <w:rFonts w:ascii="Arial" w:hAnsi="Arial" w:cs="Arial"/>
          <w:sz w:val="18"/>
          <w:szCs w:val="18"/>
        </w:rPr>
        <w:t xml:space="preserve">recursos federales convenidos </w:t>
      </w:r>
      <w:r>
        <w:rPr>
          <w:rFonts w:ascii="Arial" w:hAnsi="Arial" w:cs="Arial"/>
          <w:sz w:val="18"/>
          <w:szCs w:val="18"/>
        </w:rPr>
        <w:t xml:space="preserve">y </w:t>
      </w:r>
      <w:r w:rsidRPr="00FF3E34">
        <w:rPr>
          <w:rFonts w:ascii="Arial" w:hAnsi="Arial" w:cs="Arial"/>
          <w:sz w:val="18"/>
          <w:szCs w:val="18"/>
        </w:rPr>
        <w:t>participaciones, principalmente.</w:t>
      </w:r>
    </w:p>
    <w:p w:rsidR="00AC7F8A" w:rsidRDefault="00AC7F8A" w:rsidP="00AC7F8A">
      <w:pPr>
        <w:pStyle w:val="ROMANOS"/>
        <w:spacing w:after="0" w:line="240" w:lineRule="exact"/>
        <w:rPr>
          <w:lang w:val="es-MX"/>
        </w:rPr>
      </w:pPr>
    </w:p>
    <w:p w:rsidR="002644BD" w:rsidRPr="00630DB0" w:rsidRDefault="002644BD" w:rsidP="00AC7F8A">
      <w:pPr>
        <w:pStyle w:val="ROMANOS"/>
        <w:spacing w:after="0" w:line="240" w:lineRule="exact"/>
        <w:rPr>
          <w:lang w:val="es-MX"/>
        </w:rPr>
      </w:pPr>
    </w:p>
    <w:p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rsidR="00AC7F8A" w:rsidRPr="00975301" w:rsidRDefault="00AC7F8A" w:rsidP="00AC7F8A">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éste Organismo, de los cuales el </w:t>
      </w:r>
      <w:r w:rsidR="00975301" w:rsidRPr="00975301">
        <w:rPr>
          <w:rFonts w:ascii="ArialMT" w:hAnsi="ArialMT" w:cs="ArialMT"/>
          <w:sz w:val="18"/>
          <w:szCs w:val="18"/>
          <w:lang w:val="es-ES"/>
        </w:rPr>
        <w:t>9</w:t>
      </w:r>
      <w:r w:rsidR="0043609B">
        <w:rPr>
          <w:rFonts w:ascii="ArialMT" w:hAnsi="ArialMT" w:cs="ArialMT"/>
          <w:sz w:val="18"/>
          <w:szCs w:val="18"/>
          <w:lang w:val="es-ES"/>
        </w:rPr>
        <w:t>0.8</w:t>
      </w:r>
      <w:r w:rsidRPr="00975301">
        <w:rPr>
          <w:rFonts w:ascii="ArialMT" w:hAnsi="ArialMT" w:cs="ArialMT"/>
          <w:sz w:val="18"/>
          <w:szCs w:val="18"/>
          <w:lang w:val="es-ES"/>
        </w:rPr>
        <w:t xml:space="preserve">% está representado por </w:t>
      </w:r>
      <w:r w:rsidR="00975301" w:rsidRPr="00975301">
        <w:rPr>
          <w:rFonts w:ascii="ArialMT" w:hAnsi="ArialMT" w:cs="ArialMT"/>
          <w:sz w:val="18"/>
          <w:szCs w:val="18"/>
          <w:lang w:val="es-ES"/>
        </w:rPr>
        <w:t>Cuentas por cobrar</w:t>
      </w:r>
      <w:r w:rsidRPr="00975301">
        <w:rPr>
          <w:rFonts w:ascii="ArialMT" w:hAnsi="ArialMT" w:cs="ArialMT"/>
          <w:sz w:val="18"/>
          <w:szCs w:val="18"/>
          <w:lang w:val="es-ES"/>
        </w:rPr>
        <w:t>.</w:t>
      </w:r>
    </w:p>
    <w:p w:rsidR="00AC7F8A" w:rsidRPr="00975301" w:rsidRDefault="00AC7F8A" w:rsidP="00AC7F8A">
      <w:pPr>
        <w:pStyle w:val="ROMANOS"/>
        <w:spacing w:after="0" w:line="240" w:lineRule="exact"/>
        <w:rPr>
          <w:lang w:val="es-MX"/>
        </w:rPr>
      </w:pPr>
      <w:r w:rsidRPr="00975301">
        <w:rPr>
          <w:lang w:val="es-MX"/>
        </w:rPr>
        <w:tab/>
        <w:t>La cuenta de Derechos a recibir efectivo o equivalentes se integra de la siguiente manera:</w:t>
      </w:r>
    </w:p>
    <w:p w:rsidR="00AC7F8A" w:rsidRPr="00630DB0" w:rsidRDefault="00ED69A7" w:rsidP="00AC7F8A">
      <w:pPr>
        <w:pStyle w:val="ROMANOS"/>
        <w:spacing w:after="0" w:line="240" w:lineRule="exact"/>
        <w:rPr>
          <w:lang w:val="es-MX"/>
        </w:rPr>
      </w:pPr>
      <w:r>
        <w:rPr>
          <w:noProof/>
          <w:color w:val="FF0000"/>
          <w:highlight w:val="yellow"/>
        </w:rPr>
        <w:object w:dxaOrig="1440" w:dyaOrig="1440">
          <v:shape id="_x0000_s1073" type="#_x0000_t75" style="position:absolute;left:0;text-align:left;margin-left:93.75pt;margin-top:14.4pt;width:509.95pt;height:45.75pt;z-index:251674624">
            <v:imagedata r:id="rId22" o:title=""/>
            <w10:wrap type="topAndBottom"/>
          </v:shape>
          <o:OLEObject Type="Embed" ProgID="Excel.Sheet.12" ShapeID="_x0000_s1073" DrawAspect="Content" ObjectID="_1624096417" r:id="rId23"/>
        </w:object>
      </w:r>
    </w:p>
    <w:p w:rsidR="00AC7F8A" w:rsidRDefault="00AC7F8A" w:rsidP="00AC7F8A">
      <w:pPr>
        <w:pStyle w:val="ROMANOS"/>
        <w:spacing w:after="0" w:line="240" w:lineRule="exact"/>
        <w:rPr>
          <w:lang w:val="es-MX"/>
        </w:rPr>
      </w:pPr>
    </w:p>
    <w:p w:rsidR="002644BD" w:rsidRPr="00630DB0" w:rsidRDefault="002644BD"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p>
    <w:p w:rsidR="00AC7F8A" w:rsidRPr="0045167D" w:rsidRDefault="00AC7F8A" w:rsidP="00AC7F8A">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 con bienes disponibles para su transformación.</w:t>
      </w:r>
    </w:p>
    <w:p w:rsidR="00AC7F8A" w:rsidRDefault="00AC7F8A" w:rsidP="00AC7F8A">
      <w:pPr>
        <w:pStyle w:val="ROMANOS"/>
        <w:spacing w:after="0" w:line="240" w:lineRule="exact"/>
        <w:rPr>
          <w:lang w:val="es-MX"/>
        </w:rPr>
      </w:pPr>
      <w:r>
        <w:rPr>
          <w:lang w:val="es-MX"/>
        </w:rPr>
        <w:tab/>
      </w:r>
      <w:r w:rsidRPr="00BB0B8C">
        <w:rPr>
          <w:lang w:val="es-MX"/>
        </w:rPr>
        <w:t>Con base a la aprobación de la Junta Directiva del 04 de marzo del 2016, se aprueba la política contable de reconocer a través de en cuentas de orden la existencia de inventarios en el rubro de almacén.</w:t>
      </w:r>
    </w:p>
    <w:p w:rsidR="00AC7F8A" w:rsidRDefault="00AC7F8A" w:rsidP="00AC7F8A">
      <w:pPr>
        <w:pStyle w:val="ROMANOS"/>
        <w:spacing w:after="0" w:line="240" w:lineRule="exact"/>
        <w:rPr>
          <w:lang w:val="es-MX"/>
        </w:rPr>
      </w:pPr>
    </w:p>
    <w:p w:rsidR="002644BD" w:rsidRPr="00630DB0" w:rsidRDefault="002644BD"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Inversiones Financieras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no</w:t>
      </w:r>
      <w:r w:rsidRPr="00630DB0">
        <w:rPr>
          <w:lang w:val="es-MX"/>
        </w:rPr>
        <w:t xml:space="preserve"> cuenta con Inversiones financieras</w:t>
      </w:r>
      <w:r>
        <w:rPr>
          <w:lang w:val="es-MX"/>
        </w:rPr>
        <w:t xml:space="preserve"> en otras instituciones</w:t>
      </w:r>
      <w:r w:rsidRPr="00630DB0">
        <w:rPr>
          <w:lang w:val="es-MX"/>
        </w:rPr>
        <w:t>.</w:t>
      </w:r>
    </w:p>
    <w:p w:rsidR="00AC7F8A" w:rsidRDefault="00AC7F8A" w:rsidP="00AC7F8A">
      <w:pPr>
        <w:pStyle w:val="ROMANOS"/>
        <w:spacing w:after="0" w:line="240" w:lineRule="exact"/>
        <w:rPr>
          <w:lang w:val="es-MX"/>
        </w:rPr>
      </w:pPr>
    </w:p>
    <w:p w:rsidR="002644BD" w:rsidRDefault="002644BD" w:rsidP="00AC7F8A">
      <w:pPr>
        <w:pStyle w:val="ROMANOS"/>
        <w:spacing w:after="0" w:line="240" w:lineRule="exact"/>
        <w:rPr>
          <w:lang w:val="es-MX"/>
        </w:rPr>
      </w:pPr>
    </w:p>
    <w:p w:rsidR="002644BD" w:rsidRPr="00630DB0" w:rsidRDefault="002644BD" w:rsidP="00AC7F8A">
      <w:pPr>
        <w:pStyle w:val="ROMANOS"/>
        <w:spacing w:after="0" w:line="240" w:lineRule="exact"/>
        <w:rPr>
          <w:lang w:val="es-MX"/>
        </w:rPr>
      </w:pPr>
    </w:p>
    <w:p w:rsidR="00AC7F8A" w:rsidRPr="00F75314" w:rsidRDefault="00AC7F8A" w:rsidP="00AC7F8A">
      <w:pPr>
        <w:pStyle w:val="ROMANOS"/>
        <w:spacing w:after="0" w:line="240" w:lineRule="exact"/>
        <w:rPr>
          <w:b/>
          <w:lang w:val="es-MX"/>
        </w:rPr>
      </w:pPr>
      <w:r w:rsidRPr="00630DB0">
        <w:rPr>
          <w:b/>
          <w:lang w:val="es-MX"/>
        </w:rPr>
        <w:lastRenderedPageBreak/>
        <w:tab/>
      </w:r>
      <w:r w:rsidRPr="00F75314">
        <w:rPr>
          <w:b/>
          <w:lang w:val="es-MX"/>
        </w:rPr>
        <w:t>Bienes Muebles, Inmuebles e Intangibles</w:t>
      </w:r>
    </w:p>
    <w:p w:rsidR="00AC7F8A" w:rsidRDefault="004431B3" w:rsidP="00AC7F8A">
      <w:pPr>
        <w:pStyle w:val="ROMANOS"/>
        <w:spacing w:after="0" w:line="240" w:lineRule="exact"/>
        <w:rPr>
          <w:lang w:val="es-MX"/>
        </w:rPr>
      </w:pPr>
      <w:r>
        <w:rPr>
          <w:lang w:val="es-MX"/>
        </w:rPr>
        <w:tab/>
      </w:r>
      <w:r w:rsidR="00AC7F8A" w:rsidRPr="00E11756">
        <w:rPr>
          <w:lang w:val="es-MX"/>
        </w:rPr>
        <w:t>El rubro de Bienes Inmuebles se encuentra a su valor del avaluó al 30 de junio de 2016, por la cantidad de $ 2,225,511,457 y un valor de realización por $213,812,916; reconociendo la normatividad emitida por el Consejo Nacional de Armonización Contable.</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tab/>
      </w:r>
      <w:r w:rsidRPr="00E11756">
        <w:rPr>
          <w:lang w:val="es-MX"/>
        </w:rPr>
        <w:t xml:space="preserve">El rubro Bienes Muebles se presenta a valor del avaluó a diciembre de 2015, por la cantidad de $ 258,529,543, a partir del ejercicio 2016 el incremento del valor en libros por un monto $ </w:t>
      </w:r>
      <w:r w:rsidR="0043609B">
        <w:rPr>
          <w:lang w:val="es-MX"/>
        </w:rPr>
        <w:t>450,</w:t>
      </w:r>
      <w:r w:rsidR="00851A7B">
        <w:rPr>
          <w:lang w:val="es-MX"/>
        </w:rPr>
        <w:t>465</w:t>
      </w:r>
      <w:r w:rsidR="0043609B">
        <w:rPr>
          <w:lang w:val="es-MX"/>
        </w:rPr>
        <w:t>,</w:t>
      </w:r>
      <w:r w:rsidR="00851A7B">
        <w:rPr>
          <w:lang w:val="es-MX"/>
        </w:rPr>
        <w:t>639</w:t>
      </w:r>
      <w:r w:rsidRPr="00E11756">
        <w:rPr>
          <w:lang w:val="es-MX"/>
        </w:rPr>
        <w:t xml:space="preserve"> que</w:t>
      </w:r>
      <w:r w:rsidRPr="00BB0B8C">
        <w:rPr>
          <w:lang w:val="es-MX"/>
        </w:rPr>
        <w:t xml:space="preserve"> corresponde al valor de adquisición de los bienes reconociendo la normatividad emitida por el Consejo Nacional de Armonización Contable, se está efectuando la conciliación con el valor del inventario físico y el valor en estados financieros.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tab/>
      </w:r>
    </w:p>
    <w:tbl>
      <w:tblPr>
        <w:tblStyle w:val="Tabladecuadrcula2"/>
        <w:tblW w:w="0" w:type="auto"/>
        <w:tblInd w:w="3292" w:type="dxa"/>
        <w:tblLook w:val="04A0" w:firstRow="1" w:lastRow="0" w:firstColumn="1" w:lastColumn="0" w:noHBand="0" w:noVBand="1"/>
      </w:tblPr>
      <w:tblGrid>
        <w:gridCol w:w="4629"/>
        <w:gridCol w:w="1984"/>
      </w:tblGrid>
      <w:tr w:rsidR="00AC7F8A" w:rsidRPr="00C85D39" w:rsidTr="00AD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C85D39" w:rsidRDefault="00AC7F8A" w:rsidP="00AD6257">
            <w:pPr>
              <w:pStyle w:val="ROMANOS"/>
              <w:spacing w:after="0" w:line="240" w:lineRule="auto"/>
            </w:pPr>
            <w:r>
              <w:t>CONCEPTO</w:t>
            </w:r>
          </w:p>
        </w:tc>
        <w:tc>
          <w:tcPr>
            <w:tcW w:w="1984" w:type="dxa"/>
            <w:noWrap/>
          </w:tcPr>
          <w:p w:rsidR="00AC7F8A" w:rsidRPr="00C85D39" w:rsidRDefault="00AC7F8A" w:rsidP="00AD6257">
            <w:pPr>
              <w:pStyle w:val="ROMANOS"/>
              <w:spacing w:after="0" w:line="240" w:lineRule="auto"/>
              <w:jc w:val="right"/>
              <w:cnfStyle w:val="100000000000" w:firstRow="1" w:lastRow="0" w:firstColumn="0" w:lastColumn="0" w:oddVBand="0" w:evenVBand="0" w:oddHBand="0" w:evenHBand="0" w:firstRowFirstColumn="0" w:firstRowLastColumn="0" w:lastRowFirstColumn="0" w:lastRowLastColumn="0"/>
            </w:pPr>
            <w:r>
              <w:t>IMPORTE</w:t>
            </w:r>
          </w:p>
        </w:tc>
      </w:tr>
      <w:tr w:rsidR="00AC7F8A" w:rsidRPr="00C85D39" w:rsidTr="00AD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Mobiliario y equipo de administración</w:t>
            </w:r>
          </w:p>
        </w:tc>
        <w:tc>
          <w:tcPr>
            <w:tcW w:w="1984" w:type="dxa"/>
            <w:noWrap/>
            <w:vAlign w:val="bottom"/>
          </w:tcPr>
          <w:p w:rsidR="00AC7F8A" w:rsidRPr="00523296" w:rsidRDefault="00851A7B"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112,525,497</w:t>
            </w:r>
          </w:p>
        </w:tc>
      </w:tr>
      <w:tr w:rsidR="00AC7F8A" w:rsidRPr="00C85D39" w:rsidTr="00AD6257">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Mobiliario y equipo educacional y recreativo</w:t>
            </w:r>
          </w:p>
        </w:tc>
        <w:tc>
          <w:tcPr>
            <w:tcW w:w="1984" w:type="dxa"/>
            <w:noWrap/>
            <w:vAlign w:val="bottom"/>
            <w:hideMark/>
          </w:tcPr>
          <w:p w:rsidR="00AC7F8A" w:rsidRPr="00523296" w:rsidRDefault="00851A7B"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3,656,979</w:t>
            </w:r>
          </w:p>
        </w:tc>
      </w:tr>
      <w:tr w:rsidR="00AC7F8A" w:rsidRPr="00C85D39" w:rsidTr="00AD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Equipo e instrumental médico y de laboratorio</w:t>
            </w:r>
          </w:p>
        </w:tc>
        <w:tc>
          <w:tcPr>
            <w:tcW w:w="1984" w:type="dxa"/>
            <w:noWrap/>
            <w:vAlign w:val="bottom"/>
            <w:hideMark/>
          </w:tcPr>
          <w:p w:rsidR="00AC7F8A" w:rsidRPr="00523296" w:rsidRDefault="00851A7B"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536,548,778</w:t>
            </w:r>
          </w:p>
        </w:tc>
      </w:tr>
      <w:tr w:rsidR="00AC7F8A" w:rsidRPr="00C85D39" w:rsidTr="00AD6257">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Vehículos y equipo de transporte</w:t>
            </w:r>
          </w:p>
        </w:tc>
        <w:tc>
          <w:tcPr>
            <w:tcW w:w="1984" w:type="dxa"/>
            <w:noWrap/>
            <w:vAlign w:val="bottom"/>
            <w:hideMark/>
          </w:tcPr>
          <w:p w:rsidR="00AC7F8A" w:rsidRPr="00523296" w:rsidRDefault="00851A7B"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37,167,145</w:t>
            </w:r>
          </w:p>
        </w:tc>
      </w:tr>
      <w:tr w:rsidR="00AC7F8A" w:rsidRPr="00C85D39" w:rsidTr="00AD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Maquinaria otros equipos y herramientas</w:t>
            </w:r>
          </w:p>
        </w:tc>
        <w:tc>
          <w:tcPr>
            <w:tcW w:w="1984" w:type="dxa"/>
            <w:noWrap/>
            <w:vAlign w:val="bottom"/>
            <w:hideMark/>
          </w:tcPr>
          <w:p w:rsidR="00AC7F8A" w:rsidRPr="00523296" w:rsidRDefault="00851A7B"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19,096,783</w:t>
            </w:r>
          </w:p>
        </w:tc>
      </w:tr>
      <w:tr w:rsidR="00AC7F8A" w:rsidRPr="00C85D39" w:rsidTr="00AD6257">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Software</w:t>
            </w:r>
          </w:p>
        </w:tc>
        <w:tc>
          <w:tcPr>
            <w:tcW w:w="1984" w:type="dxa"/>
            <w:noWrap/>
            <w:vAlign w:val="bottom"/>
          </w:tcPr>
          <w:p w:rsidR="00AC7F8A" w:rsidRPr="00523296" w:rsidRDefault="00851A7B"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sidRPr="00851A7B">
              <w:rPr>
                <w:rFonts w:ascii="Arial" w:hAnsi="Arial" w:cs="Arial"/>
                <w:i/>
                <w:color w:val="000000"/>
                <w:sz w:val="18"/>
                <w:szCs w:val="16"/>
              </w:rPr>
              <w:t>37,871</w:t>
            </w:r>
          </w:p>
        </w:tc>
      </w:tr>
      <w:tr w:rsidR="00AC7F8A" w:rsidRPr="00C85D39" w:rsidTr="00AD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Edificios</w:t>
            </w:r>
          </w:p>
        </w:tc>
        <w:tc>
          <w:tcPr>
            <w:tcW w:w="1984" w:type="dxa"/>
            <w:noWrap/>
            <w:vAlign w:val="bottom"/>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2,439,324,373</w:t>
            </w:r>
          </w:p>
        </w:tc>
      </w:tr>
    </w:tbl>
    <w:p w:rsidR="00AC7F8A" w:rsidRDefault="00AC7F8A" w:rsidP="00AC7F8A">
      <w:pPr>
        <w:pStyle w:val="ROMANOS"/>
        <w:spacing w:after="0" w:line="240" w:lineRule="auto"/>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ind w:left="0" w:firstLine="0"/>
        <w:rPr>
          <w:lang w:val="es-MX"/>
        </w:rPr>
      </w:pPr>
      <w:r w:rsidRPr="00630DB0">
        <w:rPr>
          <w:lang w:val="es-MX"/>
        </w:rPr>
        <w:tab/>
      </w:r>
      <w:r w:rsidRPr="0045752B">
        <w:rPr>
          <w:b/>
          <w:lang w:val="es-MX"/>
        </w:rPr>
        <w:t>Activos intangibles y diferidos</w:t>
      </w:r>
    </w:p>
    <w:p w:rsidR="00AC7F8A" w:rsidRPr="00826EBE" w:rsidRDefault="0079784C" w:rsidP="00AC7F8A">
      <w:pPr>
        <w:autoSpaceDE w:val="0"/>
        <w:autoSpaceDN w:val="0"/>
        <w:adjustRightInd w:val="0"/>
        <w:spacing w:after="0" w:line="240" w:lineRule="auto"/>
        <w:ind w:firstLine="708"/>
        <w:rPr>
          <w:rFonts w:ascii="Arial" w:eastAsia="Times New Roman" w:hAnsi="Arial" w:cs="Arial"/>
          <w:sz w:val="18"/>
          <w:szCs w:val="18"/>
          <w:lang w:val="es-ES" w:eastAsia="es-ES"/>
        </w:rPr>
      </w:pPr>
      <w:r w:rsidRPr="0079784C">
        <w:rPr>
          <w:rFonts w:ascii="Arial" w:eastAsia="Times New Roman" w:hAnsi="Arial" w:cs="Arial"/>
          <w:sz w:val="18"/>
          <w:szCs w:val="18"/>
          <w:lang w:val="es-ES" w:eastAsia="es-ES"/>
        </w:rPr>
        <w:t>El rubro bienes intangibles por un monto de $37,871 se encuentra registrado a su valor de adquisición</w:t>
      </w:r>
      <w:r>
        <w:rPr>
          <w:rFonts w:ascii="Arial" w:eastAsia="Times New Roman" w:hAnsi="Arial" w:cs="Arial"/>
          <w:sz w:val="18"/>
          <w:szCs w:val="18"/>
          <w:lang w:val="es-ES" w:eastAsia="es-ES"/>
        </w:rPr>
        <w:t>.</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Estimaciones y Deterioros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 xml:space="preserve">o ha efectuado estimaciones y no se han reconocieron deterioros de los activos durante el </w:t>
      </w:r>
      <w:r w:rsidR="004431B3">
        <w:rPr>
          <w:lang w:val="es-MX"/>
        </w:rPr>
        <w:t>periodo que se presenta</w:t>
      </w:r>
      <w:r w:rsidRPr="00C8597B">
        <w:rPr>
          <w:lang w:val="es-MX"/>
        </w:rPr>
        <w:t>.</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Otros Activos</w:t>
      </w:r>
    </w:p>
    <w:p w:rsidR="00AC7F8A" w:rsidRPr="00630DB0" w:rsidRDefault="00AC7F8A" w:rsidP="00AC7F8A">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rsidR="00AC7F8A" w:rsidRDefault="00AC7F8A" w:rsidP="00AC7F8A">
      <w:pPr>
        <w:pStyle w:val="ROMANOS"/>
        <w:spacing w:after="0" w:line="240" w:lineRule="exact"/>
        <w:ind w:left="723" w:firstLine="0"/>
      </w:pPr>
    </w:p>
    <w:p w:rsidR="00AC7F8A" w:rsidRPr="00630DB0" w:rsidRDefault="00AC7F8A" w:rsidP="00AC7F8A">
      <w:pPr>
        <w:pStyle w:val="ROMANOS"/>
        <w:spacing w:after="0" w:line="240" w:lineRule="exact"/>
        <w:ind w:left="723" w:firstLine="0"/>
        <w:rPr>
          <w:lang w:val="es-MX"/>
        </w:rPr>
      </w:pPr>
      <w:r>
        <w:rPr>
          <w:lang w:val="es-MX"/>
        </w:rPr>
        <w:lastRenderedPageBreak/>
        <w:t xml:space="preserve">Dentro de </w:t>
      </w:r>
      <w:r w:rsidRPr="00630DB0">
        <w:rPr>
          <w:lang w:val="es-MX"/>
        </w:rPr>
        <w:t xml:space="preserve">los adeudos que </w:t>
      </w:r>
      <w:r>
        <w:rPr>
          <w:lang w:val="es-MX"/>
        </w:rPr>
        <w:t xml:space="preserve">éste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rsidR="00AC7F8A" w:rsidRDefault="00AC7F8A" w:rsidP="00AC7F8A">
      <w:pPr>
        <w:pStyle w:val="ROMANOS"/>
        <w:spacing w:after="0" w:line="240" w:lineRule="exact"/>
        <w:ind w:left="723" w:firstLine="0"/>
        <w:rPr>
          <w:lang w:val="es-MX"/>
        </w:rPr>
      </w:pPr>
    </w:p>
    <w:p w:rsidR="00AC7F8A" w:rsidRDefault="00AC7F8A" w:rsidP="00AC7F8A">
      <w:pPr>
        <w:pStyle w:val="ROMANOS"/>
        <w:spacing w:after="0" w:line="240" w:lineRule="exact"/>
        <w:ind w:left="723" w:firstLine="0"/>
        <w:rPr>
          <w:lang w:val="es-MX"/>
        </w:rPr>
      </w:pPr>
    </w:p>
    <w:tbl>
      <w:tblPr>
        <w:tblStyle w:val="Tabladelista1clara"/>
        <w:tblW w:w="7814" w:type="dxa"/>
        <w:tblInd w:w="2392" w:type="dxa"/>
        <w:tblLook w:val="04A0" w:firstRow="1" w:lastRow="0" w:firstColumn="1" w:lastColumn="0" w:noHBand="0" w:noVBand="1"/>
      </w:tblPr>
      <w:tblGrid>
        <w:gridCol w:w="5121"/>
        <w:gridCol w:w="1608"/>
        <w:gridCol w:w="1085"/>
      </w:tblGrid>
      <w:tr w:rsidR="00AC7F8A" w:rsidRPr="003404AB" w:rsidTr="00851A7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AC7F8A" w:rsidRPr="004A2294" w:rsidRDefault="00AC7F8A" w:rsidP="00AD6257">
            <w:pPr>
              <w:jc w:val="center"/>
              <w:rPr>
                <w:rFonts w:ascii="Arial" w:eastAsia="Times New Roman" w:hAnsi="Arial" w:cs="Arial"/>
                <w:sz w:val="18"/>
                <w:szCs w:val="20"/>
                <w:lang w:eastAsia="es-ES"/>
              </w:rPr>
            </w:pPr>
            <w:r w:rsidRPr="004A2294">
              <w:rPr>
                <w:rFonts w:ascii="Arial" w:eastAsia="Times New Roman" w:hAnsi="Arial" w:cs="Arial"/>
                <w:sz w:val="18"/>
                <w:szCs w:val="20"/>
                <w:lang w:eastAsia="es-ES"/>
              </w:rPr>
              <w:t>CONCEPTO</w:t>
            </w:r>
          </w:p>
        </w:tc>
        <w:tc>
          <w:tcPr>
            <w:tcW w:w="1608" w:type="dxa"/>
            <w:noWrap/>
          </w:tcPr>
          <w:p w:rsidR="00AC7F8A" w:rsidRPr="004A2294"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IMPORTE</w:t>
            </w:r>
          </w:p>
        </w:tc>
        <w:tc>
          <w:tcPr>
            <w:tcW w:w="1085" w:type="dxa"/>
          </w:tcPr>
          <w:p w:rsidR="00AC7F8A" w:rsidRPr="004A2294"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w:t>
            </w:r>
          </w:p>
        </w:tc>
      </w:tr>
      <w:tr w:rsidR="00851A7B" w:rsidRPr="003404AB"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hideMark/>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Servicios Personales por Pagar a Corto Plazo</w:t>
            </w:r>
          </w:p>
        </w:tc>
        <w:tc>
          <w:tcPr>
            <w:tcW w:w="1608" w:type="dxa"/>
            <w:noWrap/>
            <w:hideMark/>
          </w:tcPr>
          <w:p w:rsidR="00851A7B" w:rsidRPr="00D0523C" w:rsidRDefault="00851A7B" w:rsidP="0079784C">
            <w:pPr>
              <w:jc w:val="right"/>
              <w:cnfStyle w:val="000000100000" w:firstRow="0" w:lastRow="0" w:firstColumn="0" w:lastColumn="0" w:oddVBand="0" w:evenVBand="0" w:oddHBand="1" w:evenHBand="0" w:firstRowFirstColumn="0" w:firstRowLastColumn="0" w:lastRowFirstColumn="0" w:lastRowLastColumn="0"/>
            </w:pPr>
            <w:r w:rsidRPr="00D0523C">
              <w:t>21,734,99</w:t>
            </w:r>
            <w:r w:rsidR="0079784C">
              <w:t>7</w:t>
            </w:r>
          </w:p>
        </w:tc>
        <w:tc>
          <w:tcPr>
            <w:tcW w:w="1085" w:type="dxa"/>
          </w:tcPr>
          <w:p w:rsidR="00851A7B" w:rsidRPr="001C6AA2"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1C6AA2">
              <w:t>7.67%</w:t>
            </w:r>
          </w:p>
        </w:tc>
      </w:tr>
      <w:tr w:rsidR="00851A7B" w:rsidRPr="003404AB" w:rsidTr="00851A7B">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Proveedores por Pagar a Corto Plazo</w:t>
            </w:r>
          </w:p>
        </w:tc>
        <w:tc>
          <w:tcPr>
            <w:tcW w:w="1608" w:type="dxa"/>
            <w:noWrap/>
          </w:tcPr>
          <w:p w:rsidR="00851A7B" w:rsidRPr="00D0523C" w:rsidRDefault="0079784C" w:rsidP="00851A7B">
            <w:pPr>
              <w:jc w:val="right"/>
              <w:cnfStyle w:val="000000000000" w:firstRow="0" w:lastRow="0" w:firstColumn="0" w:lastColumn="0" w:oddVBand="0" w:evenVBand="0" w:oddHBand="0" w:evenHBand="0" w:firstRowFirstColumn="0" w:firstRowLastColumn="0" w:lastRowFirstColumn="0" w:lastRowLastColumn="0"/>
            </w:pPr>
            <w:r>
              <w:t>120,738,331</w:t>
            </w:r>
          </w:p>
        </w:tc>
        <w:tc>
          <w:tcPr>
            <w:tcW w:w="1085" w:type="dxa"/>
          </w:tcPr>
          <w:p w:rsidR="00851A7B" w:rsidRPr="001C6AA2" w:rsidRDefault="00851A7B" w:rsidP="00851A7B">
            <w:pPr>
              <w:jc w:val="right"/>
              <w:cnfStyle w:val="000000000000" w:firstRow="0" w:lastRow="0" w:firstColumn="0" w:lastColumn="0" w:oddVBand="0" w:evenVBand="0" w:oddHBand="0" w:evenHBand="0" w:firstRowFirstColumn="0" w:firstRowLastColumn="0" w:lastRowFirstColumn="0" w:lastRowLastColumn="0"/>
            </w:pPr>
            <w:r w:rsidRPr="001C6AA2">
              <w:t>42.59%</w:t>
            </w:r>
          </w:p>
        </w:tc>
      </w:tr>
      <w:tr w:rsidR="00851A7B" w:rsidRPr="003404AB"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Transferencias Otorgadas por Pagar a Corto Plazo</w:t>
            </w:r>
          </w:p>
        </w:tc>
        <w:tc>
          <w:tcPr>
            <w:tcW w:w="1608" w:type="dxa"/>
            <w:noWrap/>
          </w:tcPr>
          <w:p w:rsidR="00851A7B" w:rsidRPr="00D0523C"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D0523C">
              <w:t>0</w:t>
            </w:r>
          </w:p>
        </w:tc>
        <w:tc>
          <w:tcPr>
            <w:tcW w:w="1085" w:type="dxa"/>
          </w:tcPr>
          <w:p w:rsidR="00851A7B" w:rsidRPr="001C6AA2"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1C6AA2">
              <w:t>0.00%</w:t>
            </w:r>
          </w:p>
        </w:tc>
      </w:tr>
      <w:tr w:rsidR="00851A7B" w:rsidRPr="003404AB" w:rsidTr="00851A7B">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Retenciones y Contribuciones por Pagar a Corto Plazo</w:t>
            </w:r>
          </w:p>
        </w:tc>
        <w:tc>
          <w:tcPr>
            <w:tcW w:w="1608" w:type="dxa"/>
            <w:noWrap/>
          </w:tcPr>
          <w:p w:rsidR="00851A7B" w:rsidRPr="00D0523C" w:rsidRDefault="0079784C" w:rsidP="00851A7B">
            <w:pPr>
              <w:jc w:val="right"/>
              <w:cnfStyle w:val="000000000000" w:firstRow="0" w:lastRow="0" w:firstColumn="0" w:lastColumn="0" w:oddVBand="0" w:evenVBand="0" w:oddHBand="0" w:evenHBand="0" w:firstRowFirstColumn="0" w:firstRowLastColumn="0" w:lastRowFirstColumn="0" w:lastRowLastColumn="0"/>
            </w:pPr>
            <w:r>
              <w:t>61,537,946</w:t>
            </w:r>
          </w:p>
        </w:tc>
        <w:tc>
          <w:tcPr>
            <w:tcW w:w="1085" w:type="dxa"/>
          </w:tcPr>
          <w:p w:rsidR="00851A7B" w:rsidRPr="001C6AA2" w:rsidRDefault="00851A7B" w:rsidP="00851A7B">
            <w:pPr>
              <w:jc w:val="right"/>
              <w:cnfStyle w:val="000000000000" w:firstRow="0" w:lastRow="0" w:firstColumn="0" w:lastColumn="0" w:oddVBand="0" w:evenVBand="0" w:oddHBand="0" w:evenHBand="0" w:firstRowFirstColumn="0" w:firstRowLastColumn="0" w:lastRowFirstColumn="0" w:lastRowLastColumn="0"/>
            </w:pPr>
            <w:r w:rsidRPr="001C6AA2">
              <w:t>21.7</w:t>
            </w:r>
            <w:r>
              <w:t>0</w:t>
            </w:r>
            <w:r w:rsidRPr="001C6AA2">
              <w:t>%</w:t>
            </w:r>
          </w:p>
        </w:tc>
      </w:tr>
      <w:tr w:rsidR="00851A7B" w:rsidRPr="003404AB"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Devoluciones de la Ley de Ingresos por Pagar a Corto Plazo</w:t>
            </w:r>
          </w:p>
        </w:tc>
        <w:tc>
          <w:tcPr>
            <w:tcW w:w="1608" w:type="dxa"/>
            <w:noWrap/>
          </w:tcPr>
          <w:p w:rsidR="00851A7B" w:rsidRPr="00D0523C" w:rsidRDefault="00851A7B" w:rsidP="00247CA8">
            <w:pPr>
              <w:jc w:val="right"/>
              <w:cnfStyle w:val="000000100000" w:firstRow="0" w:lastRow="0" w:firstColumn="0" w:lastColumn="0" w:oddVBand="0" w:evenVBand="0" w:oddHBand="1" w:evenHBand="0" w:firstRowFirstColumn="0" w:firstRowLastColumn="0" w:lastRowFirstColumn="0" w:lastRowLastColumn="0"/>
            </w:pPr>
            <w:r w:rsidRPr="00D0523C">
              <w:t>141,398</w:t>
            </w:r>
          </w:p>
        </w:tc>
        <w:tc>
          <w:tcPr>
            <w:tcW w:w="1085" w:type="dxa"/>
          </w:tcPr>
          <w:p w:rsidR="00851A7B" w:rsidRPr="001C6AA2"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1C6AA2">
              <w:t>0.05%</w:t>
            </w:r>
          </w:p>
        </w:tc>
      </w:tr>
      <w:tr w:rsidR="00851A7B" w:rsidRPr="003404AB" w:rsidTr="00851A7B">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Cuentas por Pagar a Corto Plazo</w:t>
            </w:r>
          </w:p>
        </w:tc>
        <w:tc>
          <w:tcPr>
            <w:tcW w:w="1608" w:type="dxa"/>
            <w:noWrap/>
          </w:tcPr>
          <w:p w:rsidR="00851A7B" w:rsidRPr="00D0523C" w:rsidRDefault="00851A7B" w:rsidP="00247CA8">
            <w:pPr>
              <w:jc w:val="right"/>
              <w:cnfStyle w:val="000000000000" w:firstRow="0" w:lastRow="0" w:firstColumn="0" w:lastColumn="0" w:oddVBand="0" w:evenVBand="0" w:oddHBand="0" w:evenHBand="0" w:firstRowFirstColumn="0" w:firstRowLastColumn="0" w:lastRowFirstColumn="0" w:lastRowLastColumn="0"/>
            </w:pPr>
            <w:r w:rsidRPr="00D0523C">
              <w:t>68,861,62</w:t>
            </w:r>
            <w:r w:rsidR="00247CA8">
              <w:t>3</w:t>
            </w:r>
          </w:p>
        </w:tc>
        <w:tc>
          <w:tcPr>
            <w:tcW w:w="1085" w:type="dxa"/>
          </w:tcPr>
          <w:p w:rsidR="00851A7B" w:rsidRPr="001C6AA2" w:rsidRDefault="00851A7B" w:rsidP="00851A7B">
            <w:pPr>
              <w:jc w:val="right"/>
              <w:cnfStyle w:val="000000000000" w:firstRow="0" w:lastRow="0" w:firstColumn="0" w:lastColumn="0" w:oddVBand="0" w:evenVBand="0" w:oddHBand="0" w:evenHBand="0" w:firstRowFirstColumn="0" w:firstRowLastColumn="0" w:lastRowFirstColumn="0" w:lastRowLastColumn="0"/>
            </w:pPr>
            <w:r w:rsidRPr="001C6AA2">
              <w:t>24.29%</w:t>
            </w:r>
          </w:p>
        </w:tc>
      </w:tr>
      <w:tr w:rsidR="00851A7B" w:rsidRPr="003404AB"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Provisiones a Corto Plazo</w:t>
            </w:r>
          </w:p>
        </w:tc>
        <w:tc>
          <w:tcPr>
            <w:tcW w:w="1608" w:type="dxa"/>
            <w:noWrap/>
          </w:tcPr>
          <w:p w:rsidR="00851A7B" w:rsidRPr="00D0523C" w:rsidRDefault="00851A7B" w:rsidP="00247CA8">
            <w:pPr>
              <w:jc w:val="right"/>
              <w:cnfStyle w:val="000000100000" w:firstRow="0" w:lastRow="0" w:firstColumn="0" w:lastColumn="0" w:oddVBand="0" w:evenVBand="0" w:oddHBand="1" w:evenHBand="0" w:firstRowFirstColumn="0" w:firstRowLastColumn="0" w:lastRowFirstColumn="0" w:lastRowLastColumn="0"/>
            </w:pPr>
            <w:r w:rsidRPr="00D0523C">
              <w:t>5,854,888</w:t>
            </w:r>
          </w:p>
        </w:tc>
        <w:tc>
          <w:tcPr>
            <w:tcW w:w="1085" w:type="dxa"/>
          </w:tcPr>
          <w:p w:rsidR="00851A7B" w:rsidRPr="001C6AA2"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1C6AA2">
              <w:t>2.07%</w:t>
            </w:r>
          </w:p>
        </w:tc>
      </w:tr>
      <w:tr w:rsidR="00851A7B" w:rsidRPr="003404AB" w:rsidTr="00851A7B">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Ingresos por Clasificar</w:t>
            </w:r>
          </w:p>
        </w:tc>
        <w:tc>
          <w:tcPr>
            <w:tcW w:w="1608" w:type="dxa"/>
            <w:noWrap/>
          </w:tcPr>
          <w:p w:rsidR="00851A7B" w:rsidRPr="00D0523C" w:rsidRDefault="00851A7B" w:rsidP="00247CA8">
            <w:pPr>
              <w:jc w:val="right"/>
              <w:cnfStyle w:val="000000000000" w:firstRow="0" w:lastRow="0" w:firstColumn="0" w:lastColumn="0" w:oddVBand="0" w:evenVBand="0" w:oddHBand="0" w:evenHBand="0" w:firstRowFirstColumn="0" w:firstRowLastColumn="0" w:lastRowFirstColumn="0" w:lastRowLastColumn="0"/>
            </w:pPr>
            <w:r w:rsidRPr="00D0523C">
              <w:t>3,783,54</w:t>
            </w:r>
            <w:r w:rsidR="00247CA8">
              <w:t>7</w:t>
            </w:r>
          </w:p>
        </w:tc>
        <w:tc>
          <w:tcPr>
            <w:tcW w:w="1085" w:type="dxa"/>
          </w:tcPr>
          <w:p w:rsidR="00851A7B" w:rsidRPr="001C6AA2" w:rsidRDefault="00851A7B" w:rsidP="00851A7B">
            <w:pPr>
              <w:jc w:val="right"/>
              <w:cnfStyle w:val="000000000000" w:firstRow="0" w:lastRow="0" w:firstColumn="0" w:lastColumn="0" w:oddVBand="0" w:evenVBand="0" w:oddHBand="0" w:evenHBand="0" w:firstRowFirstColumn="0" w:firstRowLastColumn="0" w:lastRowFirstColumn="0" w:lastRowLastColumn="0"/>
            </w:pPr>
            <w:r w:rsidRPr="001C6AA2">
              <w:t>1.33%</w:t>
            </w:r>
          </w:p>
        </w:tc>
      </w:tr>
      <w:tr w:rsidR="00851A7B" w:rsidRPr="003404AB"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3404AB" w:rsidRDefault="00851A7B" w:rsidP="00851A7B">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Otros Pasivos Circulantes</w:t>
            </w:r>
          </w:p>
        </w:tc>
        <w:tc>
          <w:tcPr>
            <w:tcW w:w="1608" w:type="dxa"/>
            <w:noWrap/>
          </w:tcPr>
          <w:p w:rsidR="00851A7B" w:rsidRPr="00D0523C" w:rsidRDefault="00851A7B" w:rsidP="00247CA8">
            <w:pPr>
              <w:jc w:val="right"/>
              <w:cnfStyle w:val="000000100000" w:firstRow="0" w:lastRow="0" w:firstColumn="0" w:lastColumn="0" w:oddVBand="0" w:evenVBand="0" w:oddHBand="1" w:evenHBand="0" w:firstRowFirstColumn="0" w:firstRowLastColumn="0" w:lastRowFirstColumn="0" w:lastRowLastColumn="0"/>
            </w:pPr>
            <w:r w:rsidRPr="00D0523C">
              <w:t>842,47</w:t>
            </w:r>
            <w:r w:rsidR="00247CA8">
              <w:t>2</w:t>
            </w:r>
          </w:p>
        </w:tc>
        <w:tc>
          <w:tcPr>
            <w:tcW w:w="1085" w:type="dxa"/>
          </w:tcPr>
          <w:p w:rsidR="00851A7B" w:rsidRDefault="00851A7B" w:rsidP="00851A7B">
            <w:pPr>
              <w:jc w:val="right"/>
              <w:cnfStyle w:val="000000100000" w:firstRow="0" w:lastRow="0" w:firstColumn="0" w:lastColumn="0" w:oddVBand="0" w:evenVBand="0" w:oddHBand="1" w:evenHBand="0" w:firstRowFirstColumn="0" w:firstRowLastColumn="0" w:lastRowFirstColumn="0" w:lastRowLastColumn="0"/>
            </w:pPr>
            <w:r w:rsidRPr="001C6AA2">
              <w:t>0.30%</w:t>
            </w:r>
          </w:p>
        </w:tc>
      </w:tr>
      <w:tr w:rsidR="00851A7B" w:rsidRPr="003404AB" w:rsidTr="00851A7B">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851A7B" w:rsidRPr="004A2294" w:rsidRDefault="00851A7B" w:rsidP="00851A7B">
            <w:pPr>
              <w:rPr>
                <w:rFonts w:ascii="Arial" w:eastAsia="Times New Roman" w:hAnsi="Arial" w:cs="Arial"/>
                <w:sz w:val="18"/>
                <w:szCs w:val="20"/>
                <w:lang w:eastAsia="es-ES"/>
              </w:rPr>
            </w:pPr>
            <w:r w:rsidRPr="004A2294">
              <w:rPr>
                <w:rFonts w:ascii="Arial" w:eastAsia="Times New Roman" w:hAnsi="Arial" w:cs="Arial"/>
                <w:sz w:val="20"/>
                <w:szCs w:val="20"/>
                <w:lang w:eastAsia="es-ES"/>
              </w:rPr>
              <w:t>SUMA TOTAL</w:t>
            </w:r>
          </w:p>
        </w:tc>
        <w:tc>
          <w:tcPr>
            <w:tcW w:w="1608" w:type="dxa"/>
            <w:noWrap/>
          </w:tcPr>
          <w:p w:rsidR="00851A7B" w:rsidRDefault="00247CA8" w:rsidP="00247CA8">
            <w:pPr>
              <w:jc w:val="right"/>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w:instrText>
            </w:r>
            <w:r>
              <w:fldChar w:fldCharType="separate"/>
            </w:r>
            <w:r>
              <w:rPr>
                <w:noProof/>
              </w:rPr>
              <w:t>283,495,202</w:t>
            </w:r>
            <w:r>
              <w:fldChar w:fldCharType="end"/>
            </w:r>
          </w:p>
        </w:tc>
        <w:tc>
          <w:tcPr>
            <w:tcW w:w="1085" w:type="dxa"/>
            <w:vAlign w:val="bottom"/>
          </w:tcPr>
          <w:p w:rsidR="00851A7B" w:rsidRPr="002C2EA9" w:rsidRDefault="00851A7B" w:rsidP="00851A7B">
            <w:pPr>
              <w:jc w:val="right"/>
              <w:cnfStyle w:val="000000000000" w:firstRow="0" w:lastRow="0" w:firstColumn="0" w:lastColumn="0" w:oddVBand="0" w:evenVBand="0" w:oddHBand="0" w:evenHBand="0" w:firstRowFirstColumn="0" w:firstRowLastColumn="0" w:lastRowFirstColumn="0" w:lastRowLastColumn="0"/>
              <w:rPr>
                <w:rFonts w:ascii="Arial" w:hAnsi="Arial" w:cs="Arial"/>
                <w:b/>
                <w:i/>
                <w:color w:val="000000"/>
                <w:sz w:val="18"/>
                <w:szCs w:val="18"/>
              </w:rPr>
            </w:pPr>
            <w:r>
              <w:rPr>
                <w:rFonts w:ascii="Arial" w:hAnsi="Arial" w:cs="Arial"/>
                <w:b/>
                <w:i/>
                <w:color w:val="000000"/>
                <w:sz w:val="18"/>
                <w:szCs w:val="18"/>
              </w:rPr>
              <w:fldChar w:fldCharType="begin"/>
            </w:r>
            <w:r>
              <w:rPr>
                <w:rFonts w:ascii="Arial" w:hAnsi="Arial" w:cs="Arial"/>
                <w:b/>
                <w:i/>
                <w:color w:val="000000"/>
                <w:sz w:val="18"/>
                <w:szCs w:val="18"/>
              </w:rPr>
              <w:instrText xml:space="preserve"> =SUM(ABOVE)*100 \# "0.00%" </w:instrText>
            </w:r>
            <w:r>
              <w:rPr>
                <w:rFonts w:ascii="Arial" w:hAnsi="Arial" w:cs="Arial"/>
                <w:b/>
                <w:i/>
                <w:color w:val="000000"/>
                <w:sz w:val="18"/>
                <w:szCs w:val="18"/>
              </w:rPr>
              <w:fldChar w:fldCharType="separate"/>
            </w:r>
            <w:r>
              <w:rPr>
                <w:rFonts w:ascii="Arial" w:hAnsi="Arial" w:cs="Arial"/>
                <w:b/>
                <w:i/>
                <w:noProof/>
                <w:color w:val="000000"/>
                <w:sz w:val="18"/>
                <w:szCs w:val="18"/>
              </w:rPr>
              <w:t>100.00%</w:t>
            </w:r>
            <w:r>
              <w:rPr>
                <w:rFonts w:ascii="Arial" w:hAnsi="Arial" w:cs="Arial"/>
                <w:b/>
                <w:i/>
                <w:color w:val="000000"/>
                <w:sz w:val="18"/>
                <w:szCs w:val="18"/>
              </w:rPr>
              <w:fldChar w:fldCharType="end"/>
            </w:r>
          </w:p>
        </w:tc>
      </w:tr>
    </w:tbl>
    <w:p w:rsidR="00AC7F8A" w:rsidRPr="003404AB" w:rsidRDefault="00AC7F8A" w:rsidP="00AC7F8A">
      <w:pPr>
        <w:pStyle w:val="ROMANOS"/>
        <w:spacing w:after="0" w:line="240" w:lineRule="exact"/>
        <w:ind w:left="723" w:firstLine="0"/>
        <w:rPr>
          <w:b/>
          <w:lang w:val="es-MX"/>
        </w:rPr>
      </w:pPr>
    </w:p>
    <w:p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Pr="00C85D39">
        <w:rPr>
          <w:lang w:val="es-MX"/>
        </w:rPr>
        <w:t xml:space="preserve"> no tiene recursos en Fondos de Bienes de Terceros en Administración y/o en Garantía.</w:t>
      </w:r>
    </w:p>
    <w:p w:rsidR="00AC7F8A" w:rsidRDefault="00AC7F8A" w:rsidP="00AC7F8A">
      <w:pPr>
        <w:pStyle w:val="ROMANOS"/>
        <w:spacing w:after="0" w:line="240" w:lineRule="exact"/>
        <w:rPr>
          <w:lang w:val="es-MX"/>
        </w:rPr>
      </w:pPr>
      <w:r>
        <w:rPr>
          <w:lang w:val="es-MX"/>
        </w:rPr>
        <w:tab/>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483D82">
        <w:rPr>
          <w:lang w:val="es-MX"/>
        </w:rPr>
        <w:t>o tiene pasivos a largo plazo</w:t>
      </w:r>
      <w:r w:rsidRPr="00630DB0">
        <w:rPr>
          <w:lang w:val="es-MX"/>
        </w:rPr>
        <w:t>.</w:t>
      </w: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2644BD" w:rsidRDefault="002644BD" w:rsidP="00AC7F8A">
      <w:pPr>
        <w:pStyle w:val="ROMANOS"/>
        <w:spacing w:after="0" w:line="240" w:lineRule="exact"/>
        <w:ind w:left="1008" w:firstLine="0"/>
        <w:rPr>
          <w:lang w:val="es-MX"/>
        </w:rPr>
      </w:pPr>
    </w:p>
    <w:p w:rsidR="002644BD" w:rsidRDefault="002644BD" w:rsidP="00AC7F8A">
      <w:pPr>
        <w:pStyle w:val="ROMANOS"/>
        <w:spacing w:after="0" w:line="240" w:lineRule="exact"/>
        <w:ind w:left="1008" w:firstLine="0"/>
        <w:rPr>
          <w:lang w:val="es-MX"/>
        </w:rPr>
      </w:pPr>
    </w:p>
    <w:p w:rsidR="002644BD" w:rsidRDefault="002644BD"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Pr="00630DB0" w:rsidRDefault="00AC7F8A" w:rsidP="002644BD">
      <w:pPr>
        <w:pStyle w:val="INCISO"/>
        <w:spacing w:after="0" w:line="240" w:lineRule="exact"/>
        <w:ind w:left="360"/>
        <w:jc w:val="left"/>
        <w:rPr>
          <w:b/>
          <w:smallCaps/>
        </w:rPr>
      </w:pPr>
      <w:r w:rsidRPr="00630DB0">
        <w:rPr>
          <w:b/>
          <w:smallCaps/>
        </w:rPr>
        <w:t>II)</w:t>
      </w:r>
      <w:r w:rsidRPr="00630DB0">
        <w:rPr>
          <w:b/>
          <w:smallCaps/>
        </w:rPr>
        <w:tab/>
        <w:t>Notas al Estado de Actividades</w:t>
      </w:r>
    </w:p>
    <w:p w:rsidR="00AC7F8A" w:rsidRDefault="00AC7F8A" w:rsidP="00AC7F8A">
      <w:pPr>
        <w:pStyle w:val="INCISO"/>
        <w:spacing w:after="0" w:line="240" w:lineRule="exact"/>
        <w:ind w:left="360"/>
        <w:rPr>
          <w:b/>
          <w:smallCaps/>
        </w:rPr>
      </w:pPr>
    </w:p>
    <w:p w:rsidR="00AC7F8A" w:rsidRDefault="00AC7F8A" w:rsidP="00AC7F8A">
      <w:pPr>
        <w:tabs>
          <w:tab w:val="left" w:pos="284"/>
        </w:tabs>
        <w:ind w:left="284"/>
        <w:jc w:val="both"/>
        <w:rPr>
          <w:rFonts w:ascii="Arial" w:hAnsi="Arial" w:cs="Arial"/>
          <w:sz w:val="18"/>
          <w:szCs w:val="18"/>
        </w:rPr>
      </w:pPr>
      <w:r>
        <w:rPr>
          <w:rFonts w:ascii="Arial" w:hAnsi="Arial" w:cs="Arial"/>
          <w:sz w:val="18"/>
          <w:szCs w:val="18"/>
          <w:lang w:val="es-ES"/>
        </w:rPr>
        <w:t>Al cierre del periodo que se presenta</w:t>
      </w:r>
      <w:r w:rsidRPr="0073056A">
        <w:rPr>
          <w:rFonts w:ascii="Arial" w:hAnsi="Arial" w:cs="Arial"/>
          <w:sz w:val="18"/>
          <w:szCs w:val="18"/>
        </w:rPr>
        <w:t xml:space="preserve">, </w:t>
      </w:r>
      <w:r>
        <w:rPr>
          <w:rFonts w:ascii="Arial" w:hAnsi="Arial" w:cs="Arial"/>
          <w:sz w:val="18"/>
          <w:szCs w:val="18"/>
        </w:rPr>
        <w:t xml:space="preserve">los </w:t>
      </w:r>
      <w:r w:rsidRPr="0073056A">
        <w:rPr>
          <w:rFonts w:ascii="Arial" w:hAnsi="Arial" w:cs="Arial"/>
          <w:sz w:val="18"/>
          <w:szCs w:val="18"/>
        </w:rPr>
        <w:t xml:space="preserve">ingresos </w:t>
      </w:r>
      <w:r>
        <w:rPr>
          <w:rFonts w:ascii="Arial" w:hAnsi="Arial" w:cs="Arial"/>
          <w:sz w:val="18"/>
          <w:szCs w:val="18"/>
        </w:rPr>
        <w:t xml:space="preserve">y otros beneficios obtenidos ascienden a </w:t>
      </w:r>
      <w:r w:rsidRPr="0073056A">
        <w:rPr>
          <w:rFonts w:ascii="Arial" w:hAnsi="Arial" w:cs="Arial"/>
          <w:sz w:val="18"/>
          <w:szCs w:val="18"/>
        </w:rPr>
        <w:t xml:space="preserve">un monto de </w:t>
      </w:r>
      <w:r w:rsidRPr="00BD4CA0">
        <w:rPr>
          <w:rFonts w:ascii="Arial" w:hAnsi="Arial" w:cs="Arial"/>
          <w:b/>
          <w:i/>
          <w:sz w:val="18"/>
          <w:szCs w:val="18"/>
        </w:rPr>
        <w:t xml:space="preserve">$ </w:t>
      </w:r>
      <w:r w:rsidR="00247CA8">
        <w:rPr>
          <w:rFonts w:ascii="Arial" w:hAnsi="Arial" w:cs="Arial"/>
          <w:b/>
          <w:i/>
          <w:sz w:val="18"/>
          <w:szCs w:val="18"/>
        </w:rPr>
        <w:t>1,292,158,016</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Pr="00BD4CA0">
        <w:rPr>
          <w:rFonts w:ascii="Arial" w:hAnsi="Arial" w:cs="Arial"/>
          <w:b/>
          <w:i/>
          <w:sz w:val="18"/>
          <w:szCs w:val="18"/>
        </w:rPr>
        <w:t xml:space="preserve">$ </w:t>
      </w:r>
      <w:r w:rsidR="00851A7B">
        <w:rPr>
          <w:rFonts w:ascii="Arial" w:hAnsi="Arial" w:cs="Arial"/>
          <w:b/>
          <w:i/>
          <w:sz w:val="18"/>
          <w:szCs w:val="18"/>
        </w:rPr>
        <w:t>1,067,019,276</w:t>
      </w:r>
      <w:r>
        <w:rPr>
          <w:rFonts w:ascii="Arial" w:hAnsi="Arial" w:cs="Arial"/>
          <w:sz w:val="18"/>
          <w:szCs w:val="18"/>
        </w:rPr>
        <w:t>; obteniéndose un remanente</w:t>
      </w:r>
      <w:r w:rsidRPr="0073056A">
        <w:rPr>
          <w:rFonts w:ascii="Arial" w:hAnsi="Arial" w:cs="Arial"/>
          <w:sz w:val="18"/>
          <w:szCs w:val="18"/>
        </w:rPr>
        <w:t xml:space="preserve"> </w:t>
      </w:r>
      <w:r>
        <w:rPr>
          <w:rFonts w:ascii="Arial" w:hAnsi="Arial" w:cs="Arial"/>
          <w:sz w:val="18"/>
          <w:szCs w:val="18"/>
        </w:rPr>
        <w:t>al cierre</w:t>
      </w:r>
      <w:r w:rsidRPr="0073056A">
        <w:rPr>
          <w:rFonts w:ascii="Arial" w:hAnsi="Arial" w:cs="Arial"/>
          <w:sz w:val="18"/>
          <w:szCs w:val="18"/>
        </w:rPr>
        <w:t xml:space="preserve"> </w:t>
      </w:r>
      <w:r>
        <w:rPr>
          <w:rFonts w:ascii="Arial" w:hAnsi="Arial" w:cs="Arial"/>
          <w:sz w:val="18"/>
          <w:szCs w:val="18"/>
        </w:rPr>
        <w:t>d</w:t>
      </w:r>
      <w:r w:rsidRPr="0073056A">
        <w:rPr>
          <w:rFonts w:ascii="Arial" w:hAnsi="Arial" w:cs="Arial"/>
          <w:sz w:val="18"/>
          <w:szCs w:val="18"/>
        </w:rPr>
        <w:t xml:space="preserve">el </w:t>
      </w:r>
      <w:r>
        <w:rPr>
          <w:rFonts w:ascii="Arial" w:hAnsi="Arial" w:cs="Arial"/>
          <w:sz w:val="18"/>
          <w:szCs w:val="18"/>
        </w:rPr>
        <w:t>periodo</w:t>
      </w:r>
      <w:r w:rsidRPr="0073056A">
        <w:rPr>
          <w:rFonts w:ascii="Arial" w:hAnsi="Arial" w:cs="Arial"/>
          <w:sz w:val="18"/>
          <w:szCs w:val="18"/>
        </w:rPr>
        <w:t xml:space="preserve"> </w:t>
      </w:r>
      <w:r>
        <w:rPr>
          <w:rFonts w:ascii="Arial" w:hAnsi="Arial" w:cs="Arial"/>
          <w:sz w:val="18"/>
          <w:szCs w:val="18"/>
        </w:rPr>
        <w:t xml:space="preserve">que se presenta </w:t>
      </w:r>
      <w:r w:rsidRPr="0073056A">
        <w:rPr>
          <w:rFonts w:ascii="Arial" w:hAnsi="Arial" w:cs="Arial"/>
          <w:sz w:val="18"/>
          <w:szCs w:val="18"/>
        </w:rPr>
        <w:t>por la cantidad de</w:t>
      </w:r>
      <w:r>
        <w:rPr>
          <w:rFonts w:ascii="Arial" w:hAnsi="Arial" w:cs="Arial"/>
          <w:sz w:val="18"/>
          <w:szCs w:val="18"/>
        </w:rPr>
        <w:t xml:space="preserve"> </w:t>
      </w:r>
      <w:r w:rsidRPr="00BD4CA0">
        <w:rPr>
          <w:rFonts w:ascii="Arial" w:hAnsi="Arial" w:cs="Arial"/>
          <w:b/>
          <w:sz w:val="18"/>
          <w:szCs w:val="18"/>
        </w:rPr>
        <w:t xml:space="preserve">$ </w:t>
      </w:r>
      <w:r w:rsidR="002C2EA9">
        <w:rPr>
          <w:rFonts w:ascii="Arial" w:hAnsi="Arial" w:cs="Arial"/>
          <w:b/>
          <w:sz w:val="18"/>
          <w:szCs w:val="18"/>
        </w:rPr>
        <w:t>2</w:t>
      </w:r>
      <w:r w:rsidR="00851A7B">
        <w:rPr>
          <w:rFonts w:ascii="Arial" w:hAnsi="Arial" w:cs="Arial"/>
          <w:b/>
          <w:sz w:val="18"/>
          <w:szCs w:val="18"/>
        </w:rPr>
        <w:t>2</w:t>
      </w:r>
      <w:r>
        <w:rPr>
          <w:rFonts w:ascii="Arial" w:hAnsi="Arial" w:cs="Arial"/>
          <w:b/>
          <w:sz w:val="18"/>
          <w:szCs w:val="18"/>
        </w:rPr>
        <w:t>5</w:t>
      </w:r>
      <w:r w:rsidRPr="00BD4CA0">
        <w:rPr>
          <w:rFonts w:ascii="Arial" w:hAnsi="Arial" w:cs="Arial"/>
          <w:b/>
          <w:sz w:val="18"/>
          <w:szCs w:val="18"/>
        </w:rPr>
        <w:t>,</w:t>
      </w:r>
      <w:r w:rsidR="00851A7B">
        <w:rPr>
          <w:rFonts w:ascii="Arial" w:hAnsi="Arial" w:cs="Arial"/>
          <w:b/>
          <w:sz w:val="18"/>
          <w:szCs w:val="18"/>
        </w:rPr>
        <w:t>138</w:t>
      </w:r>
      <w:r w:rsidRPr="00BD4CA0">
        <w:rPr>
          <w:rFonts w:ascii="Arial" w:hAnsi="Arial" w:cs="Arial"/>
          <w:b/>
          <w:sz w:val="18"/>
          <w:szCs w:val="18"/>
        </w:rPr>
        <w:t>,</w:t>
      </w:r>
      <w:r w:rsidR="00851A7B">
        <w:rPr>
          <w:rFonts w:ascii="Arial" w:hAnsi="Arial" w:cs="Arial"/>
          <w:b/>
          <w:sz w:val="18"/>
          <w:szCs w:val="18"/>
        </w:rPr>
        <w:t>7</w:t>
      </w:r>
      <w:r w:rsidR="00247CA8">
        <w:rPr>
          <w:rFonts w:ascii="Arial" w:hAnsi="Arial" w:cs="Arial"/>
          <w:b/>
          <w:sz w:val="18"/>
          <w:szCs w:val="18"/>
        </w:rPr>
        <w:t>40</w:t>
      </w:r>
      <w:r w:rsidR="00851A7B">
        <w:rPr>
          <w:rFonts w:ascii="Arial" w:hAnsi="Arial" w:cs="Arial"/>
          <w:sz w:val="18"/>
          <w:szCs w:val="18"/>
        </w:rPr>
        <w:t>.</w:t>
      </w:r>
    </w:p>
    <w:p w:rsidR="00AC7F8A" w:rsidRPr="00630DB0" w:rsidRDefault="00AC7F8A" w:rsidP="00AC7F8A">
      <w:pPr>
        <w:pStyle w:val="INCISO"/>
        <w:spacing w:after="0" w:line="240" w:lineRule="exact"/>
        <w:ind w:left="360"/>
        <w:rPr>
          <w:b/>
          <w:smallCaps/>
        </w:rPr>
      </w:pPr>
    </w:p>
    <w:p w:rsidR="00AC7F8A" w:rsidRPr="00630DB0" w:rsidRDefault="00AC7F8A" w:rsidP="00AC7F8A">
      <w:pPr>
        <w:pStyle w:val="ROMANOS"/>
        <w:spacing w:after="0" w:line="240" w:lineRule="exact"/>
        <w:rPr>
          <w:b/>
          <w:lang w:val="es-MX"/>
        </w:rPr>
      </w:pPr>
      <w:r w:rsidRPr="00630DB0">
        <w:rPr>
          <w:b/>
          <w:lang w:val="es-MX"/>
        </w:rPr>
        <w:t>Ingresos de Gestión</w:t>
      </w:r>
    </w:p>
    <w:p w:rsidR="00AC7F8A" w:rsidRPr="009711C5"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 xml:space="preserve">bancarias por un monto de </w:t>
      </w:r>
      <w:r w:rsidRPr="00247CA8">
        <w:rPr>
          <w:b/>
          <w:lang w:val="es-MX"/>
        </w:rPr>
        <w:t>$</w:t>
      </w:r>
      <w:r w:rsidR="00CE4B46" w:rsidRPr="00247CA8">
        <w:rPr>
          <w:b/>
          <w:lang w:val="es-MX"/>
        </w:rPr>
        <w:t>244</w:t>
      </w:r>
      <w:r w:rsidR="00362148" w:rsidRPr="00247CA8">
        <w:rPr>
          <w:b/>
          <w:lang w:val="es-MX"/>
        </w:rPr>
        <w:t>,</w:t>
      </w:r>
      <w:r w:rsidR="00CE4B46" w:rsidRPr="00247CA8">
        <w:rPr>
          <w:b/>
          <w:lang w:val="es-MX"/>
        </w:rPr>
        <w:t>7</w:t>
      </w:r>
      <w:r w:rsidR="00362148" w:rsidRPr="00247CA8">
        <w:rPr>
          <w:b/>
          <w:lang w:val="es-MX"/>
        </w:rPr>
        <w:t>9</w:t>
      </w:r>
      <w:r w:rsidR="00CE4B46" w:rsidRPr="00247CA8">
        <w:rPr>
          <w:b/>
          <w:lang w:val="es-MX"/>
        </w:rPr>
        <w:t>1</w:t>
      </w:r>
      <w:r w:rsidRPr="00362148">
        <w:rPr>
          <w:lang w:val="es-MX"/>
        </w:rPr>
        <w:t xml:space="preserve">, </w:t>
      </w:r>
      <w:r w:rsidR="00362148" w:rsidRPr="00362148">
        <w:rPr>
          <w:lang w:val="es-MX"/>
        </w:rPr>
        <w:t>los</w:t>
      </w:r>
      <w:r w:rsidRPr="00362148">
        <w:rPr>
          <w:lang w:val="es-MX"/>
        </w:rPr>
        <w:t xml:space="preserve"> ingresos en el rubro de ventas de bienes y servicios </w:t>
      </w:r>
      <w:r w:rsidR="00CE4B46">
        <w:rPr>
          <w:lang w:val="es-MX"/>
        </w:rPr>
        <w:t xml:space="preserve">corresponden a Cuotas de Recuperación </w:t>
      </w:r>
      <w:r w:rsidRPr="00362148">
        <w:rPr>
          <w:lang w:val="es-MX"/>
        </w:rPr>
        <w:t xml:space="preserve">por un monto de </w:t>
      </w:r>
      <w:r w:rsidRPr="00247CA8">
        <w:rPr>
          <w:b/>
          <w:lang w:val="es-MX"/>
        </w:rPr>
        <w:t xml:space="preserve">$ </w:t>
      </w:r>
      <w:r w:rsidR="00CE4B46" w:rsidRPr="00247CA8">
        <w:rPr>
          <w:b/>
          <w:lang w:val="es-MX"/>
        </w:rPr>
        <w:t>6</w:t>
      </w:r>
      <w:r w:rsidR="009711C5" w:rsidRPr="00247CA8">
        <w:rPr>
          <w:b/>
          <w:lang w:val="es-MX"/>
        </w:rPr>
        <w:t>,</w:t>
      </w:r>
      <w:r w:rsidR="00362148" w:rsidRPr="00247CA8">
        <w:rPr>
          <w:b/>
          <w:lang w:val="es-MX"/>
        </w:rPr>
        <w:t>4</w:t>
      </w:r>
      <w:r w:rsidR="00CE4B46" w:rsidRPr="00247CA8">
        <w:rPr>
          <w:b/>
          <w:lang w:val="es-MX"/>
        </w:rPr>
        <w:t>00</w:t>
      </w:r>
      <w:r w:rsidR="009711C5" w:rsidRPr="00247CA8">
        <w:rPr>
          <w:b/>
          <w:lang w:val="es-MX"/>
        </w:rPr>
        <w:t>,</w:t>
      </w:r>
      <w:r w:rsidR="00362148" w:rsidRPr="00247CA8">
        <w:rPr>
          <w:b/>
          <w:lang w:val="es-MX"/>
        </w:rPr>
        <w:t>9</w:t>
      </w:r>
      <w:r w:rsidR="00CE4B46" w:rsidRPr="00247CA8">
        <w:rPr>
          <w:b/>
          <w:lang w:val="es-MX"/>
        </w:rPr>
        <w:t>16</w:t>
      </w:r>
      <w:r w:rsidRPr="00362148">
        <w:rPr>
          <w:lang w:val="es-MX"/>
        </w:rPr>
        <w:t xml:space="preserve"> y se obtuvieron ingreso</w:t>
      </w:r>
      <w:r w:rsidR="00CE4B46">
        <w:rPr>
          <w:lang w:val="es-MX"/>
        </w:rPr>
        <w:t xml:space="preserve">s en el rubro de Aprovechamientos </w:t>
      </w:r>
      <w:r w:rsidRPr="00362148">
        <w:rPr>
          <w:lang w:val="es-MX"/>
        </w:rPr>
        <w:t xml:space="preserve">por sanciones a proveedores por un monto de </w:t>
      </w:r>
      <w:r w:rsidRPr="00247CA8">
        <w:rPr>
          <w:b/>
          <w:lang w:val="es-MX"/>
        </w:rPr>
        <w:t xml:space="preserve">$ </w:t>
      </w:r>
      <w:r w:rsidR="00CE4B46" w:rsidRPr="00247CA8">
        <w:rPr>
          <w:b/>
          <w:lang w:val="es-MX"/>
        </w:rPr>
        <w:t>79,336</w:t>
      </w:r>
      <w:r w:rsidR="00362148">
        <w:rPr>
          <w:lang w:val="es-MX"/>
        </w:rPr>
        <w:t>.</w:t>
      </w:r>
    </w:p>
    <w:p w:rsidR="00AC7F8A" w:rsidRDefault="00AC7F8A" w:rsidP="00AC7F8A">
      <w:pPr>
        <w:pStyle w:val="ROMANOS"/>
        <w:tabs>
          <w:tab w:val="clear" w:pos="720"/>
        </w:tabs>
        <w:spacing w:after="0" w:line="240" w:lineRule="exact"/>
        <w:ind w:left="284" w:firstLine="4"/>
        <w:rPr>
          <w:highlight w:val="yellow"/>
          <w:lang w:val="es-MX"/>
        </w:rPr>
      </w:pPr>
    </w:p>
    <w:p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lastRenderedPageBreak/>
        <w:t>Participaciones, Aportaciones, Transferencias, Asignaciones, Subsidios y Otras Ayudas</w:t>
      </w:r>
    </w:p>
    <w:p w:rsidR="00AC7F8A" w:rsidRDefault="00AC7F8A"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otras ayudas</w:t>
      </w:r>
      <w:r w:rsidRPr="009C379E">
        <w:rPr>
          <w:rFonts w:ascii="Arial" w:hAnsi="Arial" w:cs="Arial"/>
          <w:sz w:val="18"/>
          <w:szCs w:val="18"/>
        </w:rPr>
        <w:t>.</w:t>
      </w:r>
      <w:r>
        <w:rPr>
          <w:rFonts w:ascii="Arial" w:hAnsi="Arial" w:cs="Arial"/>
          <w:sz w:val="18"/>
          <w:szCs w:val="18"/>
        </w:rPr>
        <w:t xml:space="preserve"> </w:t>
      </w:r>
      <w:r w:rsidRPr="00DA5430">
        <w:rPr>
          <w:rFonts w:ascii="Arial" w:hAnsi="Arial" w:cs="Arial"/>
          <w:sz w:val="18"/>
          <w:szCs w:val="18"/>
        </w:rPr>
        <w:t xml:space="preserve">Éste rubro es el más significativo, ya que representa el </w:t>
      </w:r>
      <w:r w:rsidRPr="00B74AA8">
        <w:rPr>
          <w:rFonts w:ascii="Arial" w:hAnsi="Arial" w:cs="Arial"/>
          <w:b/>
          <w:sz w:val="18"/>
          <w:szCs w:val="18"/>
        </w:rPr>
        <w:t>99</w:t>
      </w:r>
      <w:r w:rsidR="009711C5">
        <w:rPr>
          <w:rFonts w:ascii="Arial" w:hAnsi="Arial" w:cs="Arial"/>
          <w:b/>
          <w:sz w:val="18"/>
          <w:szCs w:val="18"/>
        </w:rPr>
        <w:t>.</w:t>
      </w:r>
      <w:r w:rsidR="00CE4B46">
        <w:rPr>
          <w:rFonts w:ascii="Arial" w:hAnsi="Arial" w:cs="Arial"/>
          <w:b/>
          <w:sz w:val="18"/>
          <w:szCs w:val="18"/>
        </w:rPr>
        <w:t>46</w:t>
      </w:r>
      <w:r w:rsidRPr="00B74AA8">
        <w:rPr>
          <w:rFonts w:ascii="Arial" w:hAnsi="Arial" w:cs="Arial"/>
          <w:b/>
          <w:sz w:val="18"/>
          <w:szCs w:val="18"/>
        </w:rPr>
        <w:t>%</w:t>
      </w:r>
      <w:r w:rsidRPr="00DA5430">
        <w:rPr>
          <w:rFonts w:ascii="Arial" w:hAnsi="Arial" w:cs="Arial"/>
          <w:sz w:val="18"/>
          <w:szCs w:val="18"/>
        </w:rPr>
        <w:t xml:space="preserve"> del total de los ingresos obtenidos</w:t>
      </w:r>
      <w:r>
        <w:rPr>
          <w:rFonts w:ascii="Arial" w:hAnsi="Arial" w:cs="Arial"/>
          <w:sz w:val="18"/>
          <w:szCs w:val="18"/>
        </w:rPr>
        <w:t xml:space="preserve">, con un monto total </w:t>
      </w:r>
      <w:r w:rsidRPr="009711C5">
        <w:rPr>
          <w:rFonts w:ascii="Arial" w:hAnsi="Arial" w:cs="Arial"/>
          <w:sz w:val="18"/>
          <w:szCs w:val="18"/>
        </w:rPr>
        <w:t xml:space="preserve">de </w:t>
      </w:r>
      <w:r w:rsidRPr="009711C5">
        <w:rPr>
          <w:rFonts w:ascii="Arial" w:hAnsi="Arial" w:cs="Arial"/>
          <w:b/>
          <w:sz w:val="18"/>
          <w:szCs w:val="18"/>
        </w:rPr>
        <w:t xml:space="preserve">$ </w:t>
      </w:r>
      <w:r w:rsidR="00CE4B46">
        <w:rPr>
          <w:rFonts w:ascii="Arial" w:hAnsi="Arial" w:cs="Arial"/>
          <w:b/>
          <w:sz w:val="18"/>
          <w:szCs w:val="18"/>
        </w:rPr>
        <w:t>1,285,197,398</w:t>
      </w:r>
      <w:r w:rsidRPr="009711C5">
        <w:rPr>
          <w:rFonts w:ascii="Arial" w:hAnsi="Arial" w:cs="Arial"/>
          <w:sz w:val="18"/>
          <w:szCs w:val="18"/>
        </w:rPr>
        <w:t>,</w:t>
      </w:r>
      <w:r>
        <w:rPr>
          <w:rFonts w:ascii="Arial" w:hAnsi="Arial" w:cs="Arial"/>
          <w:sz w:val="18"/>
          <w:szCs w:val="18"/>
        </w:rPr>
        <w:t xml:space="preserve"> in</w:t>
      </w:r>
      <w:r w:rsidR="00C95D68">
        <w:rPr>
          <w:rFonts w:ascii="Arial" w:hAnsi="Arial" w:cs="Arial"/>
          <w:sz w:val="18"/>
          <w:szCs w:val="18"/>
        </w:rPr>
        <w:t>tegrados de la siguiente manera:</w:t>
      </w:r>
    </w:p>
    <w:p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decuadrcula7concolores-nfasis3"/>
        <w:tblW w:w="9907" w:type="dxa"/>
        <w:tblLayout w:type="fixed"/>
        <w:tblLook w:val="04A0" w:firstRow="1" w:lastRow="0" w:firstColumn="1" w:lastColumn="0" w:noHBand="0" w:noVBand="1"/>
      </w:tblPr>
      <w:tblGrid>
        <w:gridCol w:w="7233"/>
        <w:gridCol w:w="1680"/>
        <w:gridCol w:w="994"/>
      </w:tblGrid>
      <w:tr w:rsidR="00AC7F8A" w:rsidRPr="00B74AA8" w:rsidTr="00AD6257">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7233" w:type="dxa"/>
            <w:hideMark/>
          </w:tcPr>
          <w:p w:rsidR="00AC7F8A" w:rsidRPr="00B74AA8" w:rsidRDefault="00AC7F8A"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680" w:type="dxa"/>
            <w:hideMark/>
          </w:tcPr>
          <w:p w:rsidR="00AC7F8A" w:rsidRPr="00B74AA8"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c>
          <w:tcPr>
            <w:tcW w:w="994" w:type="dxa"/>
            <w:hideMark/>
          </w:tcPr>
          <w:p w:rsidR="00AC7F8A" w:rsidRPr="00B74AA8"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PARTICIPACIONES ESTATALES</w:t>
            </w:r>
          </w:p>
        </w:tc>
        <w:tc>
          <w:tcPr>
            <w:tcW w:w="1680" w:type="dxa"/>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24,448,000.08</w:t>
            </w:r>
          </w:p>
        </w:tc>
        <w:tc>
          <w:tcPr>
            <w:tcW w:w="994" w:type="dxa"/>
            <w:noWrap/>
            <w:hideMark/>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color w:val="auto"/>
              </w:rPr>
            </w:pPr>
            <w:r w:rsidRPr="00AD6257">
              <w:rPr>
                <w:color w:val="auto"/>
              </w:rPr>
              <w:t>1.90%</w:t>
            </w:r>
          </w:p>
        </w:tc>
      </w:tr>
      <w:tr w:rsidR="00AD6257" w:rsidRPr="00B74AA8"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INGRESOS DERIVADOS DE FUENTES LOCALES</w:t>
            </w:r>
          </w:p>
        </w:tc>
        <w:tc>
          <w:tcPr>
            <w:tcW w:w="1680" w:type="dxa"/>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109,758,258.50</w:t>
            </w:r>
          </w:p>
        </w:tc>
        <w:tc>
          <w:tcPr>
            <w:tcW w:w="994" w:type="dxa"/>
            <w:noWrap/>
            <w:hideMark/>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color w:val="auto"/>
              </w:rPr>
            </w:pPr>
            <w:r w:rsidRPr="00AD6257">
              <w:rPr>
                <w:color w:val="auto"/>
              </w:rPr>
              <w:t>8.54%</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FONDO DE APORTACIONES PARA LOS SERVICIOS DE SALUD (FASSA)</w:t>
            </w:r>
          </w:p>
        </w:tc>
        <w:tc>
          <w:tcPr>
            <w:tcW w:w="1680" w:type="dxa"/>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861,241,088.00</w:t>
            </w:r>
          </w:p>
        </w:tc>
        <w:tc>
          <w:tcPr>
            <w:tcW w:w="994" w:type="dxa"/>
            <w:noWrap/>
            <w:hideMark/>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color w:val="auto"/>
              </w:rPr>
            </w:pPr>
            <w:r w:rsidRPr="00AD6257">
              <w:rPr>
                <w:color w:val="auto"/>
              </w:rPr>
              <w:t>67.0</w:t>
            </w:r>
            <w:r>
              <w:rPr>
                <w:color w:val="auto"/>
              </w:rPr>
              <w:t>0</w:t>
            </w:r>
            <w:r w:rsidRPr="00AD6257">
              <w:rPr>
                <w:color w:val="auto"/>
              </w:rPr>
              <w:t>%</w:t>
            </w:r>
          </w:p>
        </w:tc>
      </w:tr>
      <w:tr w:rsidR="00AD6257" w:rsidRPr="00B74AA8"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AFASPE</w:t>
            </w:r>
          </w:p>
        </w:tc>
        <w:tc>
          <w:tcPr>
            <w:tcW w:w="1680" w:type="dxa"/>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43,389,681.76</w:t>
            </w:r>
          </w:p>
        </w:tc>
        <w:tc>
          <w:tcPr>
            <w:tcW w:w="994" w:type="dxa"/>
            <w:noWrap/>
            <w:hideMark/>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color w:val="auto"/>
              </w:rPr>
            </w:pPr>
            <w:r w:rsidRPr="00AD6257">
              <w:rPr>
                <w:color w:val="auto"/>
              </w:rPr>
              <w:t>3.38%</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FORTALECIEMIENTO A LA ATENCION MEDICA</w:t>
            </w:r>
          </w:p>
        </w:tc>
        <w:tc>
          <w:tcPr>
            <w:tcW w:w="1680" w:type="dxa"/>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4,708,582.08</w:t>
            </w:r>
          </w:p>
        </w:tc>
        <w:tc>
          <w:tcPr>
            <w:tcW w:w="994" w:type="dxa"/>
            <w:noWrap/>
            <w:hideMark/>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color w:val="auto"/>
              </w:rPr>
            </w:pPr>
            <w:r w:rsidRPr="00AD6257">
              <w:rPr>
                <w:color w:val="auto"/>
              </w:rPr>
              <w:t>0.37%</w:t>
            </w:r>
          </w:p>
        </w:tc>
      </w:tr>
      <w:tr w:rsidR="00AD6257" w:rsidRPr="00B74AA8"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AD6257" w:rsidRDefault="00AD6257" w:rsidP="00AD6257">
            <w:pPr>
              <w:jc w:val="left"/>
              <w:rPr>
                <w:color w:val="auto"/>
              </w:rPr>
            </w:pPr>
            <w:r w:rsidRPr="00AD6257">
              <w:rPr>
                <w:color w:val="auto"/>
              </w:rPr>
              <w:t>AGUA LIMPIA</w:t>
            </w:r>
          </w:p>
        </w:tc>
        <w:tc>
          <w:tcPr>
            <w:tcW w:w="1680" w:type="dxa"/>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192,860.40</w:t>
            </w:r>
          </w:p>
        </w:tc>
        <w:tc>
          <w:tcPr>
            <w:tcW w:w="994" w:type="dxa"/>
            <w:noWrap/>
            <w:hideMark/>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color w:val="auto"/>
              </w:rPr>
            </w:pPr>
            <w:r w:rsidRPr="00AD6257">
              <w:rPr>
                <w:color w:val="auto"/>
              </w:rPr>
              <w:t>0.02%</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rsidR="00AD6257" w:rsidRPr="00AD6257" w:rsidRDefault="00AD6257" w:rsidP="00AD6257">
            <w:pPr>
              <w:jc w:val="left"/>
              <w:rPr>
                <w:color w:val="auto"/>
              </w:rPr>
            </w:pPr>
            <w:r w:rsidRPr="00AD6257">
              <w:rPr>
                <w:color w:val="auto"/>
              </w:rPr>
              <w:t>APORTACION SOLIDARIA FEDERAL Y CUOTA SOCIAL (A.S.F. Y C.S)</w:t>
            </w:r>
          </w:p>
        </w:tc>
        <w:tc>
          <w:tcPr>
            <w:tcW w:w="1680" w:type="dxa"/>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185,954,403.82</w:t>
            </w:r>
          </w:p>
        </w:tc>
        <w:tc>
          <w:tcPr>
            <w:tcW w:w="994" w:type="dxa"/>
            <w:noWrap/>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color w:val="auto"/>
              </w:rPr>
            </w:pPr>
            <w:r w:rsidRPr="00AD6257">
              <w:rPr>
                <w:color w:val="auto"/>
              </w:rPr>
              <w:t>14.47%</w:t>
            </w:r>
          </w:p>
        </w:tc>
      </w:tr>
      <w:tr w:rsidR="00AD6257" w:rsidRPr="00B74AA8"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rsidR="00AD6257" w:rsidRPr="00AD6257" w:rsidRDefault="00AD6257" w:rsidP="00AD6257">
            <w:pPr>
              <w:jc w:val="left"/>
              <w:rPr>
                <w:color w:val="auto"/>
              </w:rPr>
            </w:pPr>
            <w:r w:rsidRPr="00AD6257">
              <w:rPr>
                <w:color w:val="auto"/>
              </w:rPr>
              <w:t>APORTACION SOLIDARIA ESTATAL</w:t>
            </w:r>
          </w:p>
        </w:tc>
        <w:tc>
          <w:tcPr>
            <w:tcW w:w="1680" w:type="dxa"/>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49,600,048.64</w:t>
            </w:r>
          </w:p>
        </w:tc>
        <w:tc>
          <w:tcPr>
            <w:tcW w:w="994" w:type="dxa"/>
            <w:noWrap/>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color w:val="auto"/>
              </w:rPr>
            </w:pPr>
            <w:r w:rsidRPr="00AD6257">
              <w:rPr>
                <w:color w:val="auto"/>
              </w:rPr>
              <w:t>3.86%</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rsidR="00AD6257" w:rsidRPr="00AD6257" w:rsidRDefault="00AD6257" w:rsidP="00AD6257">
            <w:pPr>
              <w:jc w:val="left"/>
              <w:rPr>
                <w:color w:val="auto"/>
              </w:rPr>
            </w:pPr>
            <w:r w:rsidRPr="00AD6257">
              <w:rPr>
                <w:color w:val="auto"/>
              </w:rPr>
              <w:t>MEJORAR LA CALIDAD DE LA SALUD SEXUAL Y REPRODUCTIVA, MATERNA, NEONANTAL E INFANTIL EN EL CENTRO DE SALUD DE SAN LUIS TEOLOCHOLCO</w:t>
            </w:r>
          </w:p>
        </w:tc>
        <w:tc>
          <w:tcPr>
            <w:tcW w:w="1680" w:type="dxa"/>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43,277.35</w:t>
            </w:r>
          </w:p>
        </w:tc>
        <w:tc>
          <w:tcPr>
            <w:tcW w:w="994" w:type="dxa"/>
            <w:noWrap/>
          </w:tcPr>
          <w:p w:rsidR="00AD6257" w:rsidRPr="00AD6257" w:rsidRDefault="00AD6257" w:rsidP="00AD6257">
            <w:pPr>
              <w:jc w:val="right"/>
              <w:cnfStyle w:val="000000100000" w:firstRow="0" w:lastRow="0" w:firstColumn="0" w:lastColumn="0" w:oddVBand="0" w:evenVBand="0" w:oddHBand="1" w:evenHBand="0" w:firstRowFirstColumn="0" w:firstRowLastColumn="0" w:lastRowFirstColumn="0" w:lastRowLastColumn="0"/>
              <w:rPr>
                <w:color w:val="auto"/>
              </w:rPr>
            </w:pPr>
            <w:r w:rsidRPr="00AD6257">
              <w:rPr>
                <w:color w:val="auto"/>
              </w:rPr>
              <w:t>0.00%</w:t>
            </w:r>
          </w:p>
        </w:tc>
      </w:tr>
      <w:tr w:rsidR="00AD6257" w:rsidRPr="00B74AA8"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rsidR="00AD6257" w:rsidRPr="00AD6257" w:rsidRDefault="00AD6257" w:rsidP="00AD6257">
            <w:pPr>
              <w:jc w:val="left"/>
              <w:rPr>
                <w:color w:val="auto"/>
              </w:rPr>
            </w:pPr>
            <w:r w:rsidRPr="00AD6257">
              <w:rPr>
                <w:color w:val="auto"/>
              </w:rPr>
              <w:t>FONDO DE PROTECCION CONTRA GASTOS CATASTROFICOS</w:t>
            </w:r>
          </w:p>
        </w:tc>
        <w:tc>
          <w:tcPr>
            <w:tcW w:w="1680" w:type="dxa"/>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AD6257">
              <w:rPr>
                <w:rFonts w:ascii="Arial" w:hAnsi="Arial" w:cs="Arial"/>
                <w:i/>
                <w:color w:val="000000"/>
                <w:sz w:val="18"/>
                <w:szCs w:val="18"/>
              </w:rPr>
              <w:t>5,861,197.00</w:t>
            </w:r>
          </w:p>
        </w:tc>
        <w:tc>
          <w:tcPr>
            <w:tcW w:w="994" w:type="dxa"/>
            <w:noWrap/>
          </w:tcPr>
          <w:p w:rsidR="00AD6257" w:rsidRPr="00AD6257" w:rsidRDefault="00AD6257" w:rsidP="00AD6257">
            <w:pPr>
              <w:jc w:val="right"/>
              <w:cnfStyle w:val="000000000000" w:firstRow="0" w:lastRow="0" w:firstColumn="0" w:lastColumn="0" w:oddVBand="0" w:evenVBand="0" w:oddHBand="0" w:evenHBand="0" w:firstRowFirstColumn="0" w:firstRowLastColumn="0" w:lastRowFirstColumn="0" w:lastRowLastColumn="0"/>
              <w:rPr>
                <w:color w:val="auto"/>
              </w:rPr>
            </w:pPr>
            <w:r w:rsidRPr="00AD6257">
              <w:rPr>
                <w:color w:val="auto"/>
              </w:rPr>
              <w:t>0.46%</w:t>
            </w:r>
          </w:p>
        </w:tc>
      </w:tr>
      <w:tr w:rsidR="00AD6257" w:rsidRPr="00B74AA8" w:rsidTr="00AD625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233" w:type="dxa"/>
            <w:hideMark/>
          </w:tcPr>
          <w:p w:rsidR="00AD6257" w:rsidRPr="00B74AA8" w:rsidRDefault="00AD6257" w:rsidP="00AD6257">
            <w:pPr>
              <w:jc w:val="left"/>
              <w:rPr>
                <w:rFonts w:ascii="Arial" w:eastAsia="Times New Roman" w:hAnsi="Arial" w:cs="Arial"/>
                <w:color w:val="000000"/>
                <w:sz w:val="18"/>
                <w:szCs w:val="18"/>
                <w:lang w:val="es-ES" w:eastAsia="es-ES"/>
              </w:rPr>
            </w:pPr>
            <w:r>
              <w:rPr>
                <w:rFonts w:ascii="Arial" w:hAnsi="Arial" w:cs="Arial"/>
                <w:b/>
                <w:sz w:val="18"/>
                <w:szCs w:val="18"/>
              </w:rPr>
              <w:t xml:space="preserve">TOTAL DE </w:t>
            </w:r>
            <w:r w:rsidRPr="00A33146">
              <w:rPr>
                <w:rFonts w:ascii="Arial" w:hAnsi="Arial" w:cs="Arial"/>
                <w:b/>
                <w:sz w:val="18"/>
                <w:szCs w:val="18"/>
              </w:rPr>
              <w:t>PARTICIPACIONES, APORTACIONES, TRANSFERENCIAS, ASIGNACIONES, SUBSIDIOS Y OTRAS AYUDAS</w:t>
            </w:r>
          </w:p>
        </w:tc>
        <w:tc>
          <w:tcPr>
            <w:tcW w:w="1680" w:type="dxa"/>
            <w:hideMark/>
          </w:tcPr>
          <w:p w:rsidR="00AD6257" w:rsidRPr="000C6DC8"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rPr>
            </w:pPr>
            <w:r>
              <w:rPr>
                <w:rFonts w:ascii="Arial" w:hAnsi="Arial" w:cs="Arial"/>
                <w:b/>
                <w:color w:val="000000"/>
                <w:sz w:val="18"/>
              </w:rPr>
              <w:fldChar w:fldCharType="begin"/>
            </w:r>
            <w:r>
              <w:rPr>
                <w:rFonts w:ascii="Arial" w:hAnsi="Arial" w:cs="Arial"/>
                <w:b/>
                <w:color w:val="000000"/>
                <w:sz w:val="18"/>
              </w:rPr>
              <w:instrText xml:space="preserve"> =SUM(B2:B11) </w:instrText>
            </w:r>
            <w:r>
              <w:rPr>
                <w:rFonts w:ascii="Arial" w:hAnsi="Arial" w:cs="Arial"/>
                <w:b/>
                <w:color w:val="000000"/>
                <w:sz w:val="18"/>
              </w:rPr>
              <w:fldChar w:fldCharType="separate"/>
            </w:r>
            <w:r>
              <w:rPr>
                <w:rFonts w:ascii="Arial" w:hAnsi="Arial" w:cs="Arial"/>
                <w:b/>
                <w:noProof/>
                <w:color w:val="000000"/>
                <w:sz w:val="18"/>
              </w:rPr>
              <w:t>1,285,197,397.63</w:t>
            </w:r>
            <w:r>
              <w:rPr>
                <w:rFonts w:ascii="Arial" w:hAnsi="Arial" w:cs="Arial"/>
                <w:b/>
                <w:color w:val="000000"/>
                <w:sz w:val="18"/>
              </w:rPr>
              <w:fldChar w:fldCharType="end"/>
            </w:r>
          </w:p>
        </w:tc>
        <w:tc>
          <w:tcPr>
            <w:tcW w:w="994" w:type="dxa"/>
            <w:noWrap/>
            <w:hideMark/>
          </w:tcPr>
          <w:p w:rsidR="00AD6257" w:rsidRPr="00B74AA8" w:rsidRDefault="00AD6257" w:rsidP="00AD625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fldChar w:fldCharType="begin"/>
            </w:r>
            <w:r>
              <w:rPr>
                <w:rFonts w:ascii="Arial" w:eastAsia="Times New Roman" w:hAnsi="Arial" w:cs="Arial"/>
                <w:b/>
                <w:bCs/>
                <w:color w:val="000000"/>
                <w:sz w:val="18"/>
                <w:szCs w:val="18"/>
                <w:lang w:val="es-ES" w:eastAsia="es-ES"/>
              </w:rPr>
              <w:instrText xml:space="preserve"> =SUM(ABOVE)*100 \# "0.00%" </w:instrText>
            </w:r>
            <w:r>
              <w:rPr>
                <w:rFonts w:ascii="Arial" w:eastAsia="Times New Roman" w:hAnsi="Arial" w:cs="Arial"/>
                <w:b/>
                <w:bCs/>
                <w:color w:val="000000"/>
                <w:sz w:val="18"/>
                <w:szCs w:val="18"/>
                <w:lang w:val="es-ES" w:eastAsia="es-ES"/>
              </w:rPr>
              <w:fldChar w:fldCharType="separate"/>
            </w:r>
            <w:r>
              <w:rPr>
                <w:rFonts w:ascii="Arial" w:eastAsia="Times New Roman" w:hAnsi="Arial" w:cs="Arial"/>
                <w:b/>
                <w:bCs/>
                <w:noProof/>
                <w:color w:val="000000"/>
                <w:sz w:val="18"/>
                <w:szCs w:val="18"/>
                <w:lang w:val="es-ES" w:eastAsia="es-ES"/>
              </w:rPr>
              <w:t>100.00%</w:t>
            </w:r>
            <w:r>
              <w:rPr>
                <w:rFonts w:ascii="Arial" w:eastAsia="Times New Roman" w:hAnsi="Arial" w:cs="Arial"/>
                <w:b/>
                <w:bCs/>
                <w:color w:val="000000"/>
                <w:sz w:val="18"/>
                <w:szCs w:val="18"/>
                <w:lang w:val="es-ES" w:eastAsia="es-ES"/>
              </w:rPr>
              <w:fldChar w:fldCharType="end"/>
            </w:r>
          </w:p>
        </w:tc>
      </w:tr>
    </w:tbl>
    <w:p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rsidR="00AC7F8A" w:rsidRPr="003E475D" w:rsidRDefault="00AC7F8A" w:rsidP="00AC7F8A">
      <w:pPr>
        <w:pStyle w:val="ROMANOS"/>
        <w:tabs>
          <w:tab w:val="clear" w:pos="720"/>
        </w:tabs>
        <w:spacing w:after="0" w:line="240" w:lineRule="exact"/>
        <w:ind w:left="284" w:firstLine="4"/>
        <w:rPr>
          <w:highlight w:val="yellow"/>
          <w:lang w:val="es-MX"/>
        </w:rPr>
      </w:pPr>
    </w:p>
    <w:p w:rsidR="00AC7F8A" w:rsidRPr="009A5967" w:rsidRDefault="00AC7F8A" w:rsidP="00AC7F8A">
      <w:pPr>
        <w:pStyle w:val="ROMANOS"/>
        <w:spacing w:after="0" w:line="240" w:lineRule="exact"/>
        <w:rPr>
          <w:lang w:val="es-MX"/>
        </w:rPr>
      </w:pPr>
    </w:p>
    <w:p w:rsidR="00AC7F8A" w:rsidRPr="009A5967" w:rsidRDefault="00AC7F8A" w:rsidP="00AC7F8A">
      <w:pPr>
        <w:pStyle w:val="ROMANOS"/>
        <w:spacing w:after="0" w:line="240" w:lineRule="exact"/>
        <w:rPr>
          <w:lang w:val="es-MX"/>
        </w:rPr>
      </w:pPr>
      <w:r w:rsidRPr="009A5967">
        <w:rPr>
          <w:lang w:val="es-MX"/>
        </w:rPr>
        <w:t xml:space="preserve">Durante el </w:t>
      </w:r>
      <w:r w:rsidR="00DB7FED">
        <w:rPr>
          <w:lang w:val="es-MX"/>
        </w:rPr>
        <w:t xml:space="preserve">primer trimestre del </w:t>
      </w:r>
      <w:r w:rsidRPr="009A5967">
        <w:rPr>
          <w:lang w:val="es-MX"/>
        </w:rPr>
        <w:t>ejercicio 201</w:t>
      </w:r>
      <w:r w:rsidR="00DB7FED">
        <w:rPr>
          <w:lang w:val="es-MX"/>
        </w:rPr>
        <w:t>9</w:t>
      </w:r>
      <w:r w:rsidRPr="009A5967">
        <w:rPr>
          <w:lang w:val="es-MX"/>
        </w:rPr>
        <w:t xml:space="preserve"> la </w:t>
      </w:r>
      <w:r w:rsidRPr="009A5967">
        <w:t>Secretaría de Salud y O.P.D. Salud de Tlaxcala</w:t>
      </w:r>
      <w:r w:rsidRPr="009A5967">
        <w:rPr>
          <w:lang w:val="es-MX"/>
        </w:rPr>
        <w:t xml:space="preserve"> obt</w:t>
      </w:r>
      <w:r w:rsidR="00AD6257">
        <w:rPr>
          <w:lang w:val="es-MX"/>
        </w:rPr>
        <w:t xml:space="preserve">uvo otros ingresos por recuperación de seguros por un monto de </w:t>
      </w:r>
      <w:r w:rsidR="00AD6257" w:rsidRPr="00247CA8">
        <w:rPr>
          <w:b/>
          <w:lang w:val="es-MX"/>
        </w:rPr>
        <w:t>$235,575.30</w:t>
      </w:r>
    </w:p>
    <w:p w:rsidR="00AC7F8A" w:rsidRPr="009A5967" w:rsidRDefault="00AC7F8A" w:rsidP="00AC7F8A">
      <w:pPr>
        <w:pStyle w:val="ROMANOS"/>
        <w:spacing w:after="0" w:line="240" w:lineRule="exact"/>
        <w:ind w:left="648" w:firstLine="0"/>
        <w:rPr>
          <w:lang w:val="es-MX"/>
        </w:rPr>
      </w:pPr>
    </w:p>
    <w:p w:rsidR="00AC7F8A" w:rsidRPr="009A5967" w:rsidRDefault="00AC7F8A" w:rsidP="00AC7F8A">
      <w:pPr>
        <w:pStyle w:val="ROMANOS"/>
        <w:spacing w:after="0" w:line="240" w:lineRule="exact"/>
        <w:rPr>
          <w:b/>
          <w:lang w:val="es-MX"/>
        </w:rPr>
      </w:pPr>
      <w:r w:rsidRPr="009A5967">
        <w:rPr>
          <w:b/>
          <w:lang w:val="es-MX"/>
        </w:rPr>
        <w:t>Gastos y Otras Pérdidas:</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 que integran la Secretaría de Salud y O.P.D. Salud de Tlaxcala</w:t>
      </w:r>
      <w:r>
        <w:rPr>
          <w:rFonts w:ascii="Arial" w:hAnsi="Arial" w:cs="Arial"/>
          <w:sz w:val="18"/>
          <w:szCs w:val="18"/>
        </w:rPr>
        <w:t xml:space="preserve">, representa </w:t>
      </w:r>
      <w:r w:rsidRPr="009A5967">
        <w:rPr>
          <w:rFonts w:ascii="Arial" w:hAnsi="Arial" w:cs="Arial"/>
          <w:sz w:val="18"/>
          <w:szCs w:val="18"/>
        </w:rPr>
        <w:t xml:space="preserve">el </w:t>
      </w:r>
      <w:r w:rsidR="00AD6257">
        <w:rPr>
          <w:rFonts w:ascii="Arial" w:hAnsi="Arial" w:cs="Arial"/>
          <w:sz w:val="18"/>
          <w:szCs w:val="18"/>
        </w:rPr>
        <w:t>88</w:t>
      </w:r>
      <w:r w:rsidR="0004354B">
        <w:rPr>
          <w:rFonts w:ascii="Arial" w:hAnsi="Arial" w:cs="Arial"/>
          <w:sz w:val="18"/>
          <w:szCs w:val="18"/>
        </w:rPr>
        <w:t>.</w:t>
      </w:r>
      <w:r w:rsidR="00AD6257">
        <w:rPr>
          <w:rFonts w:ascii="Arial" w:hAnsi="Arial" w:cs="Arial"/>
          <w:sz w:val="18"/>
          <w:szCs w:val="18"/>
        </w:rPr>
        <w:t>31</w:t>
      </w:r>
      <w:r>
        <w:rPr>
          <w:rFonts w:ascii="Arial" w:hAnsi="Arial" w:cs="Arial"/>
          <w:sz w:val="18"/>
          <w:szCs w:val="18"/>
        </w:rPr>
        <w:t xml:space="preserve">%, mientras que el </w:t>
      </w:r>
      <w:r w:rsidR="00AD6257">
        <w:rPr>
          <w:rFonts w:ascii="Arial" w:hAnsi="Arial" w:cs="Arial"/>
          <w:sz w:val="18"/>
          <w:szCs w:val="18"/>
        </w:rPr>
        <w:t>6</w:t>
      </w:r>
      <w:r w:rsidR="0004354B">
        <w:rPr>
          <w:rFonts w:ascii="Arial" w:hAnsi="Arial" w:cs="Arial"/>
          <w:sz w:val="18"/>
          <w:szCs w:val="18"/>
        </w:rPr>
        <w:t>.97</w:t>
      </w:r>
      <w:r>
        <w:rPr>
          <w:rFonts w:ascii="Arial" w:hAnsi="Arial" w:cs="Arial"/>
          <w:sz w:val="18"/>
          <w:szCs w:val="18"/>
        </w:rPr>
        <w:t>% está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AD6257">
        <w:rPr>
          <w:rFonts w:ascii="Arial" w:hAnsi="Arial" w:cs="Arial"/>
          <w:sz w:val="18"/>
          <w:szCs w:val="18"/>
        </w:rPr>
        <w:t>4</w:t>
      </w:r>
      <w:r w:rsidR="0004354B">
        <w:rPr>
          <w:rFonts w:ascii="Arial" w:hAnsi="Arial" w:cs="Arial"/>
          <w:sz w:val="18"/>
          <w:szCs w:val="18"/>
        </w:rPr>
        <w:t>.</w:t>
      </w:r>
      <w:r w:rsidR="00AD6257">
        <w:rPr>
          <w:rFonts w:ascii="Arial" w:hAnsi="Arial" w:cs="Arial"/>
          <w:sz w:val="18"/>
          <w:szCs w:val="18"/>
        </w:rPr>
        <w:t>7</w:t>
      </w:r>
      <w:r w:rsidR="0004354B">
        <w:rPr>
          <w:rFonts w:ascii="Arial" w:hAnsi="Arial" w:cs="Arial"/>
          <w:sz w:val="18"/>
          <w:szCs w:val="18"/>
        </w:rPr>
        <w:t>2</w:t>
      </w:r>
      <w:r>
        <w:rPr>
          <w:rFonts w:ascii="Arial" w:hAnsi="Arial" w:cs="Arial"/>
          <w:sz w:val="18"/>
          <w:szCs w:val="18"/>
        </w:rPr>
        <w:t>% restante se destina para pago de servicios generales</w:t>
      </w:r>
      <w:r w:rsidR="0004354B">
        <w:rPr>
          <w:rFonts w:ascii="Arial" w:hAnsi="Arial" w:cs="Arial"/>
          <w:sz w:val="18"/>
          <w:szCs w:val="18"/>
        </w:rPr>
        <w:t xml:space="preserve"> y por concepto de</w:t>
      </w:r>
      <w:r>
        <w:rPr>
          <w:rFonts w:ascii="Arial" w:hAnsi="Arial" w:cs="Arial"/>
          <w:sz w:val="18"/>
          <w:szCs w:val="18"/>
        </w:rPr>
        <w:t xml:space="preserve"> ayudas sociales a organismos de salud</w:t>
      </w:r>
      <w:r w:rsidR="00274905">
        <w:rPr>
          <w:rFonts w:ascii="Arial" w:hAnsi="Arial" w:cs="Arial"/>
          <w:sz w:val="18"/>
          <w:szCs w:val="18"/>
        </w:rPr>
        <w:t xml:space="preserve"> 0.</w:t>
      </w:r>
      <w:r w:rsidR="00AD6257">
        <w:rPr>
          <w:rFonts w:ascii="Arial" w:hAnsi="Arial" w:cs="Arial"/>
          <w:sz w:val="18"/>
          <w:szCs w:val="18"/>
        </w:rPr>
        <w:t>30</w:t>
      </w:r>
      <w:r w:rsidR="00274905">
        <w:rPr>
          <w:rFonts w:ascii="Arial" w:hAnsi="Arial" w:cs="Arial"/>
          <w:sz w:val="18"/>
          <w:szCs w:val="18"/>
        </w:rPr>
        <w:t>%.</w:t>
      </w: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p>
    <w:p w:rsidR="00AD6257" w:rsidRDefault="00AD6257" w:rsidP="00AC7F8A">
      <w:pPr>
        <w:autoSpaceDE w:val="0"/>
        <w:autoSpaceDN w:val="0"/>
        <w:adjustRightInd w:val="0"/>
        <w:spacing w:after="0" w:line="240" w:lineRule="auto"/>
        <w:ind w:left="284" w:firstLine="4"/>
        <w:rPr>
          <w:rFonts w:ascii="Arial" w:hAnsi="Arial" w:cs="Arial"/>
          <w:sz w:val="18"/>
          <w:szCs w:val="18"/>
        </w:rPr>
      </w:pPr>
    </w:p>
    <w:p w:rsidR="00AD6257" w:rsidRDefault="00AD6257" w:rsidP="00AC7F8A">
      <w:pPr>
        <w:autoSpaceDE w:val="0"/>
        <w:autoSpaceDN w:val="0"/>
        <w:adjustRightInd w:val="0"/>
        <w:spacing w:after="0" w:line="240" w:lineRule="auto"/>
        <w:ind w:left="284" w:firstLine="4"/>
        <w:rPr>
          <w:rFonts w:ascii="Arial" w:hAnsi="Arial" w:cs="Arial"/>
          <w:sz w:val="18"/>
          <w:szCs w:val="18"/>
        </w:rPr>
      </w:pPr>
    </w:p>
    <w:p w:rsidR="00AD6257" w:rsidRPr="009A5967" w:rsidRDefault="00AD6257" w:rsidP="00AC7F8A">
      <w:pPr>
        <w:autoSpaceDE w:val="0"/>
        <w:autoSpaceDN w:val="0"/>
        <w:adjustRightInd w:val="0"/>
        <w:spacing w:after="0" w:line="240" w:lineRule="auto"/>
        <w:ind w:left="284" w:firstLine="4"/>
        <w:rPr>
          <w:rFonts w:ascii="Arial" w:hAnsi="Arial" w:cs="Arial"/>
          <w:sz w:val="18"/>
          <w:szCs w:val="18"/>
        </w:rPr>
      </w:pPr>
    </w:p>
    <w:p w:rsidR="00AC7F8A" w:rsidRPr="009A5967" w:rsidRDefault="00AC7F8A" w:rsidP="00AC7F8A">
      <w:pPr>
        <w:pStyle w:val="ROMANOS"/>
        <w:spacing w:after="0" w:line="240" w:lineRule="exact"/>
        <w:ind w:left="1008" w:firstLine="0"/>
        <w:rPr>
          <w:lang w:val="es-MX"/>
        </w:rPr>
      </w:pPr>
    </w:p>
    <w:p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rsidR="00E11756" w:rsidRPr="00994CB8" w:rsidRDefault="00E11756" w:rsidP="00AC7F8A">
      <w:pPr>
        <w:pStyle w:val="INCISO"/>
        <w:spacing w:after="0" w:line="240" w:lineRule="exact"/>
        <w:ind w:left="360"/>
        <w:jc w:val="center"/>
        <w:rPr>
          <w:b/>
          <w:smallCaps/>
        </w:rPr>
      </w:pPr>
    </w:p>
    <w:p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04354B">
        <w:rPr>
          <w:lang w:val="es-MX"/>
        </w:rPr>
        <w:t xml:space="preserve"> al cierre del primer trimestre del ejercicio 2019</w:t>
      </w:r>
      <w:r>
        <w:rPr>
          <w:lang w:val="es-MX"/>
        </w:rPr>
        <w:t>.</w:t>
      </w:r>
    </w:p>
    <w:p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rsidR="0004354B" w:rsidRPr="00630DB0" w:rsidRDefault="0004354B" w:rsidP="00AC7F8A">
      <w:pPr>
        <w:pStyle w:val="ROMANOS"/>
        <w:spacing w:after="0" w:line="240" w:lineRule="exact"/>
        <w:ind w:left="1008" w:firstLine="0"/>
        <w:rPr>
          <w:lang w:val="es-MX"/>
        </w:rPr>
      </w:pPr>
    </w:p>
    <w:p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rsidR="00AC7F8A" w:rsidRPr="00630DB0" w:rsidRDefault="00AC7F8A" w:rsidP="00AC7F8A">
      <w:pPr>
        <w:pStyle w:val="INCISO"/>
        <w:spacing w:after="0" w:line="240" w:lineRule="exact"/>
        <w:ind w:left="360"/>
        <w:rPr>
          <w:b/>
          <w:smallCaps/>
        </w:rPr>
      </w:pPr>
    </w:p>
    <w:p w:rsidR="00AC7F8A" w:rsidRDefault="00AC7F8A" w:rsidP="00AC7F8A">
      <w:pPr>
        <w:pStyle w:val="ROMANOS"/>
        <w:spacing w:after="0" w:line="240" w:lineRule="exact"/>
        <w:rPr>
          <w:b/>
          <w:lang w:val="es-MX"/>
        </w:rPr>
      </w:pPr>
    </w:p>
    <w:p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rsidR="00AC7F8A" w:rsidRDefault="00AC7F8A" w:rsidP="00AC7F8A">
      <w:pPr>
        <w:pStyle w:val="ROMANOS"/>
        <w:spacing w:after="0" w:line="240" w:lineRule="exact"/>
        <w:rPr>
          <w:b/>
          <w:lang w:val="es-MX"/>
        </w:rPr>
      </w:pPr>
    </w:p>
    <w:p w:rsidR="00AC7F8A" w:rsidRPr="00630DB0" w:rsidRDefault="00AC7F8A" w:rsidP="00AC7F8A">
      <w:pPr>
        <w:pStyle w:val="ROMANOS"/>
        <w:spacing w:after="0" w:line="240" w:lineRule="exact"/>
        <w:rPr>
          <w:b/>
          <w:lang w:val="es-MX"/>
        </w:rPr>
      </w:pPr>
      <w:r w:rsidRPr="00630DB0">
        <w:rPr>
          <w:b/>
          <w:lang w:val="es-MX"/>
        </w:rPr>
        <w:t>Efectivo y equivalentes</w:t>
      </w:r>
    </w:p>
    <w:p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rsidR="00AC7F8A" w:rsidRPr="00630DB0" w:rsidRDefault="00AC7F8A" w:rsidP="00AC7F8A">
      <w:pPr>
        <w:pStyle w:val="ROMANOS"/>
        <w:spacing w:after="0" w:line="240" w:lineRule="exact"/>
        <w:ind w:left="648" w:firstLine="0"/>
        <w:rPr>
          <w:lang w:val="es-MX"/>
        </w:rPr>
      </w:pPr>
    </w:p>
    <w:tbl>
      <w:tblPr>
        <w:tblStyle w:val="Tabladecuadrcula1clara"/>
        <w:tblW w:w="0" w:type="auto"/>
        <w:tblInd w:w="2770" w:type="dxa"/>
        <w:tblBorders>
          <w:top w:val="triple" w:sz="4" w:space="0" w:color="999999" w:themeColor="text1" w:themeTint="66"/>
          <w:left w:val="triple" w:sz="4" w:space="0" w:color="999999" w:themeColor="text1" w:themeTint="66"/>
          <w:bottom w:val="triple" w:sz="4" w:space="0" w:color="999999" w:themeColor="text1" w:themeTint="66"/>
          <w:right w:val="triple" w:sz="4" w:space="0" w:color="999999" w:themeColor="text1" w:themeTint="66"/>
          <w:insideH w:val="triple" w:sz="4" w:space="0" w:color="999999" w:themeColor="text1" w:themeTint="66"/>
          <w:insideV w:val="triple" w:sz="4" w:space="0" w:color="999999" w:themeColor="text1" w:themeTint="66"/>
        </w:tblBorders>
        <w:tblLayout w:type="fixed"/>
        <w:tblLook w:val="0000" w:firstRow="0" w:lastRow="0" w:firstColumn="0" w:lastColumn="0" w:noHBand="0" w:noVBand="0"/>
      </w:tblPr>
      <w:tblGrid>
        <w:gridCol w:w="3584"/>
        <w:gridCol w:w="1418"/>
        <w:gridCol w:w="1417"/>
      </w:tblGrid>
      <w:tr w:rsidR="00AC7F8A" w:rsidRPr="002C6BD8" w:rsidTr="00AD6257">
        <w:tc>
          <w:tcPr>
            <w:tcW w:w="3584" w:type="dxa"/>
          </w:tcPr>
          <w:p w:rsidR="00AC7F8A" w:rsidRPr="00630DB0" w:rsidRDefault="00AC7F8A" w:rsidP="00AD6257">
            <w:pPr>
              <w:pStyle w:val="Texto"/>
              <w:spacing w:after="0" w:line="240" w:lineRule="exact"/>
              <w:ind w:firstLine="0"/>
              <w:rPr>
                <w:szCs w:val="18"/>
                <w:lang w:val="es-MX"/>
              </w:rPr>
            </w:pPr>
          </w:p>
        </w:tc>
        <w:tc>
          <w:tcPr>
            <w:tcW w:w="1418" w:type="dxa"/>
          </w:tcPr>
          <w:p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9</w:t>
            </w:r>
          </w:p>
        </w:tc>
        <w:tc>
          <w:tcPr>
            <w:tcW w:w="1417" w:type="dxa"/>
          </w:tcPr>
          <w:p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8</w:t>
            </w:r>
          </w:p>
        </w:tc>
      </w:tr>
      <w:tr w:rsidR="00AC7F8A" w:rsidRPr="002C6BD8" w:rsidTr="00AD6257">
        <w:trPr>
          <w:trHeight w:val="205"/>
        </w:trPr>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418" w:type="dxa"/>
          </w:tcPr>
          <w:p w:rsidR="00AC7F8A" w:rsidRPr="002C6BD8" w:rsidRDefault="0004354B" w:rsidP="00AD6257">
            <w:pPr>
              <w:pStyle w:val="Texto"/>
              <w:spacing w:after="0" w:line="240" w:lineRule="exact"/>
              <w:ind w:firstLine="0"/>
              <w:jc w:val="right"/>
              <w:rPr>
                <w:szCs w:val="18"/>
                <w:lang w:val="es-MX"/>
              </w:rPr>
            </w:pPr>
            <w:r>
              <w:rPr>
                <w:szCs w:val="18"/>
                <w:lang w:val="es-MX"/>
              </w:rPr>
              <w:t>35</w:t>
            </w:r>
            <w:r w:rsidR="00AD6257">
              <w:rPr>
                <w:szCs w:val="18"/>
                <w:lang w:val="es-MX"/>
              </w:rPr>
              <w:t>4</w:t>
            </w:r>
            <w:r>
              <w:rPr>
                <w:szCs w:val="18"/>
                <w:lang w:val="es-MX"/>
              </w:rPr>
              <w:t>,7</w:t>
            </w:r>
            <w:r w:rsidR="00AD6257">
              <w:rPr>
                <w:szCs w:val="18"/>
                <w:lang w:val="es-MX"/>
              </w:rPr>
              <w:t>42</w:t>
            </w:r>
            <w:r>
              <w:rPr>
                <w:szCs w:val="18"/>
                <w:lang w:val="es-MX"/>
              </w:rPr>
              <w:t>,</w:t>
            </w:r>
            <w:r w:rsidR="00AD6257">
              <w:rPr>
                <w:szCs w:val="18"/>
                <w:lang w:val="es-MX"/>
              </w:rPr>
              <w:t>18</w:t>
            </w:r>
            <w:r>
              <w:rPr>
                <w:szCs w:val="18"/>
                <w:lang w:val="es-MX"/>
              </w:rPr>
              <w:t>5</w:t>
            </w:r>
          </w:p>
        </w:tc>
        <w:tc>
          <w:tcPr>
            <w:tcW w:w="1417" w:type="dxa"/>
          </w:tcPr>
          <w:p w:rsidR="00AC7F8A" w:rsidRPr="002C6BD8" w:rsidRDefault="0004354B" w:rsidP="00AD6257">
            <w:pPr>
              <w:pStyle w:val="Texto"/>
              <w:spacing w:after="0" w:line="240" w:lineRule="exact"/>
              <w:ind w:firstLine="0"/>
              <w:jc w:val="right"/>
              <w:rPr>
                <w:szCs w:val="18"/>
                <w:lang w:val="es-MX"/>
              </w:rPr>
            </w:pPr>
            <w:r>
              <w:rPr>
                <w:szCs w:val="18"/>
                <w:lang w:val="es-MX"/>
              </w:rPr>
              <w:t>180,131,131</w:t>
            </w:r>
          </w:p>
        </w:tc>
      </w:tr>
      <w:tr w:rsidR="00AC7F8A" w:rsidRPr="002C6BD8" w:rsidTr="00AD6257">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418"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rsidTr="00AD6257">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418"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rsidTr="00AD6257">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418"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rsidTr="00AD6257">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418"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rsidTr="00AD6257">
        <w:tc>
          <w:tcPr>
            <w:tcW w:w="3584" w:type="dxa"/>
          </w:tcPr>
          <w:p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418" w:type="dxa"/>
          </w:tcPr>
          <w:p w:rsidR="00AC7F8A" w:rsidRPr="009707CA" w:rsidRDefault="00810D53" w:rsidP="008D3017">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=SUM(B2:B6) </w:instrText>
            </w:r>
            <w:r>
              <w:rPr>
                <w:b/>
                <w:szCs w:val="18"/>
                <w:lang w:val="es-MX"/>
              </w:rPr>
              <w:fldChar w:fldCharType="separate"/>
            </w:r>
            <w:r>
              <w:rPr>
                <w:b/>
                <w:noProof/>
                <w:szCs w:val="18"/>
                <w:lang w:val="es-MX"/>
              </w:rPr>
              <w:t>354,742,185</w:t>
            </w:r>
            <w:r>
              <w:rPr>
                <w:b/>
                <w:szCs w:val="18"/>
                <w:lang w:val="es-MX"/>
              </w:rPr>
              <w:fldChar w:fldCharType="end"/>
            </w:r>
          </w:p>
        </w:tc>
        <w:tc>
          <w:tcPr>
            <w:tcW w:w="1417" w:type="dxa"/>
          </w:tcPr>
          <w:p w:rsidR="00AC7F8A" w:rsidRPr="00423417" w:rsidRDefault="0004354B" w:rsidP="00AD6257">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=SUM(C2:C6) </w:instrText>
            </w:r>
            <w:r>
              <w:rPr>
                <w:b/>
                <w:szCs w:val="18"/>
                <w:lang w:val="es-MX"/>
              </w:rPr>
              <w:fldChar w:fldCharType="separate"/>
            </w:r>
            <w:r>
              <w:rPr>
                <w:b/>
                <w:noProof/>
                <w:szCs w:val="18"/>
                <w:lang w:val="es-MX"/>
              </w:rPr>
              <w:t>180,131,131</w:t>
            </w:r>
            <w:r>
              <w:rPr>
                <w:b/>
                <w:szCs w:val="18"/>
                <w:lang w:val="es-MX"/>
              </w:rPr>
              <w:fldChar w:fldCharType="end"/>
            </w:r>
          </w:p>
        </w:tc>
      </w:tr>
    </w:tbl>
    <w:p w:rsidR="00AC7F8A" w:rsidRPr="00630DB0" w:rsidRDefault="00AC7F8A" w:rsidP="00AC7F8A">
      <w:pPr>
        <w:pStyle w:val="Texto"/>
        <w:spacing w:after="0" w:line="240" w:lineRule="exact"/>
        <w:rPr>
          <w:szCs w:val="18"/>
          <w:lang w:val="es-MX"/>
        </w:rPr>
      </w:pPr>
    </w:p>
    <w:p w:rsidR="00AC7F8A" w:rsidRDefault="0004354B" w:rsidP="00AC7F8A">
      <w:pPr>
        <w:pStyle w:val="ROMANOS"/>
        <w:tabs>
          <w:tab w:val="clear" w:pos="720"/>
          <w:tab w:val="left" w:pos="288"/>
        </w:tabs>
        <w:spacing w:after="0" w:line="240" w:lineRule="exact"/>
        <w:ind w:left="284" w:firstLine="4"/>
        <w:rPr>
          <w:lang w:val="es-MX"/>
        </w:rPr>
      </w:pPr>
      <w:r>
        <w:rPr>
          <w:lang w:val="es-MX"/>
        </w:rPr>
        <w:t xml:space="preserve">Al cierre del primer trimestre del ejercicio 2019, </w:t>
      </w:r>
      <w:r w:rsidRPr="009A5967">
        <w:rPr>
          <w:lang w:val="es-MX"/>
        </w:rPr>
        <w:t xml:space="preserve">la </w:t>
      </w:r>
      <w:r w:rsidRPr="009A5967">
        <w:t>Secretaría de Salud y O.P.D. Salud de Tlaxcala</w:t>
      </w:r>
      <w:r>
        <w:rPr>
          <w:lang w:val="es-MX"/>
        </w:rPr>
        <w:t xml:space="preserve"> no realizó</w:t>
      </w:r>
      <w:r w:rsidR="00AC7F8A">
        <w:rPr>
          <w:lang w:val="es-MX"/>
        </w:rPr>
        <w:t xml:space="preserve"> adquisiciones y</w:t>
      </w:r>
      <w:r>
        <w:rPr>
          <w:lang w:val="es-MX"/>
        </w:rPr>
        <w:t>/o</w:t>
      </w:r>
      <w:r w:rsidR="00AC7F8A">
        <w:rPr>
          <w:lang w:val="es-MX"/>
        </w:rPr>
        <w:t xml:space="preserve"> disposición de activos fijos </w:t>
      </w:r>
      <w:r>
        <w:rPr>
          <w:lang w:val="es-MX"/>
        </w:rPr>
        <w:t xml:space="preserve">de su </w:t>
      </w:r>
      <w:r w:rsidR="00AC7F8A">
        <w:rPr>
          <w:lang w:val="es-MX"/>
        </w:rPr>
        <w:t>propiedad.</w:t>
      </w: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Pr="00630DB0" w:rsidRDefault="0004354B" w:rsidP="00AC7F8A">
      <w:pPr>
        <w:pStyle w:val="ROMANOS"/>
        <w:tabs>
          <w:tab w:val="clear" w:pos="720"/>
          <w:tab w:val="left" w:pos="288"/>
        </w:tabs>
        <w:spacing w:after="0" w:line="240" w:lineRule="exact"/>
        <w:ind w:left="284" w:firstLine="4"/>
        <w:rPr>
          <w:lang w:val="es-MX"/>
        </w:rPr>
      </w:pP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szCs w:val="18"/>
          <w:lang w:val="es-MX"/>
        </w:rPr>
      </w:pPr>
    </w:p>
    <w:p w:rsidR="00AC7F8A" w:rsidRPr="002715B0" w:rsidRDefault="00AC7F8A" w:rsidP="00AC7F8A">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rsidR="00AC7F8A" w:rsidRPr="00630DB0" w:rsidRDefault="00ED69A7" w:rsidP="00AC7F8A">
      <w:pPr>
        <w:pStyle w:val="Texto"/>
        <w:spacing w:after="0" w:line="240" w:lineRule="exact"/>
        <w:jc w:val="center"/>
        <w:rPr>
          <w:b/>
          <w:smallCaps/>
          <w:szCs w:val="18"/>
          <w:lang w:val="es-MX"/>
        </w:rPr>
      </w:pPr>
      <w:r>
        <w:rPr>
          <w:noProof/>
          <w:lang w:val="es-MX" w:eastAsia="es-MX"/>
        </w:rPr>
        <w:object w:dxaOrig="1440" w:dyaOrig="1440">
          <v:shape id="_x0000_s1072" type="#_x0000_t75" style="position:absolute;left:0;text-align:left;margin-left:95.65pt;margin-top:17.1pt;width:485.95pt;height:345.25pt;z-index:251672576;mso-position-horizontal-relative:text;mso-position-vertical-relative:text">
            <v:imagedata r:id="rId24" o:title=""/>
            <w10:wrap type="topAndBottom"/>
          </v:shape>
          <o:OLEObject Type="Embed" ProgID="Excel.Sheet.12" ShapeID="_x0000_s1072" DrawAspect="Content" ObjectID="_1624096418" r:id="rId25"/>
        </w:object>
      </w:r>
      <w:r w:rsidR="00AC7F8A">
        <w:rPr>
          <w:b/>
          <w:smallCaps/>
          <w:szCs w:val="18"/>
          <w:lang w:val="es-MX"/>
        </w:rPr>
        <w:t xml:space="preserve"> </w:t>
      </w:r>
    </w:p>
    <w:p w:rsidR="00AC7F8A" w:rsidRDefault="00AC7F8A" w:rsidP="00AC7F8A">
      <w:pPr>
        <w:pStyle w:val="Texto"/>
        <w:spacing w:after="0" w:line="240" w:lineRule="exact"/>
        <w:ind w:firstLine="0"/>
        <w:jc w:val="center"/>
        <w:rPr>
          <w:szCs w:val="18"/>
        </w:rPr>
      </w:pPr>
    </w:p>
    <w:p w:rsidR="00AC7F8A" w:rsidRDefault="00AC7F8A" w:rsidP="00AC7F8A">
      <w:pPr>
        <w:pStyle w:val="Texto"/>
        <w:spacing w:after="0" w:line="240" w:lineRule="exact"/>
        <w:ind w:firstLine="0"/>
        <w:jc w:val="center"/>
        <w:rPr>
          <w:szCs w:val="18"/>
        </w:rPr>
      </w:pPr>
    </w:p>
    <w:p w:rsidR="00AC7F8A" w:rsidRDefault="00ED69A7" w:rsidP="00AC7F8A">
      <w:pPr>
        <w:pStyle w:val="Texto"/>
        <w:spacing w:after="0" w:line="240" w:lineRule="exact"/>
        <w:ind w:firstLine="0"/>
        <w:jc w:val="center"/>
        <w:rPr>
          <w:szCs w:val="18"/>
        </w:rPr>
      </w:pPr>
      <w:r>
        <w:rPr>
          <w:noProof/>
          <w:szCs w:val="18"/>
        </w:rPr>
        <w:lastRenderedPageBreak/>
        <w:object w:dxaOrig="1440" w:dyaOrig="1440">
          <v:shape id="_x0000_s1074" type="#_x0000_t75" style="position:absolute;left:0;text-align:left;margin-left:-.45pt;margin-top:7.45pt;width:690.05pt;height:440.7pt;z-index:251675648">
            <v:imagedata r:id="rId26" o:title=""/>
            <w10:wrap type="topAndBottom"/>
          </v:shape>
          <o:OLEObject Type="Embed" ProgID="Excel.Sheet.8" ShapeID="_x0000_s1074" DrawAspect="Content" ObjectID="_1624096419" r:id="rId27"/>
        </w:object>
      </w:r>
    </w:p>
    <w:p w:rsidR="00AC7F8A" w:rsidRDefault="00AC7F8A" w:rsidP="00AC7F8A">
      <w:pPr>
        <w:pStyle w:val="Texto"/>
        <w:spacing w:after="0" w:line="240" w:lineRule="exact"/>
        <w:ind w:firstLine="0"/>
        <w:jc w:val="center"/>
        <w:rPr>
          <w:szCs w:val="18"/>
        </w:rPr>
      </w:pPr>
    </w:p>
    <w:p w:rsidR="00F2754B" w:rsidRDefault="00F2754B" w:rsidP="00AC7F8A">
      <w:pPr>
        <w:pStyle w:val="Texto"/>
        <w:spacing w:after="0" w:line="240" w:lineRule="exact"/>
        <w:ind w:firstLine="0"/>
        <w:jc w:val="center"/>
        <w:rPr>
          <w:szCs w:val="18"/>
        </w:rPr>
      </w:pPr>
    </w:p>
    <w:p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rsidR="00AC7F8A" w:rsidRPr="00630DB0" w:rsidRDefault="00AC7F8A" w:rsidP="00AC7F8A">
      <w:pPr>
        <w:pStyle w:val="Texto"/>
        <w:spacing w:after="0" w:line="240" w:lineRule="exact"/>
        <w:ind w:firstLine="0"/>
        <w:rPr>
          <w:b/>
          <w:szCs w:val="18"/>
          <w:lang w:val="es-MX"/>
        </w:rPr>
      </w:pPr>
    </w:p>
    <w:p w:rsidR="00AC7F8A" w:rsidRDefault="00AC7F8A" w:rsidP="00AC7F8A">
      <w:pPr>
        <w:pStyle w:val="Texto"/>
        <w:spacing w:after="0" w:line="240" w:lineRule="exact"/>
        <w:rPr>
          <w:szCs w:val="18"/>
          <w:lang w:val="es-MX"/>
        </w:rPr>
      </w:pPr>
      <w:r>
        <w:rPr>
          <w:szCs w:val="18"/>
          <w:lang w:val="es-MX"/>
        </w:rPr>
        <w:t xml:space="preserve">Al cierre </w:t>
      </w:r>
      <w:r w:rsidR="00855D30">
        <w:rPr>
          <w:szCs w:val="18"/>
          <w:lang w:val="es-MX"/>
        </w:rPr>
        <w:t>del primer trimestre de</w:t>
      </w:r>
      <w:r>
        <w:rPr>
          <w:szCs w:val="18"/>
          <w:lang w:val="es-MX"/>
        </w:rPr>
        <w:t xml:space="preserve">l </w:t>
      </w:r>
      <w:r w:rsidRPr="00733E22">
        <w:rPr>
          <w:szCs w:val="18"/>
          <w:lang w:val="es-MX"/>
        </w:rPr>
        <w:t>ejercicio 201</w:t>
      </w:r>
      <w:r w:rsidR="00855D30">
        <w:rPr>
          <w:szCs w:val="18"/>
          <w:lang w:val="es-MX"/>
        </w:rPr>
        <w:t>9</w:t>
      </w:r>
      <w:r w:rsidRPr="00733E22">
        <w:rPr>
          <w:szCs w:val="18"/>
          <w:lang w:val="es-MX"/>
        </w:rPr>
        <w:t xml:space="preserve"> </w:t>
      </w:r>
      <w:r>
        <w:rPr>
          <w:szCs w:val="18"/>
          <w:lang w:val="es-MX"/>
        </w:rPr>
        <w:t>se</w:t>
      </w:r>
      <w:r w:rsidRPr="00733E22">
        <w:rPr>
          <w:szCs w:val="18"/>
          <w:lang w:val="es-MX"/>
        </w:rPr>
        <w:t xml:space="preserve"> utilizan cuentas de orden</w:t>
      </w:r>
      <w:r>
        <w:rPr>
          <w:szCs w:val="18"/>
          <w:lang w:val="es-MX"/>
        </w:rPr>
        <w:t xml:space="preserve"> contables las cuales tienen los siguientes saldos:</w:t>
      </w: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ind w:left="288" w:firstLine="0"/>
        <w:rPr>
          <w:szCs w:val="18"/>
          <w:lang w:val="es-MX"/>
        </w:rPr>
      </w:pPr>
      <w:r>
        <w:rPr>
          <w:lang w:val="es-MX"/>
        </w:rPr>
        <w:t xml:space="preserve">El valor del Almacén </w:t>
      </w:r>
      <w:r w:rsidRPr="00630DB0">
        <w:rPr>
          <w:lang w:val="es-MX"/>
        </w:rPr>
        <w:t>se encuentra valuad</w:t>
      </w:r>
      <w:r>
        <w:rPr>
          <w:lang w:val="es-MX"/>
        </w:rPr>
        <w:t>o</w:t>
      </w:r>
      <w:r w:rsidRPr="00630DB0">
        <w:rPr>
          <w:lang w:val="es-MX"/>
        </w:rPr>
        <w:t xml:space="preserve"> a </w:t>
      </w:r>
      <w:r>
        <w:rPr>
          <w:lang w:val="es-MX"/>
        </w:rPr>
        <w:t>primeras entradas-primeras salidas,</w:t>
      </w:r>
      <w:r w:rsidRPr="00630DB0">
        <w:rPr>
          <w:lang w:val="es-MX"/>
        </w:rPr>
        <w:t xml:space="preserve"> y </w:t>
      </w:r>
      <w:r>
        <w:rPr>
          <w:lang w:val="es-MX"/>
        </w:rPr>
        <w:t xml:space="preserve">está valuado al mes de </w:t>
      </w:r>
      <w:r w:rsidR="00F2754B">
        <w:rPr>
          <w:lang w:val="es-MX"/>
        </w:rPr>
        <w:t>junio</w:t>
      </w:r>
      <w:r>
        <w:rPr>
          <w:lang w:val="es-MX"/>
        </w:rPr>
        <w:t xml:space="preserve"> de 201</w:t>
      </w:r>
      <w:r w:rsidR="00855D30">
        <w:rPr>
          <w:lang w:val="es-MX"/>
        </w:rPr>
        <w:t>9</w:t>
      </w:r>
      <w:r w:rsidRPr="00630DB0">
        <w:rPr>
          <w:lang w:val="es-MX"/>
        </w:rPr>
        <w:t>.</w:t>
      </w:r>
    </w:p>
    <w:p w:rsidR="00AC7F8A" w:rsidRDefault="00AC7F8A" w:rsidP="00AC7F8A">
      <w:pPr>
        <w:pStyle w:val="Texto"/>
        <w:spacing w:after="0" w:line="240" w:lineRule="exact"/>
        <w:rPr>
          <w:szCs w:val="18"/>
          <w:lang w:val="es-MX"/>
        </w:rPr>
      </w:pPr>
    </w:p>
    <w:tbl>
      <w:tblPr>
        <w:tblStyle w:val="Tablanormal2"/>
        <w:tblW w:w="8962" w:type="dxa"/>
        <w:tblInd w:w="1935" w:type="dxa"/>
        <w:tblLook w:val="04A0" w:firstRow="1" w:lastRow="0" w:firstColumn="1" w:lastColumn="0" w:noHBand="0" w:noVBand="1"/>
      </w:tblPr>
      <w:tblGrid>
        <w:gridCol w:w="7261"/>
        <w:gridCol w:w="1701"/>
      </w:tblGrid>
      <w:tr w:rsidR="00AC7F8A" w:rsidRPr="00CB3FA8" w:rsidTr="00AD625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810D53" w:rsidP="00AD6257">
            <w:pPr>
              <w:rPr>
                <w:rFonts w:ascii="Arial" w:eastAsia="Times New Roman" w:hAnsi="Arial" w:cs="Arial"/>
                <w:b w:val="0"/>
                <w:i/>
                <w:color w:val="000000"/>
                <w:sz w:val="18"/>
                <w:szCs w:val="18"/>
                <w:lang w:eastAsia="es-MX"/>
              </w:rPr>
            </w:pPr>
            <w:r w:rsidRPr="00810D53">
              <w:rPr>
                <w:rFonts w:ascii="Arial" w:eastAsia="Times New Roman" w:hAnsi="Arial" w:cs="Arial"/>
                <w:b w:val="0"/>
                <w:i/>
                <w:color w:val="000000"/>
                <w:sz w:val="18"/>
                <w:szCs w:val="18"/>
                <w:lang w:eastAsia="es-MX"/>
              </w:rPr>
              <w:t>MATERIALES DE ADMINISTRACION, EMISION DE DOCUMENTOS Y ARTICULOS OFICIALES</w:t>
            </w:r>
          </w:p>
        </w:tc>
        <w:tc>
          <w:tcPr>
            <w:tcW w:w="1701" w:type="dxa"/>
            <w:hideMark/>
          </w:tcPr>
          <w:p w:rsidR="00AC7F8A" w:rsidRPr="000C02B3" w:rsidRDefault="000C02B3" w:rsidP="00F2754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4,</w:t>
            </w:r>
            <w:r w:rsidR="00F2754B">
              <w:rPr>
                <w:rFonts w:ascii="Arial" w:eastAsia="Times New Roman" w:hAnsi="Arial" w:cs="Arial"/>
                <w:b w:val="0"/>
                <w:i/>
                <w:color w:val="000000"/>
                <w:sz w:val="18"/>
                <w:szCs w:val="18"/>
                <w:lang w:eastAsia="es-MX"/>
              </w:rPr>
              <w:t>6</w:t>
            </w:r>
            <w:r w:rsidRPr="000C02B3">
              <w:rPr>
                <w:rFonts w:ascii="Arial" w:eastAsia="Times New Roman" w:hAnsi="Arial" w:cs="Arial"/>
                <w:b w:val="0"/>
                <w:i/>
                <w:color w:val="000000"/>
                <w:sz w:val="18"/>
                <w:szCs w:val="18"/>
                <w:lang w:eastAsia="es-MX"/>
              </w:rPr>
              <w:t>3</w:t>
            </w:r>
            <w:r w:rsidR="00F2754B">
              <w:rPr>
                <w:rFonts w:ascii="Arial" w:eastAsia="Times New Roman" w:hAnsi="Arial" w:cs="Arial"/>
                <w:b w:val="0"/>
                <w:i/>
                <w:color w:val="000000"/>
                <w:sz w:val="18"/>
                <w:szCs w:val="18"/>
                <w:lang w:eastAsia="es-MX"/>
              </w:rPr>
              <w:t>7</w:t>
            </w:r>
            <w:r w:rsidRPr="000C02B3">
              <w:rPr>
                <w:rFonts w:ascii="Arial" w:eastAsia="Times New Roman" w:hAnsi="Arial" w:cs="Arial"/>
                <w:b w:val="0"/>
                <w:i/>
                <w:color w:val="000000"/>
                <w:sz w:val="18"/>
                <w:szCs w:val="18"/>
                <w:lang w:eastAsia="es-MX"/>
              </w:rPr>
              <w:t>,</w:t>
            </w:r>
            <w:r w:rsidR="00F2754B">
              <w:rPr>
                <w:rFonts w:ascii="Arial" w:eastAsia="Times New Roman" w:hAnsi="Arial" w:cs="Arial"/>
                <w:b w:val="0"/>
                <w:i/>
                <w:color w:val="000000"/>
                <w:sz w:val="18"/>
                <w:szCs w:val="18"/>
                <w:lang w:eastAsia="es-MX"/>
              </w:rPr>
              <w:t>038</w:t>
            </w:r>
          </w:p>
        </w:tc>
      </w:tr>
      <w:tr w:rsidR="00A0339D" w:rsidRPr="00CB3FA8" w:rsidTr="00AD62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tcPr>
          <w:p w:rsidR="00A0339D" w:rsidRPr="000C02B3" w:rsidRDefault="00A0339D"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ALIMENTOS Y UTENSILIOS</w:t>
            </w:r>
          </w:p>
        </w:tc>
        <w:tc>
          <w:tcPr>
            <w:tcW w:w="1701" w:type="dxa"/>
          </w:tcPr>
          <w:p w:rsidR="00A0339D" w:rsidRPr="000C02B3" w:rsidRDefault="000C02B3" w:rsidP="00F275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129,83</w:t>
            </w:r>
            <w:r w:rsidR="00F2754B">
              <w:rPr>
                <w:rFonts w:ascii="Arial" w:eastAsia="Times New Roman" w:hAnsi="Arial" w:cs="Arial"/>
                <w:i/>
                <w:color w:val="000000"/>
                <w:sz w:val="18"/>
                <w:szCs w:val="18"/>
                <w:lang w:eastAsia="es-MX"/>
              </w:rPr>
              <w:t>9</w:t>
            </w:r>
          </w:p>
        </w:tc>
      </w:tr>
      <w:tr w:rsidR="00AC7F8A" w:rsidRPr="00CB3FA8" w:rsidTr="00AD6257">
        <w:trPr>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AC7F8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PRODUCTOS QUIMICOS, FARMACEUTICOS Y DE LABORATORIO</w:t>
            </w:r>
          </w:p>
        </w:tc>
        <w:tc>
          <w:tcPr>
            <w:tcW w:w="1701" w:type="dxa"/>
            <w:hideMark/>
          </w:tcPr>
          <w:p w:rsidR="00F2754B" w:rsidRPr="000C02B3" w:rsidRDefault="00F2754B" w:rsidP="00F275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74,920,351</w:t>
            </w:r>
          </w:p>
        </w:tc>
      </w:tr>
      <w:tr w:rsidR="00AC7F8A" w:rsidRPr="00CB3FA8" w:rsidTr="00AD62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AC7F8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VESTUARIO, BLANCOS, PRENDAS DE PROTECCION Y ARTICULOS DEPORTIVOS</w:t>
            </w:r>
          </w:p>
        </w:tc>
        <w:tc>
          <w:tcPr>
            <w:tcW w:w="1701" w:type="dxa"/>
            <w:hideMark/>
          </w:tcPr>
          <w:p w:rsidR="00AC7F8A" w:rsidRPr="000C02B3" w:rsidRDefault="00F2754B" w:rsidP="00AD625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0</w:t>
            </w:r>
          </w:p>
        </w:tc>
      </w:tr>
      <w:tr w:rsidR="00A0339D" w:rsidRPr="008043B4" w:rsidTr="00AD6257">
        <w:trPr>
          <w:trHeight w:val="257"/>
        </w:trPr>
        <w:tc>
          <w:tcPr>
            <w:cnfStyle w:val="001000000000" w:firstRow="0" w:lastRow="0" w:firstColumn="1" w:lastColumn="0" w:oddVBand="0" w:evenVBand="0" w:oddHBand="0" w:evenHBand="0" w:firstRowFirstColumn="0" w:firstRowLastColumn="0" w:lastRowFirstColumn="0" w:lastRowLastColumn="0"/>
            <w:tcW w:w="7261" w:type="dxa"/>
          </w:tcPr>
          <w:p w:rsidR="00A0339D" w:rsidRPr="000C02B3" w:rsidRDefault="00A0339D"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HERRAMIENTAS, REFACCIONES Y ACCESORIOS MENORES</w:t>
            </w:r>
          </w:p>
        </w:tc>
        <w:tc>
          <w:tcPr>
            <w:tcW w:w="1701" w:type="dxa"/>
          </w:tcPr>
          <w:p w:rsidR="00A0339D" w:rsidRPr="000C02B3" w:rsidRDefault="000C02B3" w:rsidP="00F275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8,</w:t>
            </w:r>
            <w:r w:rsidR="00F2754B">
              <w:rPr>
                <w:rFonts w:ascii="Arial" w:eastAsia="Times New Roman" w:hAnsi="Arial" w:cs="Arial"/>
                <w:i/>
                <w:color w:val="000000"/>
                <w:sz w:val="18"/>
                <w:szCs w:val="18"/>
                <w:lang w:eastAsia="es-MX"/>
              </w:rPr>
              <w:t>96</w:t>
            </w:r>
            <w:r w:rsidRPr="000C02B3">
              <w:rPr>
                <w:rFonts w:ascii="Arial" w:eastAsia="Times New Roman" w:hAnsi="Arial" w:cs="Arial"/>
                <w:i/>
                <w:color w:val="000000"/>
                <w:sz w:val="18"/>
                <w:szCs w:val="18"/>
                <w:lang w:eastAsia="es-MX"/>
              </w:rPr>
              <w:t>4</w:t>
            </w:r>
          </w:p>
        </w:tc>
      </w:tr>
    </w:tbl>
    <w:p w:rsidR="00AC7F8A" w:rsidRDefault="00AC7F8A" w:rsidP="00AC7F8A">
      <w:pPr>
        <w:pStyle w:val="Texto"/>
        <w:spacing w:after="0" w:line="240" w:lineRule="exact"/>
        <w:rPr>
          <w:szCs w:val="18"/>
          <w:lang w:val="es-MX"/>
        </w:rPr>
      </w:pPr>
    </w:p>
    <w:p w:rsidR="00AC7F8A" w:rsidRDefault="00CB3FA8" w:rsidP="00AC7F8A">
      <w:pPr>
        <w:pStyle w:val="Texto"/>
        <w:spacing w:after="0" w:line="240" w:lineRule="exact"/>
        <w:rPr>
          <w:szCs w:val="18"/>
          <w:lang w:val="es-MX"/>
        </w:rPr>
      </w:pPr>
      <w:r>
        <w:rPr>
          <w:szCs w:val="18"/>
          <w:lang w:val="es-MX"/>
        </w:rPr>
        <w:t xml:space="preserve">Al cierre del primer trimestre del </w:t>
      </w:r>
      <w:r w:rsidRPr="00733E22">
        <w:rPr>
          <w:szCs w:val="18"/>
          <w:lang w:val="es-MX"/>
        </w:rPr>
        <w:t>ejercicio 201</w:t>
      </w:r>
      <w:r>
        <w:rPr>
          <w:szCs w:val="18"/>
          <w:lang w:val="es-MX"/>
        </w:rPr>
        <w:t>9</w:t>
      </w:r>
      <w:r w:rsidRPr="00733E22">
        <w:rPr>
          <w:szCs w:val="18"/>
          <w:lang w:val="es-MX"/>
        </w:rPr>
        <w:t xml:space="preserve"> </w:t>
      </w:r>
      <w:r w:rsidR="00AC7F8A">
        <w:rPr>
          <w:szCs w:val="18"/>
          <w:lang w:val="es-MX"/>
        </w:rPr>
        <w:t>se</w:t>
      </w:r>
      <w:r w:rsidR="00AC7F8A" w:rsidRPr="00733E22">
        <w:rPr>
          <w:szCs w:val="18"/>
          <w:lang w:val="es-MX"/>
        </w:rPr>
        <w:t xml:space="preserve"> utilizan cuentas de orden</w:t>
      </w:r>
      <w:r w:rsidR="00AC7F8A">
        <w:rPr>
          <w:szCs w:val="18"/>
          <w:lang w:val="es-MX"/>
        </w:rPr>
        <w:t xml:space="preserve"> presupuestarias que se enlistan a continuación:</w:t>
      </w:r>
    </w:p>
    <w:p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rsidTr="00A0339D">
        <w:trPr>
          <w:trHeight w:val="285"/>
        </w:trPr>
        <w:tc>
          <w:tcPr>
            <w:tcW w:w="6618" w:type="dxa"/>
            <w:shd w:val="clear" w:color="auto" w:fill="auto"/>
            <w:vAlign w:val="bottom"/>
          </w:tcPr>
          <w:p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rsidTr="00A0339D">
        <w:trPr>
          <w:trHeight w:val="285"/>
        </w:trPr>
        <w:tc>
          <w:tcPr>
            <w:tcW w:w="6618" w:type="dxa"/>
            <w:shd w:val="clear" w:color="auto" w:fill="auto"/>
            <w:vAlign w:val="bottom"/>
            <w:hideMark/>
          </w:tcPr>
          <w:p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rsidR="00AC7F8A" w:rsidRPr="00630DB0" w:rsidRDefault="00AC7F8A" w:rsidP="00AC7F8A">
      <w:pPr>
        <w:pStyle w:val="Texto"/>
        <w:spacing w:after="0" w:line="240" w:lineRule="exact"/>
        <w:rPr>
          <w:szCs w:val="18"/>
          <w:lang w:val="es-MX"/>
        </w:rPr>
      </w:pPr>
      <w:r>
        <w:rPr>
          <w:szCs w:val="18"/>
          <w:lang w:val="es-MX"/>
        </w:rPr>
        <w:br w:type="textWrapping" w:clear="all"/>
      </w:r>
    </w:p>
    <w:p w:rsidR="00AC7F8A" w:rsidRDefault="00AC7F8A" w:rsidP="00AC7F8A">
      <w:pPr>
        <w:pStyle w:val="Texto"/>
        <w:spacing w:after="0" w:line="240" w:lineRule="exact"/>
        <w:rPr>
          <w:szCs w:val="18"/>
          <w:lang w:val="es-MX"/>
        </w:rPr>
      </w:pPr>
    </w:p>
    <w:p w:rsidR="00A0339D" w:rsidRDefault="00A0339D" w:rsidP="00AC7F8A">
      <w:pPr>
        <w:pStyle w:val="Texto"/>
        <w:spacing w:after="0" w:line="240" w:lineRule="exact"/>
        <w:rPr>
          <w:szCs w:val="18"/>
          <w:lang w:val="es-MX"/>
        </w:rPr>
      </w:pPr>
    </w:p>
    <w:p w:rsidR="00A0339D" w:rsidRPr="00630DB0" w:rsidRDefault="00A0339D" w:rsidP="00AC7F8A">
      <w:pPr>
        <w:pStyle w:val="Texto"/>
        <w:spacing w:after="0" w:line="240" w:lineRule="exact"/>
        <w:rPr>
          <w:szCs w:val="18"/>
          <w:lang w:val="es-MX"/>
        </w:rPr>
      </w:pPr>
    </w:p>
    <w:p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rsidR="00AC7F8A" w:rsidRPr="00630DB0" w:rsidRDefault="00AC7F8A" w:rsidP="00AC7F8A">
      <w:pPr>
        <w:pStyle w:val="Texto"/>
        <w:spacing w:after="0" w:line="240" w:lineRule="exact"/>
        <w:ind w:firstLine="0"/>
        <w:jc w:val="left"/>
        <w:rPr>
          <w:b/>
          <w:szCs w:val="18"/>
          <w:lang w:val="es-MX"/>
        </w:rPr>
      </w:pPr>
    </w:p>
    <w:p w:rsidR="00AC7F8A" w:rsidRPr="00630DB0" w:rsidRDefault="00AC7F8A" w:rsidP="00AC7F8A">
      <w:pPr>
        <w:pStyle w:val="Texto"/>
        <w:spacing w:after="0" w:line="240" w:lineRule="exact"/>
        <w:rPr>
          <w:b/>
          <w:szCs w:val="18"/>
        </w:rPr>
      </w:pPr>
      <w:r w:rsidRPr="00630DB0">
        <w:rPr>
          <w:b/>
          <w:szCs w:val="18"/>
          <w:lang w:val="es-MX"/>
        </w:rPr>
        <w:t>Introducción</w:t>
      </w:r>
    </w:p>
    <w:p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rsidR="00AC7F8A"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el </w:t>
      </w:r>
      <w:r w:rsidR="00F2754B">
        <w:rPr>
          <w:szCs w:val="18"/>
        </w:rPr>
        <w:t>89.07</w:t>
      </w:r>
      <w:r w:rsidRPr="00630DB0">
        <w:rPr>
          <w:szCs w:val="18"/>
        </w:rPr>
        <w:t xml:space="preserve">% de los recursos destinados para su operación son de carácter federal y en un mínimo porcentaje de carácter propio.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los mismos;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rsidR="00AC7F8A" w:rsidRDefault="00AC7F8A" w:rsidP="00AC7F8A">
      <w:pPr>
        <w:pStyle w:val="Texto"/>
        <w:spacing w:after="0" w:line="240" w:lineRule="exact"/>
        <w:ind w:firstLine="0"/>
        <w:rPr>
          <w:szCs w:val="18"/>
        </w:rPr>
      </w:pPr>
    </w:p>
    <w:p w:rsidR="00AC7F8A" w:rsidRPr="00C53075" w:rsidRDefault="00AC7F8A" w:rsidP="00AC7F8A">
      <w:pPr>
        <w:pStyle w:val="Texto"/>
        <w:spacing w:after="0" w:line="240" w:lineRule="exact"/>
        <w:rPr>
          <w:szCs w:val="18"/>
        </w:rPr>
      </w:pPr>
      <w:r w:rsidRPr="00C53075">
        <w:rPr>
          <w:szCs w:val="18"/>
        </w:rPr>
        <w:t xml:space="preserve">El ejercicio Fiscal que comprende la presente cuenta pública comprende del 01 de enero al </w:t>
      </w:r>
      <w:r w:rsidR="00F2754B">
        <w:rPr>
          <w:szCs w:val="18"/>
        </w:rPr>
        <w:t>31</w:t>
      </w:r>
      <w:r w:rsidRPr="00C53075">
        <w:rPr>
          <w:szCs w:val="18"/>
        </w:rPr>
        <w:t xml:space="preserve"> de </w:t>
      </w:r>
      <w:r w:rsidR="00F2754B">
        <w:rPr>
          <w:szCs w:val="18"/>
        </w:rPr>
        <w:t>diciembre</w:t>
      </w:r>
      <w:r w:rsidRPr="00C53075">
        <w:rPr>
          <w:szCs w:val="18"/>
        </w:rPr>
        <w:t xml:space="preserve"> de 201</w:t>
      </w:r>
      <w:r w:rsidR="00F2754B">
        <w:rPr>
          <w:szCs w:val="18"/>
        </w:rPr>
        <w:t>9</w:t>
      </w:r>
      <w:r w:rsidRPr="00C53075">
        <w:rPr>
          <w:szCs w:val="18"/>
        </w:rPr>
        <w:t>.</w:t>
      </w:r>
    </w:p>
    <w:p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rsidR="00AC7F8A" w:rsidRPr="00C53075" w:rsidRDefault="00AC7F8A" w:rsidP="00AC7F8A">
      <w:pPr>
        <w:pStyle w:val="Texto"/>
        <w:spacing w:after="0" w:line="240" w:lineRule="exact"/>
        <w:rPr>
          <w:szCs w:val="18"/>
        </w:rPr>
      </w:pPr>
      <w:r w:rsidRPr="00C53075">
        <w:rPr>
          <w:szCs w:val="18"/>
        </w:rPr>
        <w:t>Fiscalmente tiene las siguientes obligaciones</w:t>
      </w:r>
    </w:p>
    <w:p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INCISO"/>
        <w:spacing w:after="0" w:line="240" w:lineRule="exact"/>
        <w:ind w:left="284" w:firstLine="0"/>
      </w:pPr>
    </w:p>
    <w:p w:rsidR="00A0339D" w:rsidRDefault="00A0339D" w:rsidP="00AC7F8A">
      <w:pPr>
        <w:pStyle w:val="INCISO"/>
        <w:spacing w:after="0" w:line="240" w:lineRule="exact"/>
        <w:ind w:left="284" w:firstLine="0"/>
      </w:pPr>
    </w:p>
    <w:p w:rsidR="00AC7F8A" w:rsidRPr="00630DB0" w:rsidRDefault="00AC7F8A" w:rsidP="00AC7F8A">
      <w:pPr>
        <w:pStyle w:val="INCISO"/>
        <w:spacing w:after="0" w:line="240" w:lineRule="exact"/>
        <w:ind w:left="284" w:firstLine="0"/>
      </w:pPr>
      <w:r w:rsidRPr="00630DB0">
        <w:t>Estructura organizacional básica</w:t>
      </w:r>
    </w:p>
    <w:p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30988EA2" wp14:editId="67A4A41B">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rsidR="00AC7F8A" w:rsidRPr="00630DB0" w:rsidRDefault="00AC7F8A" w:rsidP="00AC7F8A">
      <w:pPr>
        <w:pStyle w:val="Texto"/>
        <w:spacing w:after="0" w:line="240" w:lineRule="exact"/>
        <w:ind w:firstLine="708"/>
        <w:rPr>
          <w:szCs w:val="18"/>
        </w:rPr>
      </w:pPr>
    </w:p>
    <w:p w:rsidR="00AC7F8A" w:rsidRDefault="00AC7F8A" w:rsidP="00AC7F8A">
      <w:pPr>
        <w:pStyle w:val="INCISO"/>
        <w:spacing w:after="0" w:line="240" w:lineRule="exact"/>
      </w:pPr>
    </w:p>
    <w:p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rsidR="00AC7F8A" w:rsidRPr="00C66A86" w:rsidRDefault="00AC7F8A" w:rsidP="00AC7F8A">
      <w:pPr>
        <w:pStyle w:val="INCISO"/>
        <w:spacing w:after="0" w:line="240" w:lineRule="exact"/>
        <w:ind w:left="0" w:firstLine="284"/>
      </w:pPr>
      <w:r w:rsidRPr="00C66A86">
        <w:t>Los Postulados básicos considerados fueron:</w:t>
      </w:r>
    </w:p>
    <w:p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rsidR="00AC7F8A" w:rsidRPr="00C66A86" w:rsidRDefault="00AC7F8A" w:rsidP="00AC7F8A">
      <w:pPr>
        <w:pStyle w:val="INCISO"/>
        <w:spacing w:after="0" w:line="240" w:lineRule="exact"/>
        <w:ind w:left="709" w:firstLine="0"/>
      </w:pPr>
      <w:r w:rsidRPr="00C66A86">
        <w:t>2) Entes Públicos</w:t>
      </w:r>
    </w:p>
    <w:p w:rsidR="00AC7F8A" w:rsidRPr="00C66A86" w:rsidRDefault="00AC7F8A" w:rsidP="00AC7F8A">
      <w:pPr>
        <w:pStyle w:val="INCISO"/>
        <w:spacing w:after="0" w:line="240" w:lineRule="exact"/>
        <w:ind w:left="709" w:firstLine="0"/>
      </w:pPr>
      <w:r w:rsidRPr="00C66A86">
        <w:t>3) Existencia Permanente</w:t>
      </w:r>
    </w:p>
    <w:p w:rsidR="00AC7F8A" w:rsidRPr="00C66A86" w:rsidRDefault="00AC7F8A" w:rsidP="00AC7F8A">
      <w:pPr>
        <w:pStyle w:val="INCISO"/>
        <w:spacing w:after="0" w:line="240" w:lineRule="exact"/>
        <w:ind w:left="709" w:firstLine="0"/>
      </w:pPr>
      <w:r w:rsidRPr="00C66A86">
        <w:t>4) Revelación Suficiente</w:t>
      </w:r>
    </w:p>
    <w:p w:rsidR="00AC7F8A" w:rsidRPr="00630DB0" w:rsidRDefault="00AC7F8A" w:rsidP="00AC7F8A">
      <w:pPr>
        <w:pStyle w:val="INCISO"/>
        <w:spacing w:after="0" w:line="240" w:lineRule="exact"/>
        <w:ind w:left="709" w:firstLine="0"/>
      </w:pPr>
      <w:r w:rsidRPr="00630DB0">
        <w:t>5) Importancia Relativa</w:t>
      </w:r>
    </w:p>
    <w:p w:rsidR="00AC7F8A" w:rsidRPr="00630DB0" w:rsidRDefault="00AC7F8A" w:rsidP="00AC7F8A">
      <w:pPr>
        <w:pStyle w:val="INCISO"/>
        <w:spacing w:after="0" w:line="240" w:lineRule="exact"/>
        <w:ind w:left="709" w:firstLine="0"/>
      </w:pPr>
      <w:r w:rsidRPr="00630DB0">
        <w:t>6) Registro e Integración Presupuestaria</w:t>
      </w:r>
    </w:p>
    <w:p w:rsidR="00AC7F8A" w:rsidRPr="00630DB0" w:rsidRDefault="00AC7F8A" w:rsidP="00AC7F8A">
      <w:pPr>
        <w:pStyle w:val="INCISO"/>
        <w:spacing w:after="0" w:line="240" w:lineRule="exact"/>
        <w:ind w:left="709" w:firstLine="0"/>
      </w:pPr>
      <w:r w:rsidRPr="00630DB0">
        <w:t>7) Consolidación de la Información Financiera</w:t>
      </w:r>
    </w:p>
    <w:p w:rsidR="00AC7F8A" w:rsidRPr="00630DB0" w:rsidRDefault="00AC7F8A" w:rsidP="00AC7F8A">
      <w:pPr>
        <w:pStyle w:val="INCISO"/>
        <w:spacing w:after="0" w:line="240" w:lineRule="exact"/>
        <w:ind w:left="709" w:firstLine="0"/>
      </w:pPr>
      <w:r w:rsidRPr="00630DB0">
        <w:t>8) Devengo Contable</w:t>
      </w:r>
    </w:p>
    <w:p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rsidR="00AC7F8A" w:rsidRPr="00630DB0" w:rsidRDefault="00AC7F8A" w:rsidP="00AC7F8A">
      <w:pPr>
        <w:pStyle w:val="INCISO"/>
        <w:spacing w:after="0" w:line="240" w:lineRule="exact"/>
        <w:ind w:left="709" w:firstLine="0"/>
      </w:pPr>
      <w:r w:rsidRPr="00630DB0">
        <w:t>10) Dualidad Económica</w:t>
      </w:r>
    </w:p>
    <w:p w:rsidR="00AC7F8A" w:rsidRPr="00630DB0" w:rsidRDefault="00AC7F8A" w:rsidP="00AC7F8A">
      <w:pPr>
        <w:pStyle w:val="INCISO"/>
        <w:spacing w:after="0" w:line="240" w:lineRule="exact"/>
        <w:ind w:left="709" w:firstLine="0"/>
      </w:pPr>
      <w:r w:rsidRPr="00630DB0">
        <w:t>11) Consistencia</w:t>
      </w:r>
    </w:p>
    <w:p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rsidR="00AC7F8A" w:rsidRPr="00630DB0" w:rsidRDefault="00AC7F8A" w:rsidP="00AC7F8A">
      <w:pPr>
        <w:pStyle w:val="Texto"/>
        <w:spacing w:after="0" w:line="240" w:lineRule="exact"/>
        <w:ind w:left="1440" w:hanging="360"/>
        <w:rPr>
          <w:szCs w:val="18"/>
        </w:rPr>
      </w:pPr>
    </w:p>
    <w:p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rsidR="00AC7F8A" w:rsidRPr="00630DB0" w:rsidRDefault="00AC7F8A" w:rsidP="00AC7F8A">
      <w:pPr>
        <w:pStyle w:val="Texto"/>
        <w:spacing w:after="0" w:line="240" w:lineRule="exact"/>
        <w:rPr>
          <w:szCs w:val="18"/>
        </w:rPr>
      </w:pPr>
      <w:r w:rsidRPr="00630DB0">
        <w:rPr>
          <w:szCs w:val="18"/>
        </w:rPr>
        <w:t>Se informará sobre:</w:t>
      </w:r>
    </w:p>
    <w:p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 los adquiridos en el ejercicio 2016 al 2018 a valor histórico; el valor de los edificios no habitacionales se encuentra valuado al 30 de junio de 2016 y las obras que</w:t>
      </w:r>
      <w:r>
        <w:t xml:space="preserve"> se concluyan después de esta fecha serán reconocidas al valor de construcción.</w:t>
      </w:r>
    </w:p>
    <w:p w:rsidR="00AC7F8A" w:rsidRPr="00630DB0" w:rsidRDefault="00AC7F8A" w:rsidP="00AC7F8A">
      <w:pPr>
        <w:pStyle w:val="INCISO"/>
        <w:spacing w:after="0" w:line="240" w:lineRule="exact"/>
      </w:pPr>
      <w:r w:rsidRPr="00630DB0">
        <w:t>b)</w:t>
      </w:r>
      <w:r w:rsidRPr="00630DB0">
        <w:tab/>
        <w:t>No se realizaron operaciones en el extranjero.</w:t>
      </w:r>
    </w:p>
    <w:p w:rsidR="00AC7F8A" w:rsidRPr="00630DB0" w:rsidRDefault="00AC7F8A" w:rsidP="00AC7F8A">
      <w:pPr>
        <w:pStyle w:val="INCISO"/>
        <w:spacing w:after="0" w:line="240" w:lineRule="exact"/>
      </w:pPr>
      <w:r w:rsidRPr="00630DB0">
        <w:t>c)</w:t>
      </w:r>
      <w:r w:rsidRPr="00630DB0">
        <w:tab/>
        <w:t>No se realiza inversión en acciones en el Sector Paraestatal.</w:t>
      </w:r>
    </w:p>
    <w:p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rsidR="00AC7F8A" w:rsidRPr="00630DB0" w:rsidRDefault="00AC7F8A" w:rsidP="00AC7F8A">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rsidR="00AC7F8A" w:rsidRPr="00630DB0" w:rsidRDefault="00AC7F8A" w:rsidP="00AC7F8A">
      <w:pPr>
        <w:pStyle w:val="INCISO"/>
        <w:spacing w:after="0" w:line="240" w:lineRule="exact"/>
      </w:pPr>
      <w:r w:rsidRPr="00630DB0">
        <w:t>f)</w:t>
      </w:r>
      <w:r w:rsidRPr="00630DB0">
        <w:tab/>
      </w:r>
      <w:r>
        <w:t xml:space="preserve">No se tiene registrado una </w:t>
      </w:r>
      <w:r w:rsidRPr="00994CB8">
        <w:t>p</w:t>
      </w:r>
      <w:r>
        <w:t>rovisión</w:t>
      </w:r>
      <w:r w:rsidRPr="00994CB8">
        <w:t xml:space="preserve"> </w:t>
      </w:r>
      <w:r>
        <w:t>para pasivos laborales</w:t>
      </w:r>
      <w:r w:rsidRPr="00630DB0">
        <w:t>.</w:t>
      </w:r>
    </w:p>
    <w:p w:rsidR="00AC7F8A" w:rsidRPr="00630DB0" w:rsidRDefault="00AC7F8A" w:rsidP="00AC7F8A">
      <w:pPr>
        <w:pStyle w:val="INCISO"/>
        <w:spacing w:after="0" w:line="240" w:lineRule="exact"/>
      </w:pPr>
      <w:r w:rsidRPr="00630DB0">
        <w:t>g)</w:t>
      </w:r>
      <w:r w:rsidRPr="00630DB0">
        <w:tab/>
        <w:t>No se determinaron reservas durante el ejercicio.</w:t>
      </w:r>
    </w:p>
    <w:p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rsidR="00AC7F8A" w:rsidRPr="00630DB0" w:rsidRDefault="00AC7F8A" w:rsidP="00AC7F8A">
      <w:pPr>
        <w:pStyle w:val="INCISO"/>
        <w:spacing w:after="0" w:line="240" w:lineRule="exact"/>
      </w:pPr>
      <w:r w:rsidRPr="00630DB0">
        <w:t>a)</w:t>
      </w:r>
      <w:r w:rsidRPr="00630DB0">
        <w:tab/>
      </w:r>
      <w:r w:rsidRPr="00B8048F">
        <w:t xml:space="preserve">Durante el </w:t>
      </w:r>
      <w:r w:rsidR="00CB3FA8">
        <w:t xml:space="preserve">primer trimestre del </w:t>
      </w:r>
      <w:r w:rsidRPr="00B8048F">
        <w:t>ejercicio 201</w:t>
      </w:r>
      <w:r w:rsidR="00CB3FA8">
        <w:t>9</w:t>
      </w:r>
      <w:r w:rsidRPr="00B8048F">
        <w:t xml:space="preserve"> no se han realizado depreciaciones de activos.</w:t>
      </w:r>
    </w:p>
    <w:p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CB3FA8">
        <w:t xml:space="preserve">primer trimestre del </w:t>
      </w:r>
      <w:r w:rsidRPr="00630DB0">
        <w:t>ejercicio 201</w:t>
      </w:r>
      <w:r w:rsidR="00CB3FA8">
        <w:t>9</w:t>
      </w:r>
      <w:r>
        <w:t>.</w:t>
      </w:r>
    </w:p>
    <w:p w:rsidR="00AC7F8A" w:rsidRPr="00630DB0" w:rsidRDefault="00AC7F8A" w:rsidP="00AC7F8A">
      <w:pPr>
        <w:pStyle w:val="INCISO"/>
        <w:spacing w:after="0" w:line="240" w:lineRule="exact"/>
      </w:pPr>
      <w:r w:rsidRPr="00630DB0">
        <w:t>g)</w:t>
      </w:r>
      <w:r w:rsidRPr="00630DB0">
        <w:tab/>
        <w:t>No se llevaron a cabo desmantelamiento de Activos.</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r w:rsidRPr="00630DB0">
        <w:rPr>
          <w:b/>
          <w:szCs w:val="18"/>
          <w:lang w:val="es-MX"/>
        </w:rPr>
        <w:t>Reporte de la Recaudación</w:t>
      </w:r>
    </w:p>
    <w:p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rsidR="00AC7F8A"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rsidR="00AC7F8A" w:rsidRPr="00630DB0" w:rsidRDefault="00AC7F8A" w:rsidP="00AC7F8A">
      <w:pPr>
        <w:pStyle w:val="INCISO"/>
        <w:spacing w:after="0" w:line="240" w:lineRule="exact"/>
        <w:rPr>
          <w:lang w:val="es-MX"/>
        </w:rPr>
      </w:pPr>
    </w:p>
    <w:p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Proceso de Mejora</w:t>
      </w:r>
    </w:p>
    <w:p w:rsidR="00AC7F8A" w:rsidRPr="00994CB8" w:rsidRDefault="00AC7F8A" w:rsidP="00AC7F8A">
      <w:pPr>
        <w:pStyle w:val="Texto"/>
        <w:spacing w:after="0" w:line="240" w:lineRule="exact"/>
        <w:rPr>
          <w:szCs w:val="18"/>
        </w:rPr>
      </w:pPr>
      <w:r w:rsidRPr="00994CB8">
        <w:rPr>
          <w:szCs w:val="18"/>
        </w:rPr>
        <w:t>Se informará de:</w:t>
      </w:r>
    </w:p>
    <w:p w:rsidR="00AC7F8A" w:rsidRPr="00994CB8" w:rsidRDefault="00AC7F8A" w:rsidP="00AC7F8A">
      <w:pPr>
        <w:pStyle w:val="INCISO"/>
        <w:spacing w:after="0" w:line="240" w:lineRule="exact"/>
      </w:pPr>
      <w:r w:rsidRPr="00994CB8">
        <w:t>a)</w:t>
      </w:r>
      <w:r w:rsidRPr="00994CB8">
        <w:tab/>
        <w:t>Principales Políticas de control interno</w:t>
      </w:r>
    </w:p>
    <w:p w:rsidR="00AC7F8A" w:rsidRPr="00630DB0" w:rsidRDefault="00AC7F8A" w:rsidP="00AC7F8A">
      <w:pPr>
        <w:pStyle w:val="INCISO"/>
        <w:spacing w:after="0" w:line="240" w:lineRule="exact"/>
      </w:pPr>
      <w:r w:rsidRPr="00994CB8">
        <w:t>b)</w:t>
      </w:r>
      <w:r w:rsidRPr="00994CB8">
        <w:tab/>
        <w:t>Medidas de desempeño financiero, metas y alcance.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rsidR="00AC7F8A" w:rsidRPr="00630DB0" w:rsidRDefault="00AC7F8A" w:rsidP="00AC7F8A">
      <w:pPr>
        <w:pStyle w:val="Texto"/>
        <w:spacing w:after="0" w:line="240" w:lineRule="exact"/>
        <w:ind w:left="708" w:firstLine="0"/>
        <w:rPr>
          <w:szCs w:val="18"/>
        </w:rPr>
      </w:pPr>
    </w:p>
    <w:p w:rsidR="00AC7F8A" w:rsidRPr="00630DB0" w:rsidRDefault="00AC7F8A" w:rsidP="00AC7F8A">
      <w:pPr>
        <w:pStyle w:val="Texto"/>
        <w:spacing w:after="0" w:line="240" w:lineRule="exact"/>
        <w:ind w:firstLine="0"/>
        <w:rPr>
          <w:szCs w:val="18"/>
        </w:rPr>
      </w:pPr>
    </w:p>
    <w:p w:rsidR="00AC7F8A" w:rsidRDefault="00AC7F8A" w:rsidP="00AC7F8A">
      <w:pPr>
        <w:pStyle w:val="Texto"/>
        <w:spacing w:after="0" w:line="240" w:lineRule="exact"/>
        <w:rPr>
          <w:b/>
          <w:szCs w:val="18"/>
          <w:lang w:val="es-MX"/>
        </w:rPr>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Partes Relacionadas</w:t>
      </w:r>
    </w:p>
    <w:p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rsidR="00AC7F8A" w:rsidRPr="00630DB0" w:rsidRDefault="00AC7F8A" w:rsidP="00AC7F8A">
      <w:pPr>
        <w:pStyle w:val="Texto"/>
        <w:spacing w:after="0" w:line="240" w:lineRule="exact"/>
        <w:rPr>
          <w:szCs w:val="18"/>
        </w:rPr>
      </w:pPr>
    </w:p>
    <w:p w:rsidR="00AC7F8A" w:rsidRDefault="00AC7F8A" w:rsidP="00AC7F8A">
      <w:pPr>
        <w:pStyle w:val="Texto"/>
        <w:spacing w:after="0" w:line="240" w:lineRule="auto"/>
        <w:ind w:firstLine="289"/>
        <w:rPr>
          <w:b/>
          <w:szCs w:val="18"/>
          <w:lang w:val="es-MX"/>
        </w:rPr>
      </w:pPr>
    </w:p>
    <w:p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rsidR="00AC7F8A" w:rsidRDefault="00AC7F8A" w:rsidP="00AC7F8A">
      <w:pPr>
        <w:pStyle w:val="Texto"/>
        <w:spacing w:after="0" w:line="240" w:lineRule="auto"/>
        <w:ind w:firstLine="289"/>
        <w:rPr>
          <w:szCs w:val="18"/>
        </w:rPr>
      </w:pPr>
      <w:r w:rsidRPr="00630DB0">
        <w:rPr>
          <w:szCs w:val="18"/>
        </w:rPr>
        <w:t>Bajo protesta de decir verdad declaramos que los Estados Financieros y sus Notas son razonablemente correctos y responsabilidad del emisor</w:t>
      </w:r>
    </w:p>
    <w:p w:rsidR="00AC7F8A" w:rsidRPr="00630DB0" w:rsidRDefault="00AC7F8A" w:rsidP="00AC7F8A">
      <w:pPr>
        <w:pStyle w:val="Texto"/>
        <w:spacing w:after="0" w:line="240" w:lineRule="auto"/>
        <w:ind w:firstLine="289"/>
        <w:rPr>
          <w:szCs w:val="18"/>
        </w:rPr>
      </w:pPr>
    </w:p>
    <w:p w:rsidR="00AC7F8A" w:rsidRDefault="00AC7F8A"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rsidTr="00AD6257">
        <w:trPr>
          <w:trHeight w:val="300"/>
        </w:trPr>
        <w:tc>
          <w:tcPr>
            <w:tcW w:w="959" w:type="dxa"/>
            <w:noWrap/>
            <w:hideMark/>
          </w:tcPr>
          <w:p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rsidR="00AC7F8A" w:rsidRPr="00630DB0" w:rsidRDefault="00AC7F8A" w:rsidP="00AD6257">
            <w:pPr>
              <w:pStyle w:val="Texto"/>
              <w:spacing w:after="0" w:line="240" w:lineRule="auto"/>
              <w:ind w:firstLine="0"/>
              <w:jc w:val="center"/>
              <w:rPr>
                <w:szCs w:val="18"/>
              </w:rPr>
            </w:pPr>
            <w:r w:rsidRPr="00630DB0">
              <w:rPr>
                <w:szCs w:val="18"/>
              </w:rPr>
              <w:t>Dr. A</w:t>
            </w:r>
            <w:r>
              <w:rPr>
                <w:szCs w:val="18"/>
              </w:rPr>
              <w:t xml:space="preserve">lberto </w:t>
            </w:r>
            <w:proofErr w:type="spellStart"/>
            <w:r>
              <w:rPr>
                <w:szCs w:val="18"/>
              </w:rPr>
              <w:t>Jonguitud</w:t>
            </w:r>
            <w:proofErr w:type="spellEnd"/>
            <w:r>
              <w:rPr>
                <w:szCs w:val="18"/>
              </w:rPr>
              <w:t xml:space="preserve"> Falcón</w:t>
            </w:r>
          </w:p>
        </w:tc>
        <w:tc>
          <w:tcPr>
            <w:tcW w:w="2410" w:type="dxa"/>
            <w:noWrap/>
            <w:hideMark/>
          </w:tcPr>
          <w:p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rsidR="00AC7F8A" w:rsidRPr="00630DB0" w:rsidRDefault="00AC7F8A" w:rsidP="00AD6257">
            <w:pPr>
              <w:pStyle w:val="Texto"/>
              <w:spacing w:after="0" w:line="240" w:lineRule="auto"/>
              <w:ind w:firstLine="0"/>
              <w:jc w:val="center"/>
              <w:rPr>
                <w:szCs w:val="18"/>
              </w:rPr>
            </w:pPr>
            <w:r w:rsidRPr="007A05F1">
              <w:rPr>
                <w:szCs w:val="18"/>
              </w:rPr>
              <w:t>C.P. María Guadalupe Zamora Rodríguez</w:t>
            </w:r>
          </w:p>
        </w:tc>
        <w:tc>
          <w:tcPr>
            <w:tcW w:w="425" w:type="dxa"/>
            <w:noWrap/>
            <w:hideMark/>
          </w:tcPr>
          <w:p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rsidTr="00AD6257">
        <w:trPr>
          <w:trHeight w:val="426"/>
        </w:trPr>
        <w:tc>
          <w:tcPr>
            <w:tcW w:w="959" w:type="dxa"/>
            <w:noWrap/>
            <w:hideMark/>
          </w:tcPr>
          <w:p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rsidR="00AC7F8A" w:rsidRPr="00630DB0" w:rsidRDefault="00AC7F8A" w:rsidP="00AD6257">
            <w:pPr>
              <w:pStyle w:val="Texto"/>
              <w:spacing w:after="0" w:line="240" w:lineRule="auto"/>
              <w:ind w:firstLine="289"/>
              <w:jc w:val="center"/>
              <w:rPr>
                <w:szCs w:val="18"/>
              </w:rPr>
            </w:pPr>
          </w:p>
        </w:tc>
        <w:tc>
          <w:tcPr>
            <w:tcW w:w="4961" w:type="dxa"/>
            <w:hideMark/>
          </w:tcPr>
          <w:p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rsidR="00AC7F8A" w:rsidRPr="00630DB0" w:rsidRDefault="00AC7F8A" w:rsidP="00AD6257">
            <w:pPr>
              <w:pStyle w:val="Texto"/>
              <w:spacing w:after="0" w:line="240" w:lineRule="auto"/>
              <w:ind w:firstLine="289"/>
              <w:rPr>
                <w:szCs w:val="18"/>
              </w:rPr>
            </w:pPr>
            <w:r w:rsidRPr="00630DB0">
              <w:rPr>
                <w:szCs w:val="18"/>
              </w:rPr>
              <w:t> </w:t>
            </w:r>
          </w:p>
        </w:tc>
      </w:tr>
    </w:tbl>
    <w:p w:rsidR="00AC7F8A" w:rsidRPr="006130D1" w:rsidRDefault="00AC7F8A" w:rsidP="00AC7F8A">
      <w:pPr>
        <w:pStyle w:val="Texto"/>
        <w:spacing w:after="0" w:line="240" w:lineRule="exact"/>
        <w:rPr>
          <w:szCs w:val="18"/>
          <w:lang w:val="es-MX"/>
        </w:rPr>
      </w:pPr>
    </w:p>
    <w:p w:rsidR="00001107" w:rsidRPr="006130D1" w:rsidRDefault="00001107" w:rsidP="00540418">
      <w:pPr>
        <w:pStyle w:val="Texto"/>
        <w:spacing w:after="0" w:line="240" w:lineRule="exact"/>
        <w:rPr>
          <w:szCs w:val="18"/>
          <w:lang w:val="es-MX"/>
        </w:rPr>
      </w:pPr>
    </w:p>
    <w:sectPr w:rsidR="00001107" w:rsidRPr="006130D1" w:rsidSect="00083F2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A7" w:rsidRDefault="00ED69A7" w:rsidP="00EA5418">
      <w:pPr>
        <w:spacing w:after="0" w:line="240" w:lineRule="auto"/>
      </w:pPr>
      <w:r>
        <w:separator/>
      </w:r>
    </w:p>
  </w:endnote>
  <w:endnote w:type="continuationSeparator" w:id="0">
    <w:p w:rsidR="00ED69A7" w:rsidRDefault="00ED69A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57" w:rsidRPr="0013011C" w:rsidRDefault="00AD625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30E71" w:rsidRPr="00630E71">
          <w:rPr>
            <w:rFonts w:ascii="Soberana Sans Light" w:hAnsi="Soberana Sans Light"/>
            <w:noProof/>
            <w:lang w:val="es-ES"/>
          </w:rPr>
          <w:t>8</w:t>
        </w:r>
        <w:r w:rsidRPr="0013011C">
          <w:rPr>
            <w:rFonts w:ascii="Soberana Sans Light" w:hAnsi="Soberana Sans Light"/>
          </w:rPr>
          <w:fldChar w:fldCharType="end"/>
        </w:r>
      </w:sdtContent>
    </w:sdt>
  </w:p>
  <w:p w:rsidR="00AD6257" w:rsidRDefault="00AD62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57" w:rsidRPr="008E3652" w:rsidRDefault="00AD625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30E71" w:rsidRPr="00630E71">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A7" w:rsidRDefault="00ED69A7" w:rsidP="00EA5418">
      <w:pPr>
        <w:spacing w:after="0" w:line="240" w:lineRule="auto"/>
      </w:pPr>
      <w:r>
        <w:separator/>
      </w:r>
    </w:p>
  </w:footnote>
  <w:footnote w:type="continuationSeparator" w:id="0">
    <w:p w:rsidR="00ED69A7" w:rsidRDefault="00ED69A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57" w:rsidRDefault="00AD625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57" w:rsidRDefault="00AD625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D6257" w:rsidRDefault="00AD625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D6257" w:rsidRPr="00275FC6" w:rsidRDefault="00AD625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57" w:rsidRDefault="00AD62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D6257" w:rsidRDefault="00AD62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D6257" w:rsidRPr="00275FC6" w:rsidRDefault="00AD625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D6257" w:rsidRDefault="00AD625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D6257" w:rsidRDefault="00AD625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D6257" w:rsidRPr="00275FC6" w:rsidRDefault="00AD625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D6257" w:rsidRDefault="00AD62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D6257" w:rsidRDefault="00AD62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D6257" w:rsidRPr="00275FC6" w:rsidRDefault="00AD625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57" w:rsidRPr="0013011C" w:rsidRDefault="00AD625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3BED"/>
    <w:rsid w:val="000120B5"/>
    <w:rsid w:val="00012D7C"/>
    <w:rsid w:val="000240AB"/>
    <w:rsid w:val="00026275"/>
    <w:rsid w:val="0002764A"/>
    <w:rsid w:val="00033B87"/>
    <w:rsid w:val="00033FA2"/>
    <w:rsid w:val="00034DE7"/>
    <w:rsid w:val="000358A7"/>
    <w:rsid w:val="000365F5"/>
    <w:rsid w:val="00040466"/>
    <w:rsid w:val="00041D47"/>
    <w:rsid w:val="00043178"/>
    <w:rsid w:val="0004354B"/>
    <w:rsid w:val="00045A10"/>
    <w:rsid w:val="00047568"/>
    <w:rsid w:val="00051D68"/>
    <w:rsid w:val="00054F1E"/>
    <w:rsid w:val="00057368"/>
    <w:rsid w:val="00060117"/>
    <w:rsid w:val="0006056E"/>
    <w:rsid w:val="00075041"/>
    <w:rsid w:val="00083F22"/>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100132"/>
    <w:rsid w:val="00102D24"/>
    <w:rsid w:val="00114A66"/>
    <w:rsid w:val="001158FB"/>
    <w:rsid w:val="0013011C"/>
    <w:rsid w:val="00134A99"/>
    <w:rsid w:val="001366B8"/>
    <w:rsid w:val="00140D99"/>
    <w:rsid w:val="00144A4C"/>
    <w:rsid w:val="00147005"/>
    <w:rsid w:val="0015416F"/>
    <w:rsid w:val="00155609"/>
    <w:rsid w:val="00155D2E"/>
    <w:rsid w:val="00165BB4"/>
    <w:rsid w:val="00170684"/>
    <w:rsid w:val="00170C1D"/>
    <w:rsid w:val="00171C23"/>
    <w:rsid w:val="001768FA"/>
    <w:rsid w:val="00176993"/>
    <w:rsid w:val="00182889"/>
    <w:rsid w:val="0019580B"/>
    <w:rsid w:val="001A2994"/>
    <w:rsid w:val="001A3EB2"/>
    <w:rsid w:val="001A3FF6"/>
    <w:rsid w:val="001A4358"/>
    <w:rsid w:val="001A7781"/>
    <w:rsid w:val="001B03C7"/>
    <w:rsid w:val="001B1B72"/>
    <w:rsid w:val="001B3610"/>
    <w:rsid w:val="001C26AA"/>
    <w:rsid w:val="001C2DEA"/>
    <w:rsid w:val="001C45A6"/>
    <w:rsid w:val="001C6FD8"/>
    <w:rsid w:val="001D64A5"/>
    <w:rsid w:val="001E5882"/>
    <w:rsid w:val="001E7072"/>
    <w:rsid w:val="001F011A"/>
    <w:rsid w:val="001F2C9A"/>
    <w:rsid w:val="001F627C"/>
    <w:rsid w:val="00204C86"/>
    <w:rsid w:val="0021009F"/>
    <w:rsid w:val="00211B45"/>
    <w:rsid w:val="00213DCE"/>
    <w:rsid w:val="00214D3F"/>
    <w:rsid w:val="002248A6"/>
    <w:rsid w:val="00227B7C"/>
    <w:rsid w:val="00227CA0"/>
    <w:rsid w:val="00242DC8"/>
    <w:rsid w:val="00247CA8"/>
    <w:rsid w:val="00247E6C"/>
    <w:rsid w:val="002509E8"/>
    <w:rsid w:val="00264426"/>
    <w:rsid w:val="002644BD"/>
    <w:rsid w:val="002715B0"/>
    <w:rsid w:val="002728B8"/>
    <w:rsid w:val="00274905"/>
    <w:rsid w:val="0027528C"/>
    <w:rsid w:val="00280993"/>
    <w:rsid w:val="002839FB"/>
    <w:rsid w:val="00283B02"/>
    <w:rsid w:val="00285012"/>
    <w:rsid w:val="002872EC"/>
    <w:rsid w:val="00290B13"/>
    <w:rsid w:val="002A29FA"/>
    <w:rsid w:val="002A70B3"/>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F3894"/>
    <w:rsid w:val="002F4067"/>
    <w:rsid w:val="003018C5"/>
    <w:rsid w:val="003044E6"/>
    <w:rsid w:val="003105A5"/>
    <w:rsid w:val="00311750"/>
    <w:rsid w:val="003150CC"/>
    <w:rsid w:val="00316A81"/>
    <w:rsid w:val="003206ED"/>
    <w:rsid w:val="00327241"/>
    <w:rsid w:val="00336532"/>
    <w:rsid w:val="003535EC"/>
    <w:rsid w:val="00362148"/>
    <w:rsid w:val="00367C3F"/>
    <w:rsid w:val="00372F40"/>
    <w:rsid w:val="003753AD"/>
    <w:rsid w:val="00383209"/>
    <w:rsid w:val="00390AEF"/>
    <w:rsid w:val="00396C2B"/>
    <w:rsid w:val="003A0303"/>
    <w:rsid w:val="003B2EB5"/>
    <w:rsid w:val="003D08C0"/>
    <w:rsid w:val="003D0B51"/>
    <w:rsid w:val="003D5DBF"/>
    <w:rsid w:val="003E5CD4"/>
    <w:rsid w:val="003E7FD0"/>
    <w:rsid w:val="003F0EA4"/>
    <w:rsid w:val="003F4D7A"/>
    <w:rsid w:val="003F786B"/>
    <w:rsid w:val="0040646F"/>
    <w:rsid w:val="0040666E"/>
    <w:rsid w:val="00421166"/>
    <w:rsid w:val="0042374F"/>
    <w:rsid w:val="004311BE"/>
    <w:rsid w:val="00434CDC"/>
    <w:rsid w:val="004354AD"/>
    <w:rsid w:val="0043609B"/>
    <w:rsid w:val="00441D24"/>
    <w:rsid w:val="00441F6E"/>
    <w:rsid w:val="0044253C"/>
    <w:rsid w:val="004431B3"/>
    <w:rsid w:val="00445D13"/>
    <w:rsid w:val="00450142"/>
    <w:rsid w:val="0045167D"/>
    <w:rsid w:val="004572C7"/>
    <w:rsid w:val="0045752B"/>
    <w:rsid w:val="00463C34"/>
    <w:rsid w:val="004714CF"/>
    <w:rsid w:val="004768A2"/>
    <w:rsid w:val="00481922"/>
    <w:rsid w:val="00483407"/>
    <w:rsid w:val="00483D82"/>
    <w:rsid w:val="00484C0D"/>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82E"/>
    <w:rsid w:val="004F5641"/>
    <w:rsid w:val="0050065A"/>
    <w:rsid w:val="00503FF5"/>
    <w:rsid w:val="005044CA"/>
    <w:rsid w:val="00511376"/>
    <w:rsid w:val="00514D0A"/>
    <w:rsid w:val="00516DD0"/>
    <w:rsid w:val="0051734E"/>
    <w:rsid w:val="00522632"/>
    <w:rsid w:val="00522EF3"/>
    <w:rsid w:val="00523296"/>
    <w:rsid w:val="00536C46"/>
    <w:rsid w:val="00540418"/>
    <w:rsid w:val="00542E8C"/>
    <w:rsid w:val="005430E9"/>
    <w:rsid w:val="00543729"/>
    <w:rsid w:val="00551C31"/>
    <w:rsid w:val="00561D8D"/>
    <w:rsid w:val="00562914"/>
    <w:rsid w:val="0056601E"/>
    <w:rsid w:val="00574266"/>
    <w:rsid w:val="00582401"/>
    <w:rsid w:val="005844D0"/>
    <w:rsid w:val="0059131E"/>
    <w:rsid w:val="005979E1"/>
    <w:rsid w:val="005A2DD6"/>
    <w:rsid w:val="005A7647"/>
    <w:rsid w:val="005B7AEF"/>
    <w:rsid w:val="005C08E2"/>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30DB0"/>
    <w:rsid w:val="00630E71"/>
    <w:rsid w:val="006378AC"/>
    <w:rsid w:val="00644858"/>
    <w:rsid w:val="00654661"/>
    <w:rsid w:val="00656FCB"/>
    <w:rsid w:val="0065734C"/>
    <w:rsid w:val="00663864"/>
    <w:rsid w:val="0066637B"/>
    <w:rsid w:val="0066705D"/>
    <w:rsid w:val="00670C07"/>
    <w:rsid w:val="00673328"/>
    <w:rsid w:val="00680196"/>
    <w:rsid w:val="00681BC1"/>
    <w:rsid w:val="006838BE"/>
    <w:rsid w:val="00692A0E"/>
    <w:rsid w:val="00694C68"/>
    <w:rsid w:val="006A49E2"/>
    <w:rsid w:val="006B00A8"/>
    <w:rsid w:val="006B03C7"/>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615"/>
    <w:rsid w:val="007235DA"/>
    <w:rsid w:val="00730D1F"/>
    <w:rsid w:val="007325AB"/>
    <w:rsid w:val="00733E22"/>
    <w:rsid w:val="007347F2"/>
    <w:rsid w:val="007542C6"/>
    <w:rsid w:val="0075444D"/>
    <w:rsid w:val="007651FC"/>
    <w:rsid w:val="0076560D"/>
    <w:rsid w:val="00772421"/>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F1239"/>
    <w:rsid w:val="007F13E6"/>
    <w:rsid w:val="007F149B"/>
    <w:rsid w:val="007F3979"/>
    <w:rsid w:val="008043B4"/>
    <w:rsid w:val="008059CC"/>
    <w:rsid w:val="00806176"/>
    <w:rsid w:val="00806660"/>
    <w:rsid w:val="00810D53"/>
    <w:rsid w:val="00811DAC"/>
    <w:rsid w:val="00812286"/>
    <w:rsid w:val="0081687D"/>
    <w:rsid w:val="00820BF5"/>
    <w:rsid w:val="00823529"/>
    <w:rsid w:val="00830F2E"/>
    <w:rsid w:val="00851A7B"/>
    <w:rsid w:val="008546A7"/>
    <w:rsid w:val="00855D30"/>
    <w:rsid w:val="00857F54"/>
    <w:rsid w:val="00864C77"/>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36B9"/>
    <w:rsid w:val="00907F5D"/>
    <w:rsid w:val="00914DAC"/>
    <w:rsid w:val="009279F5"/>
    <w:rsid w:val="00927A9F"/>
    <w:rsid w:val="00930946"/>
    <w:rsid w:val="00931ADC"/>
    <w:rsid w:val="0093492C"/>
    <w:rsid w:val="00935557"/>
    <w:rsid w:val="0093708D"/>
    <w:rsid w:val="00954487"/>
    <w:rsid w:val="009550C9"/>
    <w:rsid w:val="00957043"/>
    <w:rsid w:val="00966BB7"/>
    <w:rsid w:val="009707CA"/>
    <w:rsid w:val="009711C5"/>
    <w:rsid w:val="00975301"/>
    <w:rsid w:val="0098098D"/>
    <w:rsid w:val="00994CB8"/>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7FFE"/>
    <w:rsid w:val="00A6658B"/>
    <w:rsid w:val="00A8130E"/>
    <w:rsid w:val="00A81353"/>
    <w:rsid w:val="00A82230"/>
    <w:rsid w:val="00A82512"/>
    <w:rsid w:val="00A840B7"/>
    <w:rsid w:val="00A85CF9"/>
    <w:rsid w:val="00A9067D"/>
    <w:rsid w:val="00AA12E4"/>
    <w:rsid w:val="00AA1650"/>
    <w:rsid w:val="00AA49DC"/>
    <w:rsid w:val="00AB16A0"/>
    <w:rsid w:val="00AB75AA"/>
    <w:rsid w:val="00AC7C83"/>
    <w:rsid w:val="00AC7F8A"/>
    <w:rsid w:val="00AD2835"/>
    <w:rsid w:val="00AD3D94"/>
    <w:rsid w:val="00AD6135"/>
    <w:rsid w:val="00AD6257"/>
    <w:rsid w:val="00AD6925"/>
    <w:rsid w:val="00AE04B4"/>
    <w:rsid w:val="00AE41E6"/>
    <w:rsid w:val="00AF08DA"/>
    <w:rsid w:val="00B01B8A"/>
    <w:rsid w:val="00B0692C"/>
    <w:rsid w:val="00B11341"/>
    <w:rsid w:val="00B146E2"/>
    <w:rsid w:val="00B16510"/>
    <w:rsid w:val="00B17922"/>
    <w:rsid w:val="00B202FF"/>
    <w:rsid w:val="00B218CC"/>
    <w:rsid w:val="00B220A3"/>
    <w:rsid w:val="00B2483B"/>
    <w:rsid w:val="00B2512A"/>
    <w:rsid w:val="00B26D48"/>
    <w:rsid w:val="00B275E6"/>
    <w:rsid w:val="00B27ACE"/>
    <w:rsid w:val="00B4123B"/>
    <w:rsid w:val="00B44853"/>
    <w:rsid w:val="00B4579C"/>
    <w:rsid w:val="00B46594"/>
    <w:rsid w:val="00B528E3"/>
    <w:rsid w:val="00B54E5A"/>
    <w:rsid w:val="00B8048F"/>
    <w:rsid w:val="00B83454"/>
    <w:rsid w:val="00B849EE"/>
    <w:rsid w:val="00B84D02"/>
    <w:rsid w:val="00B85CCE"/>
    <w:rsid w:val="00B9544F"/>
    <w:rsid w:val="00B96A94"/>
    <w:rsid w:val="00B96CFE"/>
    <w:rsid w:val="00BA03B3"/>
    <w:rsid w:val="00BA2940"/>
    <w:rsid w:val="00BA2F86"/>
    <w:rsid w:val="00BA7C84"/>
    <w:rsid w:val="00BB0B8C"/>
    <w:rsid w:val="00BB3E16"/>
    <w:rsid w:val="00BC3E47"/>
    <w:rsid w:val="00BD0F69"/>
    <w:rsid w:val="00BD7CBA"/>
    <w:rsid w:val="00BE020E"/>
    <w:rsid w:val="00BE20B2"/>
    <w:rsid w:val="00BE5EFD"/>
    <w:rsid w:val="00BF3768"/>
    <w:rsid w:val="00BF7EDE"/>
    <w:rsid w:val="00C0073A"/>
    <w:rsid w:val="00C12A1D"/>
    <w:rsid w:val="00C16E53"/>
    <w:rsid w:val="00C213C4"/>
    <w:rsid w:val="00C215E4"/>
    <w:rsid w:val="00C24346"/>
    <w:rsid w:val="00C262A2"/>
    <w:rsid w:val="00C27A77"/>
    <w:rsid w:val="00C33B8A"/>
    <w:rsid w:val="00C3426B"/>
    <w:rsid w:val="00C35527"/>
    <w:rsid w:val="00C431B4"/>
    <w:rsid w:val="00C50DFC"/>
    <w:rsid w:val="00C51D4D"/>
    <w:rsid w:val="00C53075"/>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756E"/>
    <w:rsid w:val="00CD5F42"/>
    <w:rsid w:val="00CD6D73"/>
    <w:rsid w:val="00CD6D9A"/>
    <w:rsid w:val="00CE48AD"/>
    <w:rsid w:val="00CE4B46"/>
    <w:rsid w:val="00CF3A4C"/>
    <w:rsid w:val="00D00E92"/>
    <w:rsid w:val="00D02A9A"/>
    <w:rsid w:val="00D03720"/>
    <w:rsid w:val="00D0402D"/>
    <w:rsid w:val="00D055EC"/>
    <w:rsid w:val="00D06246"/>
    <w:rsid w:val="00D0654D"/>
    <w:rsid w:val="00D06751"/>
    <w:rsid w:val="00D11B13"/>
    <w:rsid w:val="00D14657"/>
    <w:rsid w:val="00D27D59"/>
    <w:rsid w:val="00D37ACE"/>
    <w:rsid w:val="00D4060F"/>
    <w:rsid w:val="00D40E43"/>
    <w:rsid w:val="00D44728"/>
    <w:rsid w:val="00D543AD"/>
    <w:rsid w:val="00D55846"/>
    <w:rsid w:val="00D562FF"/>
    <w:rsid w:val="00D5717B"/>
    <w:rsid w:val="00D63B6F"/>
    <w:rsid w:val="00D70324"/>
    <w:rsid w:val="00D76166"/>
    <w:rsid w:val="00D77391"/>
    <w:rsid w:val="00D8560F"/>
    <w:rsid w:val="00DA2F9F"/>
    <w:rsid w:val="00DA31EE"/>
    <w:rsid w:val="00DA44D6"/>
    <w:rsid w:val="00DB4BBC"/>
    <w:rsid w:val="00DB71B9"/>
    <w:rsid w:val="00DB7FED"/>
    <w:rsid w:val="00DC1457"/>
    <w:rsid w:val="00DC1937"/>
    <w:rsid w:val="00DC1CA8"/>
    <w:rsid w:val="00DC59DC"/>
    <w:rsid w:val="00DE25AD"/>
    <w:rsid w:val="00DE287E"/>
    <w:rsid w:val="00DE4FA9"/>
    <w:rsid w:val="00DE52A5"/>
    <w:rsid w:val="00DF56C9"/>
    <w:rsid w:val="00DF5774"/>
    <w:rsid w:val="00E0575A"/>
    <w:rsid w:val="00E11756"/>
    <w:rsid w:val="00E125DF"/>
    <w:rsid w:val="00E165E4"/>
    <w:rsid w:val="00E17D0D"/>
    <w:rsid w:val="00E30318"/>
    <w:rsid w:val="00E32708"/>
    <w:rsid w:val="00E43184"/>
    <w:rsid w:val="00E4615D"/>
    <w:rsid w:val="00E479C0"/>
    <w:rsid w:val="00E55560"/>
    <w:rsid w:val="00E6543D"/>
    <w:rsid w:val="00E6707A"/>
    <w:rsid w:val="00E70327"/>
    <w:rsid w:val="00E71EE5"/>
    <w:rsid w:val="00E723E0"/>
    <w:rsid w:val="00E7315B"/>
    <w:rsid w:val="00E74323"/>
    <w:rsid w:val="00E77791"/>
    <w:rsid w:val="00E955F0"/>
    <w:rsid w:val="00EA5418"/>
    <w:rsid w:val="00EB297B"/>
    <w:rsid w:val="00EC1567"/>
    <w:rsid w:val="00EC1EDE"/>
    <w:rsid w:val="00EC254C"/>
    <w:rsid w:val="00EC33D7"/>
    <w:rsid w:val="00EC74DC"/>
    <w:rsid w:val="00ED69A7"/>
    <w:rsid w:val="00EE46FB"/>
    <w:rsid w:val="00F03204"/>
    <w:rsid w:val="00F12529"/>
    <w:rsid w:val="00F17C0D"/>
    <w:rsid w:val="00F2754B"/>
    <w:rsid w:val="00F3345C"/>
    <w:rsid w:val="00F37AA2"/>
    <w:rsid w:val="00F42842"/>
    <w:rsid w:val="00F43BC1"/>
    <w:rsid w:val="00F50F83"/>
    <w:rsid w:val="00F559B3"/>
    <w:rsid w:val="00F5728B"/>
    <w:rsid w:val="00F6519D"/>
    <w:rsid w:val="00F651FA"/>
    <w:rsid w:val="00F7364C"/>
    <w:rsid w:val="00F75314"/>
    <w:rsid w:val="00F755D0"/>
    <w:rsid w:val="00F75A0B"/>
    <w:rsid w:val="00F762CB"/>
    <w:rsid w:val="00F82B20"/>
    <w:rsid w:val="00F83709"/>
    <w:rsid w:val="00F942CE"/>
    <w:rsid w:val="00FB1010"/>
    <w:rsid w:val="00FB1F56"/>
    <w:rsid w:val="00FB25B6"/>
    <w:rsid w:val="00FB6810"/>
    <w:rsid w:val="00FD2DEA"/>
    <w:rsid w:val="00FD4B29"/>
    <w:rsid w:val="00FD5A63"/>
    <w:rsid w:val="00FD6502"/>
    <w:rsid w:val="00FD70FE"/>
    <w:rsid w:val="00FE4EF4"/>
    <w:rsid w:val="00FE67F4"/>
    <w:rsid w:val="00FE6B9A"/>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1.xls"/><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CA05-5008-4F9F-A46F-3C139104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21</Pages>
  <Words>2952</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Salud Tlaxcala</cp:lastModifiedBy>
  <cp:revision>97</cp:revision>
  <cp:lastPrinted>2019-07-08T14:57:00Z</cp:lastPrinted>
  <dcterms:created xsi:type="dcterms:W3CDTF">2018-07-06T04:52:00Z</dcterms:created>
  <dcterms:modified xsi:type="dcterms:W3CDTF">2019-07-08T18:07:00Z</dcterms:modified>
</cp:coreProperties>
</file>