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78" w:rsidRDefault="00151078" w:rsidP="004330FE"/>
    <w:p w:rsidR="00151078" w:rsidRDefault="000822DC" w:rsidP="004330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1149" DrawAspect="Content" ObjectID="_1623763843" r:id="rId9"/>
        </w:object>
      </w:r>
    </w:p>
    <w:p w:rsidR="00334D7F" w:rsidRDefault="00334D7F" w:rsidP="004330FE"/>
    <w:p w:rsidR="00334D7F" w:rsidRPr="00334D7F" w:rsidRDefault="000822DC" w:rsidP="00334D7F">
      <w:r>
        <w:rPr>
          <w:noProof/>
        </w:rPr>
        <w:object w:dxaOrig="1440" w:dyaOrig="1440">
          <v:shape id="_x0000_s1150" type="#_x0000_t75" style="position:absolute;margin-left:15.25pt;margin-top:-22pt;width:643.9pt;height:376.05pt;z-index:251727872">
            <v:imagedata r:id="rId10" o:title=""/>
            <w10:wrap type="square" side="left"/>
          </v:shape>
          <o:OLEObject Type="Embed" ProgID="Excel.Sheet.8" ShapeID="_x0000_s1150" DrawAspect="Content" ObjectID="_1623763844" r:id="rId11"/>
        </w:object>
      </w:r>
    </w:p>
    <w:bookmarkStart w:id="0" w:name="_MON_1470806992"/>
    <w:bookmarkEnd w:id="0"/>
    <w:p w:rsidR="00372F40" w:rsidRDefault="0012221D" w:rsidP="003E7FD0">
      <w:pPr>
        <w:jc w:val="center"/>
      </w:pPr>
      <w:r>
        <w:object w:dxaOrig="21993" w:dyaOrig="15482">
          <v:shape id="_x0000_i1027" type="#_x0000_t75" style="width:648.95pt;height:457.7pt" o:ole="">
            <v:imagedata r:id="rId12" o:title=""/>
          </v:shape>
          <o:OLEObject Type="Embed" ProgID="Excel.Sheet.8" ShapeID="_x0000_i1027" DrawAspect="Content" ObjectID="_1623763841" r:id="rId13"/>
        </w:object>
      </w:r>
    </w:p>
    <w:p w:rsidR="00372F40" w:rsidRDefault="000822DC" w:rsidP="00EA598E">
      <w:r>
        <w:rPr>
          <w:noProof/>
        </w:rPr>
        <w:lastRenderedPageBreak/>
        <w:object w:dxaOrig="1440" w:dyaOrig="1440">
          <v:shape id="_x0000_s1129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1129" DrawAspect="Content" ObjectID="_1623763845" r:id="rId15"/>
        </w:object>
      </w:r>
      <w:r w:rsidR="00F14FF6">
        <w:br w:type="textWrapping" w:clear="all"/>
      </w:r>
      <w:bookmarkStart w:id="1" w:name="_MON_1470809138"/>
      <w:bookmarkEnd w:id="1"/>
      <w:r w:rsidR="0012221D">
        <w:object w:dxaOrig="17980" w:dyaOrig="13300">
          <v:shape id="_x0000_i1029" type="#_x0000_t75" style="width:639.1pt;height:470.35pt" o:ole="">
            <v:imagedata r:id="rId16" o:title=""/>
          </v:shape>
          <o:OLEObject Type="Embed" ProgID="Excel.Sheet.8" ShapeID="_x0000_i1029" DrawAspect="Content" ObjectID="_1623763842" r:id="rId17"/>
        </w:object>
      </w:r>
    </w:p>
    <w:p w:rsidR="00372F40" w:rsidRDefault="000822DC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94" type="#_x0000_t75" style="position:absolute;margin-left:25.25pt;margin-top:-4.3pt;width:641pt;height:398.65pt;z-index:251695104">
            <v:imagedata r:id="rId18" o:title=""/>
            <w10:wrap type="square" side="left"/>
          </v:shape>
          <o:OLEObject Type="Embed" ProgID="Excel.Sheet.8" ShapeID="_x0000_s1094" DrawAspect="Content" ObjectID="_1623763846" r:id="rId19"/>
        </w:obje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0822DC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130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1130" DrawAspect="Content" ObjectID="_1623763847" r:id="rId21"/>
        </w:obje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0822DC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4857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B7669B">
              <w:rPr>
                <w:lang w:val="es-MX"/>
              </w:rPr>
              <w:t>157,684</w:t>
            </w:r>
          </w:p>
        </w:tc>
      </w:tr>
      <w:tr w:rsidR="006E3ED6" w:rsidTr="00834395">
        <w:tc>
          <w:tcPr>
            <w:tcW w:w="2649" w:type="dxa"/>
          </w:tcPr>
          <w:p w:rsidR="006E3ED6" w:rsidRDefault="00BC412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2061</w:t>
            </w:r>
          </w:p>
        </w:tc>
        <w:tc>
          <w:tcPr>
            <w:tcW w:w="1417" w:type="dxa"/>
          </w:tcPr>
          <w:p w:rsidR="006E3ED6" w:rsidRDefault="00BA5410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</w:t>
            </w:r>
            <w:r w:rsidR="00BA5410">
              <w:rPr>
                <w:lang w:val="es-MX"/>
              </w:rPr>
              <w:t>SAS 201</w:t>
            </w:r>
            <w:r w:rsidR="00BC4120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6E3ED6" w:rsidRDefault="0080088F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B7669B">
              <w:rPr>
                <w:lang w:val="es-MX"/>
              </w:rPr>
              <w:t>1,582,651</w:t>
            </w:r>
          </w:p>
        </w:tc>
      </w:tr>
      <w:tr w:rsidR="00CD3568" w:rsidTr="00834395">
        <w:tc>
          <w:tcPr>
            <w:tcW w:w="2649" w:type="dxa"/>
          </w:tcPr>
          <w:p w:rsidR="00CD3568" w:rsidRDefault="00B7669B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2045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</w:t>
            </w:r>
            <w:r w:rsidR="00B7669B">
              <w:rPr>
                <w:lang w:val="es-MX"/>
              </w:rPr>
              <w:t>9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B7669B">
              <w:rPr>
                <w:lang w:val="es-MX"/>
              </w:rPr>
              <w:t>17,415,253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BC4120">
              <w:rPr>
                <w:lang w:val="es-MX"/>
              </w:rPr>
              <w:t>1</w:t>
            </w:r>
            <w:r w:rsidR="00B7669B">
              <w:rPr>
                <w:lang w:val="es-MX"/>
              </w:rPr>
              <w:t>73,798</w:t>
            </w:r>
            <w:r>
              <w:rPr>
                <w:lang w:val="es-MX"/>
              </w:rPr>
              <w:t xml:space="preserve"> </w:t>
            </w:r>
          </w:p>
        </w:tc>
      </w:tr>
      <w:tr w:rsidR="00B7669B" w:rsidTr="00834395">
        <w:tc>
          <w:tcPr>
            <w:tcW w:w="2649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7818</w:t>
            </w:r>
          </w:p>
        </w:tc>
        <w:tc>
          <w:tcPr>
            <w:tcW w:w="1417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2018</w:t>
            </w:r>
          </w:p>
        </w:tc>
        <w:tc>
          <w:tcPr>
            <w:tcW w:w="1559" w:type="dxa"/>
          </w:tcPr>
          <w:p w:rsidR="00B7669B" w:rsidRDefault="00B7669B" w:rsidP="00B7669B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$ 5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>nte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551835">
        <w:trPr>
          <w:trHeight w:val="401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102,894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2,162,764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51835">
              <w:rPr>
                <w:lang w:val="es-MX"/>
              </w:rPr>
              <w:t>9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CC2767">
              <w:rPr>
                <w:lang w:val="es-MX"/>
              </w:rPr>
              <w:t>255,527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51835">
              <w:rPr>
                <w:lang w:val="es-MX"/>
              </w:rPr>
              <w:t>47,568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C7C00">
              <w:rPr>
                <w:lang w:val="es-MX"/>
              </w:rPr>
              <w:t>148,896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BA7AD2">
        <w:rPr>
          <w:lang w:val="es-MX"/>
        </w:rPr>
        <w:t>6</w:t>
      </w:r>
      <w:r w:rsidR="006B4C7D">
        <w:rPr>
          <w:lang w:val="es-MX"/>
        </w:rPr>
        <w:t>,874,331</w:t>
      </w:r>
      <w:r w:rsidR="00BA7AD2">
        <w:rPr>
          <w:lang w:val="es-MX"/>
        </w:rPr>
        <w:t xml:space="preserve">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8F10C0">
              <w:rPr>
                <w:lang w:val="es-MX"/>
              </w:rPr>
              <w:t xml:space="preserve"> 17,304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A7AD2">
              <w:rPr>
                <w:lang w:val="es-MX"/>
              </w:rPr>
              <w:t>43,</w:t>
            </w:r>
            <w:r w:rsidR="008F10C0">
              <w:rPr>
                <w:lang w:val="es-MX"/>
              </w:rPr>
              <w:t>810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8F10C0">
              <w:rPr>
                <w:lang w:val="es-MX"/>
              </w:rPr>
              <w:t>17,304</w:t>
            </w:r>
          </w:p>
        </w:tc>
      </w:tr>
      <w:tr w:rsidR="00E5775B" w:rsidTr="00BA7AD2">
        <w:trPr>
          <w:trHeight w:val="87"/>
        </w:trPr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F10C0">
              <w:rPr>
                <w:lang w:val="es-MX"/>
              </w:rPr>
              <w:t>9,131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554657" w:rsidRDefault="00554657" w:rsidP="001613EF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87F18">
              <w:rPr>
                <w:lang w:val="es-MX"/>
              </w:rPr>
              <w:t>983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87F18">
              <w:rPr>
                <w:lang w:val="es-MX"/>
              </w:rPr>
              <w:t>38,066,006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C76D8" w:rsidRDefault="001C76D8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387F18">
              <w:rPr>
                <w:lang w:val="es-MX"/>
              </w:rPr>
              <w:t>2,505,804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387F18">
              <w:rPr>
                <w:lang w:val="es-MX"/>
              </w:rPr>
              <w:t>1,941,891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87F18">
              <w:rPr>
                <w:lang w:val="es-MX"/>
              </w:rPr>
              <w:t>12,339,746</w:t>
            </w:r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87F18">
              <w:rPr>
                <w:lang w:val="es-MX"/>
              </w:rPr>
              <w:t>173,444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387F18">
              <w:rPr>
                <w:lang w:val="es-MX"/>
              </w:rPr>
              <w:t>19,202,309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8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387F1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19,329,391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C76D8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387F1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19,329,391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42295">
              <w:rPr>
                <w:lang w:val="es-MX"/>
              </w:rPr>
              <w:t>63,608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DE CÓMPUTO Y TECNOLOGIAS DE LA INFORMACIÓN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$ 2,1</w:t>
            </w:r>
            <w:r w:rsidR="00C42295">
              <w:rPr>
                <w:lang w:val="es-MX"/>
              </w:rPr>
              <w:t>13,138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$ 1,255,527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42295">
              <w:rPr>
                <w:lang w:val="es-MX"/>
              </w:rPr>
              <w:t>5</w:t>
            </w:r>
            <w:r>
              <w:rPr>
                <w:lang w:val="es-MX"/>
              </w:rPr>
              <w:t>,568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387F18" w:rsidTr="00845B33">
        <w:tc>
          <w:tcPr>
            <w:tcW w:w="5884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$ 148,896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:rsidTr="00D94ABD">
        <w:trPr>
          <w:trHeight w:val="352"/>
        </w:trPr>
        <w:tc>
          <w:tcPr>
            <w:tcW w:w="5884" w:type="dxa"/>
          </w:tcPr>
          <w:p w:rsidR="00C42295" w:rsidRPr="00242241" w:rsidRDefault="00C42295" w:rsidP="00D94AB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C42295" w:rsidRPr="00242241" w:rsidRDefault="00C42295" w:rsidP="00D94AB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:rsidTr="00D94ABD">
        <w:tc>
          <w:tcPr>
            <w:tcW w:w="5884" w:type="dxa"/>
          </w:tcPr>
          <w:p w:rsidR="00C42295" w:rsidRDefault="00C42295" w:rsidP="00D94AB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C42295" w:rsidRDefault="00C42295" w:rsidP="00D94AB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92762E">
        <w:t>743,419</w:t>
      </w:r>
      <w:r w:rsidR="00BD3373"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1C76D8">
              <w:rPr>
                <w:szCs w:val="18"/>
                <w:lang w:val="es-MX"/>
              </w:rPr>
              <w:t>8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387F1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Pr="00163D6C" w:rsidRDefault="00387F18" w:rsidP="00387F1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$ 19,202,309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18" w:rsidRDefault="00387F18" w:rsidP="00387F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$ 1,583,845</w:t>
            </w:r>
          </w:p>
        </w:tc>
      </w:tr>
      <w:tr w:rsidR="001C76D8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Pr="00163D6C" w:rsidRDefault="001C76D8" w:rsidP="001C76D8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6D8" w:rsidRDefault="001C76D8" w:rsidP="001C76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1C76D8" w:rsidRDefault="001C76D8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584F9D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6435"/>
        <w:gridCol w:w="2129"/>
      </w:tblGrid>
      <w:tr w:rsidR="005F559C" w:rsidRPr="00611D6C" w:rsidTr="00BE03BC">
        <w:trPr>
          <w:trHeight w:val="70"/>
          <w:jc w:val="center"/>
        </w:trPr>
        <w:tc>
          <w:tcPr>
            <w:tcW w:w="90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5F559C" w:rsidRPr="00611D6C" w:rsidRDefault="005E7994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9058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90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30 de junio de 2019</w:t>
            </w:r>
          </w:p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38,066,989</w:t>
            </w:r>
          </w:p>
        </w:tc>
      </w:tr>
      <w:tr w:rsidR="005F559C" w:rsidRPr="00611D6C" w:rsidTr="00BE03BC">
        <w:trPr>
          <w:trHeight w:val="192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974188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48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4D46D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6" w:space="0" w:color="auto"/>
              <w:bottom w:val="single" w:sz="4" w:space="0" w:color="auto"/>
            </w:tcBorders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BE03BC">
        <w:trPr>
          <w:trHeight w:val="16"/>
          <w:jc w:val="center"/>
        </w:trPr>
        <w:tc>
          <w:tcPr>
            <w:tcW w:w="6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559C" w:rsidRPr="00611D6C" w:rsidRDefault="004D46D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38,066,989</w:t>
            </w:r>
          </w:p>
        </w:tc>
      </w:tr>
    </w:tbl>
    <w:p w:rsidR="005F559C" w:rsidRDefault="005F559C" w:rsidP="005F559C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F559C" w:rsidRDefault="005F559C" w:rsidP="005F559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5F559C" w:rsidRPr="00611D6C" w:rsidTr="00180A74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5F559C" w:rsidRPr="00611D6C" w:rsidRDefault="004D46D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30 de junio de 2019</w:t>
            </w:r>
          </w:p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18,995,591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130,911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1703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88,911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1703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42,000</w:t>
            </w:r>
          </w:p>
        </w:tc>
        <w:bookmarkStart w:id="2" w:name="_GoBack"/>
        <w:bookmarkEnd w:id="2"/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D46D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0F137A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F559C" w:rsidRPr="00611D6C" w:rsidRDefault="005F559C" w:rsidP="00180A74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5F559C" w:rsidRPr="00611D6C" w:rsidRDefault="005F559C" w:rsidP="00180A74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:rsidTr="00180A74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5F559C" w:rsidRPr="00611D6C" w:rsidRDefault="005F559C" w:rsidP="00180A74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559C" w:rsidRPr="00611D6C" w:rsidRDefault="005F559C" w:rsidP="00180A74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18,864,680</w:t>
            </w:r>
          </w:p>
        </w:tc>
      </w:tr>
    </w:tbl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0822DC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lastRenderedPageBreak/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0822DC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lastRenderedPageBreak/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Agosto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0822DC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2DC" w:rsidRDefault="000822DC" w:rsidP="00EA5418">
      <w:pPr>
        <w:spacing w:after="0" w:line="240" w:lineRule="auto"/>
      </w:pPr>
      <w:r>
        <w:separator/>
      </w:r>
    </w:p>
  </w:endnote>
  <w:endnote w:type="continuationSeparator" w:id="0">
    <w:p w:rsidR="000822DC" w:rsidRDefault="000822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13011C" w:rsidRDefault="000822D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A7277"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="00BA7277" w:rsidRPr="0013011C">
          <w:rPr>
            <w:rFonts w:ascii="Soberana Sans Light" w:hAnsi="Soberana Sans Light"/>
          </w:rPr>
          <w:fldChar w:fldCharType="separate"/>
        </w:r>
        <w:r w:rsidR="00F86611" w:rsidRPr="00F86611">
          <w:rPr>
            <w:rFonts w:ascii="Soberana Sans Light" w:hAnsi="Soberana Sans Light"/>
            <w:noProof/>
            <w:lang w:val="es-ES"/>
          </w:rPr>
          <w:t>12</w:t>
        </w:r>
        <w:r w:rsidR="00BA7277"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8E3652" w:rsidRDefault="000822D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="00BA7277"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="00BA7277" w:rsidRPr="008E3652">
          <w:rPr>
            <w:rFonts w:ascii="Soberana Sans Light" w:hAnsi="Soberana Sans Light"/>
          </w:rPr>
          <w:fldChar w:fldCharType="separate"/>
        </w:r>
        <w:r w:rsidR="00F86611" w:rsidRPr="00F86611">
          <w:rPr>
            <w:rFonts w:ascii="Soberana Sans Light" w:hAnsi="Soberana Sans Light"/>
            <w:noProof/>
            <w:lang w:val="es-ES"/>
          </w:rPr>
          <w:t>11</w:t>
        </w:r>
        <w:r w:rsidR="00BA727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2DC" w:rsidRDefault="000822DC" w:rsidP="00EA5418">
      <w:pPr>
        <w:spacing w:after="0" w:line="240" w:lineRule="auto"/>
      </w:pPr>
      <w:r>
        <w:separator/>
      </w:r>
    </w:p>
  </w:footnote>
  <w:footnote w:type="continuationSeparator" w:id="0">
    <w:p w:rsidR="000822DC" w:rsidRDefault="000822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Default="000822DC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051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13011C" w:rsidRDefault="000822D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822DC"/>
    <w:rsid w:val="00090991"/>
    <w:rsid w:val="00090ACF"/>
    <w:rsid w:val="000B7949"/>
    <w:rsid w:val="000D366A"/>
    <w:rsid w:val="000D3F8B"/>
    <w:rsid w:val="000E06BC"/>
    <w:rsid w:val="000E6C31"/>
    <w:rsid w:val="00101626"/>
    <w:rsid w:val="00103BA6"/>
    <w:rsid w:val="001074CA"/>
    <w:rsid w:val="0012221D"/>
    <w:rsid w:val="0013011C"/>
    <w:rsid w:val="00135B5B"/>
    <w:rsid w:val="001370AE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22B06"/>
    <w:rsid w:val="002316B5"/>
    <w:rsid w:val="00232059"/>
    <w:rsid w:val="002413BB"/>
    <w:rsid w:val="0024476F"/>
    <w:rsid w:val="002467EB"/>
    <w:rsid w:val="00252679"/>
    <w:rsid w:val="00254212"/>
    <w:rsid w:val="00264426"/>
    <w:rsid w:val="002845C8"/>
    <w:rsid w:val="00290331"/>
    <w:rsid w:val="00295A67"/>
    <w:rsid w:val="002A61E2"/>
    <w:rsid w:val="002A70B3"/>
    <w:rsid w:val="002B785E"/>
    <w:rsid w:val="002D05C8"/>
    <w:rsid w:val="002F2D3B"/>
    <w:rsid w:val="002F7324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83E1C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DBF"/>
    <w:rsid w:val="003E7FD0"/>
    <w:rsid w:val="003F0031"/>
    <w:rsid w:val="003F0EA4"/>
    <w:rsid w:val="003F572E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D46DC"/>
    <w:rsid w:val="004E0B85"/>
    <w:rsid w:val="004E3949"/>
    <w:rsid w:val="004E5EE5"/>
    <w:rsid w:val="004E6B7F"/>
    <w:rsid w:val="004F44D3"/>
    <w:rsid w:val="004F5641"/>
    <w:rsid w:val="005134C6"/>
    <w:rsid w:val="005143B8"/>
    <w:rsid w:val="005206B6"/>
    <w:rsid w:val="00522632"/>
    <w:rsid w:val="00522EF3"/>
    <w:rsid w:val="005257D6"/>
    <w:rsid w:val="005305FD"/>
    <w:rsid w:val="0053478D"/>
    <w:rsid w:val="00535B67"/>
    <w:rsid w:val="00540418"/>
    <w:rsid w:val="0054552B"/>
    <w:rsid w:val="00551835"/>
    <w:rsid w:val="00552C3F"/>
    <w:rsid w:val="00554657"/>
    <w:rsid w:val="00560B20"/>
    <w:rsid w:val="005625A5"/>
    <w:rsid w:val="00564738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217B"/>
    <w:rsid w:val="005D3D25"/>
    <w:rsid w:val="005E7994"/>
    <w:rsid w:val="005F559C"/>
    <w:rsid w:val="005F73C0"/>
    <w:rsid w:val="00602CA5"/>
    <w:rsid w:val="00605341"/>
    <w:rsid w:val="006069D6"/>
    <w:rsid w:val="006121D8"/>
    <w:rsid w:val="00625D16"/>
    <w:rsid w:val="00635D4E"/>
    <w:rsid w:val="00647928"/>
    <w:rsid w:val="00647D68"/>
    <w:rsid w:val="006666C3"/>
    <w:rsid w:val="006703D1"/>
    <w:rsid w:val="006706CD"/>
    <w:rsid w:val="0068358B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649F"/>
    <w:rsid w:val="006E3ED6"/>
    <w:rsid w:val="006E77DD"/>
    <w:rsid w:val="006F01B8"/>
    <w:rsid w:val="00711DC6"/>
    <w:rsid w:val="00715EA3"/>
    <w:rsid w:val="007238E9"/>
    <w:rsid w:val="00723ED8"/>
    <w:rsid w:val="00733750"/>
    <w:rsid w:val="00744F64"/>
    <w:rsid w:val="0075037C"/>
    <w:rsid w:val="00755BBC"/>
    <w:rsid w:val="00756597"/>
    <w:rsid w:val="0079582C"/>
    <w:rsid w:val="00795C53"/>
    <w:rsid w:val="007C1752"/>
    <w:rsid w:val="007C4836"/>
    <w:rsid w:val="007C597D"/>
    <w:rsid w:val="007D6E9A"/>
    <w:rsid w:val="007E3B26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45B33"/>
    <w:rsid w:val="00856F61"/>
    <w:rsid w:val="00866278"/>
    <w:rsid w:val="00867CB9"/>
    <w:rsid w:val="0087406B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10C0"/>
    <w:rsid w:val="008F6D58"/>
    <w:rsid w:val="00906261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047E"/>
    <w:rsid w:val="009A1DBA"/>
    <w:rsid w:val="009A3377"/>
    <w:rsid w:val="009B7CD7"/>
    <w:rsid w:val="009C6789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22785"/>
    <w:rsid w:val="00A3045E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512C0"/>
    <w:rsid w:val="00B64777"/>
    <w:rsid w:val="00B64DC4"/>
    <w:rsid w:val="00B6686C"/>
    <w:rsid w:val="00B75F78"/>
    <w:rsid w:val="00B7669B"/>
    <w:rsid w:val="00B80E58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4934"/>
    <w:rsid w:val="00BA5410"/>
    <w:rsid w:val="00BA7277"/>
    <w:rsid w:val="00BA7AD2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C13084"/>
    <w:rsid w:val="00C16E53"/>
    <w:rsid w:val="00C21C7C"/>
    <w:rsid w:val="00C22002"/>
    <w:rsid w:val="00C367A5"/>
    <w:rsid w:val="00C42295"/>
    <w:rsid w:val="00C431B4"/>
    <w:rsid w:val="00C53D83"/>
    <w:rsid w:val="00C61526"/>
    <w:rsid w:val="00C62B8F"/>
    <w:rsid w:val="00C73212"/>
    <w:rsid w:val="00C86C59"/>
    <w:rsid w:val="00C91C5A"/>
    <w:rsid w:val="00C931E5"/>
    <w:rsid w:val="00C931F2"/>
    <w:rsid w:val="00C93C35"/>
    <w:rsid w:val="00CB01FE"/>
    <w:rsid w:val="00CB645A"/>
    <w:rsid w:val="00CC1100"/>
    <w:rsid w:val="00CC2767"/>
    <w:rsid w:val="00CC3BD4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55EC"/>
    <w:rsid w:val="00D07947"/>
    <w:rsid w:val="00D22483"/>
    <w:rsid w:val="00D239FC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B381A"/>
    <w:rsid w:val="00DB530F"/>
    <w:rsid w:val="00DC200B"/>
    <w:rsid w:val="00DC656C"/>
    <w:rsid w:val="00DC7397"/>
    <w:rsid w:val="00DF0C3D"/>
    <w:rsid w:val="00DF56C9"/>
    <w:rsid w:val="00DF651E"/>
    <w:rsid w:val="00E11A18"/>
    <w:rsid w:val="00E1773A"/>
    <w:rsid w:val="00E20B10"/>
    <w:rsid w:val="00E30318"/>
    <w:rsid w:val="00E32708"/>
    <w:rsid w:val="00E37C3B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C7C00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0FE3"/>
    <w:rsid w:val="00F84725"/>
    <w:rsid w:val="00F84CC2"/>
    <w:rsid w:val="00F86611"/>
    <w:rsid w:val="00F90B7E"/>
    <w:rsid w:val="00F9244E"/>
    <w:rsid w:val="00F9550D"/>
    <w:rsid w:val="00F9635D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6"/>
        <o:r id="V:Rule2" type="connector" idref="#_x0000_s1108"/>
        <o:r id="V:Rule3" type="connector" idref="#_x0000_s1114"/>
        <o:r id="V:Rule4" type="connector" idref="#_x0000_s1096"/>
        <o:r id="V:Rule5" type="connector" idref="#_x0000_s1104"/>
        <o:r id="V:Rule6" type="connector" idref="#_x0000_s1110"/>
        <o:r id="V:Rule7" type="connector" idref="#_x0000_s1112"/>
        <o:r id="V:Rule8" type="connector" idref="#_x0000_s1098"/>
      </o:rules>
    </o:shapelayout>
  </w:shapeDefaults>
  <w:decimalSymbol w:val="."/>
  <w:listSeparator w:val=","/>
  <w14:docId w14:val="6B45EEC7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C383-05B4-4DCF-9B7E-DA556657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19</Pages>
  <Words>2089</Words>
  <Characters>11494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174</cp:revision>
  <cp:lastPrinted>2019-04-05T16:17:00Z</cp:lastPrinted>
  <dcterms:created xsi:type="dcterms:W3CDTF">2016-04-06T13:39:00Z</dcterms:created>
  <dcterms:modified xsi:type="dcterms:W3CDTF">2019-07-04T21:44:00Z</dcterms:modified>
</cp:coreProperties>
</file>