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499251814"/>
    <w:bookmarkEnd w:id="0"/>
    <w:p w:rsidR="007D6E9A" w:rsidRDefault="00423B40" w:rsidP="003D5DBF">
      <w:pPr>
        <w:jc w:val="center"/>
      </w:pPr>
      <w:r>
        <w:object w:dxaOrig="23113" w:dyaOrig="1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3.75pt;height:450.75pt" o:ole="">
            <v:imagedata r:id="rId8" o:title=""/>
          </v:shape>
          <o:OLEObject Type="Embed" ProgID="Excel.Sheet.12" ShapeID="_x0000_i1025" DrawAspect="Content" ObjectID="_1625500105" r:id="rId9"/>
        </w:object>
      </w:r>
    </w:p>
    <w:p w:rsidR="009B64AA" w:rsidRDefault="00FB4770" w:rsidP="003D5DBF">
      <w:pPr>
        <w:jc w:val="center"/>
      </w:pPr>
      <w:bookmarkStart w:id="1" w:name="_GoBack"/>
      <w:bookmarkEnd w:id="1"/>
      <w:r>
        <w:rPr>
          <w:noProof/>
        </w:rPr>
        <w:lastRenderedPageBreak/>
        <w:object w:dxaOrig="1440" w:dyaOrig="1440">
          <v:shape id="_x0000_s1056" type="#_x0000_t75" style="position:absolute;left:0;text-align:left;margin-left:-.1pt;margin-top:25.45pt;width:717.5pt;height:399.3pt;z-index:251670528;mso-position-horizontal-relative:text;mso-position-vertical-relative:text">
            <v:imagedata r:id="rId10" o:title=""/>
            <w10:wrap type="square" side="right"/>
          </v:shape>
          <o:OLEObject Type="Embed" ProgID="Excel.Sheet.12" ShapeID="_x0000_s1056" DrawAspect="Content" ObjectID="_1625500110" r:id="rId11"/>
        </w:object>
      </w:r>
    </w:p>
    <w:p w:rsidR="00EA5418" w:rsidRDefault="00EA5418" w:rsidP="001F0C04">
      <w:pPr>
        <w:jc w:val="center"/>
      </w:pPr>
    </w:p>
    <w:bookmarkStart w:id="2" w:name="_MON_1470806992"/>
    <w:bookmarkEnd w:id="2"/>
    <w:p w:rsidR="00372F40" w:rsidRDefault="000A4699" w:rsidP="003E7FD0">
      <w:pPr>
        <w:jc w:val="center"/>
      </w:pPr>
      <w:r>
        <w:object w:dxaOrig="21537" w:dyaOrig="15990">
          <v:shape id="_x0000_i1026" type="#_x0000_t75" style="width:632.25pt;height:468.75pt" o:ole="">
            <v:imagedata r:id="rId12" o:title=""/>
          </v:shape>
          <o:OLEObject Type="Embed" ProgID="Excel.Sheet.12" ShapeID="_x0000_i1026" DrawAspect="Content" ObjectID="_1625500106" r:id="rId13"/>
        </w:object>
      </w:r>
    </w:p>
    <w:p w:rsidR="00372F40" w:rsidRDefault="00FB4770" w:rsidP="007769DF">
      <w:r>
        <w:rPr>
          <w:noProof/>
        </w:rPr>
        <w:lastRenderedPageBreak/>
        <w:object w:dxaOrig="1440" w:dyaOrig="1440">
          <v:shape id="_x0000_s1071" type="#_x0000_t75" style="position:absolute;margin-left:19.8pt;margin-top:0;width:664.05pt;height:476.8pt;z-index:251683840;mso-position-horizontal:absolute;mso-position-horizontal-relative:text;mso-position-vertical-relative:text">
            <v:imagedata r:id="rId14" o:title=""/>
            <w10:wrap type="square" side="right"/>
          </v:shape>
          <o:OLEObject Type="Embed" ProgID="Excel.Sheet.12" ShapeID="_x0000_s1071" DrawAspect="Content" ObjectID="_1625500111" r:id="rId15"/>
        </w:object>
      </w:r>
      <w:r w:rsidR="000B54AD">
        <w:br w:type="textWrapping" w:clear="all"/>
      </w:r>
      <w:bookmarkStart w:id="3" w:name="_MON_1470809138"/>
      <w:bookmarkEnd w:id="3"/>
      <w:r w:rsidR="000A4699">
        <w:object w:dxaOrig="17470" w:dyaOrig="12829">
          <v:shape id="_x0000_i1027" type="#_x0000_t75" style="width:673.5pt;height:453pt" o:ole="">
            <v:imagedata r:id="rId16" o:title=""/>
          </v:shape>
          <o:OLEObject Type="Embed" ProgID="Excel.Sheet.12" ShapeID="_x0000_i1027" DrawAspect="Content" ObjectID="_1625500107" r:id="rId17"/>
        </w:object>
      </w:r>
    </w:p>
    <w:p w:rsidR="00E32708" w:rsidRDefault="00FB4770" w:rsidP="00927BA4">
      <w:pPr>
        <w:tabs>
          <w:tab w:val="left" w:pos="2430"/>
        </w:tabs>
      </w:pPr>
      <w:r>
        <w:rPr>
          <w:noProof/>
        </w:rPr>
        <w:lastRenderedPageBreak/>
        <w:object w:dxaOrig="1440" w:dyaOrig="1440">
          <v:shape id="_x0000_s1064" type="#_x0000_t75" style="position:absolute;margin-left:-22.2pt;margin-top:.25pt;width:736.25pt;height:432.55pt;z-index:251679744;mso-position-horizontal:absolute;mso-position-horizontal-relative:text;mso-position-vertical-relative:text">
            <v:imagedata r:id="rId18" o:title=""/>
            <w10:wrap type="square" side="right"/>
          </v:shape>
          <o:OLEObject Type="Embed" ProgID="Excel.Sheet.12" ShapeID="_x0000_s1064" DrawAspect="Content" ObjectID="_1625500112" r:id="rId19"/>
        </w:object>
      </w:r>
      <w:r w:rsidR="00DE2F50">
        <w:br w:type="textWrapping" w:clear="all"/>
      </w:r>
      <w:bookmarkStart w:id="4" w:name="_MON_1470810366"/>
      <w:bookmarkEnd w:id="4"/>
      <w:r w:rsidR="000A4699">
        <w:object w:dxaOrig="25362" w:dyaOrig="17222">
          <v:shape id="_x0000_i1028" type="#_x0000_t75" style="width:675pt;height:459pt" o:ole="">
            <v:imagedata r:id="rId20" o:title=""/>
          </v:shape>
          <o:OLEObject Type="Embed" ProgID="Excel.Sheet.12" ShapeID="_x0000_i1028" DrawAspect="Content" ObjectID="_1625500108" r:id="rId21"/>
        </w:object>
      </w:r>
    </w:p>
    <w:p w:rsidR="00372F40" w:rsidRDefault="00372F40"/>
    <w:p w:rsidR="00332091" w:rsidRPr="00661A17" w:rsidRDefault="00332091" w:rsidP="00332091">
      <w:pPr>
        <w:spacing w:after="0"/>
        <w:jc w:val="center"/>
        <w:rPr>
          <w:rFonts w:ascii="Arial" w:hAnsi="Arial" w:cs="Arial"/>
          <w:sz w:val="18"/>
          <w:szCs w:val="18"/>
        </w:rPr>
      </w:pPr>
      <w:r w:rsidRPr="00661A17">
        <w:rPr>
          <w:rFonts w:ascii="Arial" w:hAnsi="Arial" w:cs="Arial"/>
          <w:sz w:val="18"/>
          <w:szCs w:val="18"/>
        </w:rPr>
        <w:t>Informe de Pasivos Contingentes</w:t>
      </w:r>
    </w:p>
    <w:p w:rsidR="00332091" w:rsidRPr="00661A17" w:rsidRDefault="00332091" w:rsidP="00332091">
      <w:pPr>
        <w:spacing w:after="0"/>
        <w:rPr>
          <w:rFonts w:ascii="Arial" w:hAnsi="Arial" w:cs="Arial"/>
          <w:sz w:val="18"/>
          <w:szCs w:val="18"/>
        </w:rPr>
      </w:pPr>
    </w:p>
    <w:p w:rsidR="00332091" w:rsidRPr="00661A17" w:rsidRDefault="00332091" w:rsidP="00332091">
      <w:pPr>
        <w:rPr>
          <w:rFonts w:ascii="Arial" w:hAnsi="Arial" w:cs="Arial"/>
          <w:sz w:val="18"/>
          <w:szCs w:val="18"/>
        </w:rPr>
      </w:pPr>
    </w:p>
    <w:p w:rsidR="00332091" w:rsidRPr="00AE47E9" w:rsidRDefault="004466A7" w:rsidP="00332091">
      <w:pPr>
        <w:ind w:left="360"/>
        <w:rPr>
          <w:rFonts w:ascii="Arial" w:hAnsi="Arial" w:cs="Arial"/>
          <w:sz w:val="18"/>
          <w:szCs w:val="18"/>
        </w:rPr>
      </w:pPr>
      <w:r>
        <w:rPr>
          <w:rFonts w:ascii="Arial" w:hAnsi="Arial" w:cs="Arial"/>
          <w:sz w:val="18"/>
          <w:szCs w:val="18"/>
        </w:rPr>
        <w:t xml:space="preserve">Al mes de </w:t>
      </w:r>
      <w:r w:rsidR="00D237C3">
        <w:rPr>
          <w:rFonts w:ascii="Arial" w:hAnsi="Arial" w:cs="Arial"/>
          <w:sz w:val="18"/>
          <w:szCs w:val="18"/>
        </w:rPr>
        <w:t>junio</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540418" w:rsidRPr="00661A17" w:rsidRDefault="00540418">
      <w:pPr>
        <w:rPr>
          <w:rFonts w:ascii="Arial" w:hAnsi="Arial" w:cs="Arial"/>
          <w:sz w:val="18"/>
          <w:szCs w:val="18"/>
        </w:rPr>
      </w:pPr>
      <w:r w:rsidRPr="00661A17">
        <w:rPr>
          <w:rFonts w:ascii="Arial" w:hAnsi="Arial" w:cs="Arial"/>
          <w:sz w:val="18"/>
          <w:szCs w:val="18"/>
        </w:rPr>
        <w:br w:type="page"/>
      </w:r>
    </w:p>
    <w:p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4,</w:t>
      </w:r>
      <w:r w:rsidR="00A72713">
        <w:rPr>
          <w:rFonts w:ascii="Arial" w:hAnsi="Arial" w:cs="Arial"/>
          <w:sz w:val="18"/>
          <w:szCs w:val="18"/>
        </w:rPr>
        <w:t>815</w:t>
      </w:r>
      <w:r>
        <w:rPr>
          <w:rFonts w:ascii="Arial" w:hAnsi="Arial" w:cs="Arial"/>
          <w:sz w:val="18"/>
          <w:szCs w:val="18"/>
        </w:rPr>
        <w:t>,</w:t>
      </w:r>
      <w:r w:rsidR="00A72713">
        <w:rPr>
          <w:rFonts w:ascii="Arial" w:hAnsi="Arial" w:cs="Arial"/>
          <w:sz w:val="18"/>
          <w:szCs w:val="18"/>
        </w:rPr>
        <w:t>514</w:t>
      </w:r>
      <w:r>
        <w:rPr>
          <w:rFonts w:ascii="Arial" w:hAnsi="Arial" w:cs="Arial"/>
          <w:sz w:val="18"/>
          <w:szCs w:val="18"/>
        </w:rPr>
        <w:t>,</w:t>
      </w:r>
      <w:r w:rsidR="00A72713">
        <w:rPr>
          <w:rFonts w:ascii="Arial" w:hAnsi="Arial" w:cs="Arial"/>
          <w:sz w:val="18"/>
          <w:szCs w:val="18"/>
        </w:rPr>
        <w:t>645</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A72713">
        <w:rPr>
          <w:rFonts w:ascii="Arial" w:hAnsi="Arial" w:cs="Arial"/>
          <w:sz w:val="18"/>
          <w:szCs w:val="18"/>
        </w:rPr>
        <w:t>Segundo</w:t>
      </w:r>
      <w:r>
        <w:rPr>
          <w:rFonts w:ascii="Arial" w:hAnsi="Arial" w:cs="Arial"/>
          <w:sz w:val="18"/>
          <w:szCs w:val="18"/>
        </w:rPr>
        <w:t xml:space="preserve"> Ajuste Trimestral 201</w:t>
      </w:r>
      <w:r w:rsidR="00CE45FC">
        <w:rPr>
          <w:rFonts w:ascii="Arial" w:hAnsi="Arial" w:cs="Arial"/>
          <w:sz w:val="18"/>
          <w:szCs w:val="18"/>
        </w:rPr>
        <w:t>9</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142035">
        <w:rPr>
          <w:rFonts w:ascii="Arial" w:hAnsi="Arial" w:cs="Arial"/>
          <w:sz w:val="18"/>
          <w:szCs w:val="18"/>
        </w:rPr>
        <w:t xml:space="preserve">, mismo que es mayor en un </w:t>
      </w:r>
      <w:r w:rsidR="00A72713">
        <w:rPr>
          <w:rFonts w:ascii="Arial" w:hAnsi="Arial" w:cs="Arial"/>
          <w:sz w:val="18"/>
          <w:szCs w:val="18"/>
        </w:rPr>
        <w:t>19</w:t>
      </w:r>
      <w:r w:rsidR="00142035">
        <w:rPr>
          <w:rFonts w:ascii="Arial" w:hAnsi="Arial" w:cs="Arial"/>
          <w:sz w:val="18"/>
          <w:szCs w:val="18"/>
        </w:rPr>
        <w:t>% respecto al mismo periodo del 2018</w:t>
      </w:r>
      <w:r>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A72713">
        <w:rPr>
          <w:rFonts w:ascii="Arial" w:hAnsi="Arial" w:cs="Arial"/>
          <w:sz w:val="18"/>
          <w:szCs w:val="18"/>
        </w:rPr>
        <w:t>195</w:t>
      </w:r>
      <w:proofErr w:type="gramStart"/>
      <w:r>
        <w:rPr>
          <w:rFonts w:ascii="Arial" w:hAnsi="Arial" w:cs="Arial"/>
          <w:sz w:val="18"/>
          <w:szCs w:val="18"/>
        </w:rPr>
        <w:t>,</w:t>
      </w:r>
      <w:r w:rsidR="00A72713">
        <w:rPr>
          <w:rFonts w:ascii="Arial" w:hAnsi="Arial" w:cs="Arial"/>
          <w:sz w:val="18"/>
          <w:szCs w:val="18"/>
        </w:rPr>
        <w:t>656</w:t>
      </w:r>
      <w:r>
        <w:rPr>
          <w:rFonts w:ascii="Arial" w:hAnsi="Arial" w:cs="Arial"/>
          <w:sz w:val="18"/>
          <w:szCs w:val="18"/>
        </w:rPr>
        <w:t>,</w:t>
      </w:r>
      <w:r w:rsidR="00CE45FC">
        <w:rPr>
          <w:rFonts w:ascii="Arial" w:hAnsi="Arial" w:cs="Arial"/>
          <w:sz w:val="18"/>
          <w:szCs w:val="18"/>
        </w:rPr>
        <w:t>6</w:t>
      </w:r>
      <w:r w:rsidR="00A72713">
        <w:rPr>
          <w:rFonts w:ascii="Arial" w:hAnsi="Arial" w:cs="Arial"/>
          <w:sz w:val="18"/>
          <w:szCs w:val="18"/>
        </w:rPr>
        <w:t>21</w:t>
      </w:r>
      <w:proofErr w:type="gramEnd"/>
      <w:r w:rsidRPr="0073056A">
        <w:rPr>
          <w:rFonts w:ascii="Arial" w:hAnsi="Arial" w:cs="Arial"/>
          <w:sz w:val="18"/>
          <w:szCs w:val="18"/>
        </w:rPr>
        <w:t xml:space="preserve"> que se tiene al cierre del </w:t>
      </w:r>
      <w:r w:rsidR="00A72713">
        <w:rPr>
          <w:rFonts w:ascii="Arial" w:hAnsi="Arial" w:cs="Arial"/>
          <w:sz w:val="18"/>
          <w:szCs w:val="18"/>
        </w:rPr>
        <w:t>segundo</w:t>
      </w:r>
      <w:r w:rsidR="00CE45FC">
        <w:rPr>
          <w:rFonts w:ascii="Arial" w:hAnsi="Arial" w:cs="Arial"/>
          <w:sz w:val="18"/>
          <w:szCs w:val="18"/>
        </w:rPr>
        <w:t xml:space="preserve"> trimestre del </w:t>
      </w:r>
      <w:r>
        <w:rPr>
          <w:rFonts w:ascii="Arial" w:hAnsi="Arial" w:cs="Arial"/>
          <w:sz w:val="18"/>
          <w:szCs w:val="18"/>
        </w:rPr>
        <w:t>ejercicio 201</w:t>
      </w:r>
      <w:r w:rsidR="00CE45FC">
        <w:rPr>
          <w:rFonts w:ascii="Arial" w:hAnsi="Arial" w:cs="Arial"/>
          <w:sz w:val="18"/>
          <w:szCs w:val="18"/>
        </w:rPr>
        <w:t>9</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r w:rsidR="003C3B3A">
        <w:rPr>
          <w:rFonts w:ascii="Arial" w:hAnsi="Arial" w:cs="Arial"/>
          <w:sz w:val="18"/>
          <w:szCs w:val="18"/>
        </w:rPr>
        <w:t xml:space="preserve">, presentando un incremento del </w:t>
      </w:r>
      <w:r w:rsidR="00A72713">
        <w:rPr>
          <w:rFonts w:ascii="Arial" w:hAnsi="Arial" w:cs="Arial"/>
          <w:sz w:val="18"/>
          <w:szCs w:val="18"/>
        </w:rPr>
        <w:t>8</w:t>
      </w:r>
      <w:r w:rsidR="003C3B3A">
        <w:rPr>
          <w:rFonts w:ascii="Arial" w:hAnsi="Arial" w:cs="Arial"/>
          <w:sz w:val="18"/>
          <w:szCs w:val="18"/>
        </w:rPr>
        <w:t>% respecto al mismo periodo de 2018</w:t>
      </w:r>
      <w:r>
        <w:rPr>
          <w:rFonts w:ascii="Arial" w:hAnsi="Arial" w:cs="Arial"/>
          <w:sz w:val="18"/>
          <w:szCs w:val="18"/>
        </w:rPr>
        <w:t>.</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00807FF7">
        <w:rPr>
          <w:rFonts w:ascii="Arial" w:hAnsi="Arial" w:cs="Arial"/>
          <w:sz w:val="18"/>
          <w:szCs w:val="18"/>
        </w:rPr>
        <w:t>;</w:t>
      </w:r>
      <w:r w:rsidR="007F00B0">
        <w:rPr>
          <w:rFonts w:ascii="Arial" w:hAnsi="Arial" w:cs="Arial"/>
          <w:sz w:val="18"/>
          <w:szCs w:val="18"/>
        </w:rPr>
        <w:t xml:space="preserve"> al cierre del </w:t>
      </w:r>
      <w:r w:rsidR="000B0311">
        <w:rPr>
          <w:rFonts w:ascii="Arial" w:hAnsi="Arial" w:cs="Arial"/>
          <w:sz w:val="18"/>
          <w:szCs w:val="18"/>
        </w:rPr>
        <w:t>segundo</w:t>
      </w:r>
      <w:r w:rsidR="00BE43B1">
        <w:rPr>
          <w:rFonts w:ascii="Arial" w:hAnsi="Arial" w:cs="Arial"/>
          <w:sz w:val="18"/>
          <w:szCs w:val="18"/>
        </w:rPr>
        <w:t xml:space="preserve"> trimestre</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0B0311">
        <w:rPr>
          <w:rFonts w:ascii="Arial" w:hAnsi="Arial" w:cs="Arial"/>
          <w:sz w:val="18"/>
          <w:szCs w:val="18"/>
        </w:rPr>
        <w:t>segundo</w:t>
      </w:r>
      <w:r w:rsidR="00CE45FC">
        <w:rPr>
          <w:rFonts w:ascii="Arial" w:hAnsi="Arial" w:cs="Arial"/>
          <w:sz w:val="18"/>
          <w:szCs w:val="18"/>
        </w:rPr>
        <w:t xml:space="preserve"> trimestre del </w:t>
      </w:r>
      <w:r>
        <w:rPr>
          <w:rFonts w:ascii="Arial" w:hAnsi="Arial" w:cs="Arial"/>
          <w:sz w:val="18"/>
          <w:szCs w:val="18"/>
        </w:rPr>
        <w:t>ejercicio 201</w:t>
      </w:r>
      <w:r w:rsidR="00CE45FC">
        <w:rPr>
          <w:rFonts w:ascii="Arial" w:hAnsi="Arial" w:cs="Arial"/>
          <w:sz w:val="18"/>
          <w:szCs w:val="18"/>
        </w:rPr>
        <w:t>9</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0B0311">
        <w:rPr>
          <w:rFonts w:ascii="Arial" w:hAnsi="Arial" w:cs="Arial"/>
          <w:sz w:val="18"/>
          <w:szCs w:val="18"/>
        </w:rPr>
        <w:t>segundo</w:t>
      </w:r>
      <w:r w:rsidR="00142035">
        <w:rPr>
          <w:rFonts w:ascii="Arial" w:hAnsi="Arial" w:cs="Arial"/>
          <w:sz w:val="18"/>
          <w:szCs w:val="18"/>
        </w:rPr>
        <w:t xml:space="preserve"> trimestre del </w:t>
      </w:r>
      <w:r>
        <w:rPr>
          <w:rFonts w:ascii="Arial" w:hAnsi="Arial" w:cs="Arial"/>
          <w:sz w:val="18"/>
          <w:szCs w:val="18"/>
        </w:rPr>
        <w:t>ejercicio 201</w:t>
      </w:r>
      <w:r w:rsidR="00142035">
        <w:rPr>
          <w:rFonts w:ascii="Arial" w:hAnsi="Arial" w:cs="Arial"/>
          <w:sz w:val="18"/>
          <w:szCs w:val="18"/>
        </w:rPr>
        <w:t>9</w:t>
      </w:r>
      <w:r>
        <w:rPr>
          <w:rFonts w:ascii="Arial" w:hAnsi="Arial" w:cs="Arial"/>
          <w:sz w:val="18"/>
          <w:szCs w:val="18"/>
        </w:rPr>
        <w:t xml:space="preserve"> el Poder Ejecutivo cuenta con Inversiones Financieras a Largo Plazo por un importe de $ 2</w:t>
      </w:r>
      <w:r w:rsidR="000B0311">
        <w:rPr>
          <w:rFonts w:ascii="Arial" w:hAnsi="Arial" w:cs="Arial"/>
          <w:sz w:val="18"/>
          <w:szCs w:val="18"/>
        </w:rPr>
        <w:t>79</w:t>
      </w:r>
      <w:r>
        <w:rPr>
          <w:rFonts w:ascii="Arial" w:hAnsi="Arial" w:cs="Arial"/>
          <w:sz w:val="18"/>
          <w:szCs w:val="18"/>
        </w:rPr>
        <w:t>,</w:t>
      </w:r>
      <w:r w:rsidR="000B0311">
        <w:rPr>
          <w:rFonts w:ascii="Arial" w:hAnsi="Arial" w:cs="Arial"/>
          <w:sz w:val="18"/>
          <w:szCs w:val="18"/>
        </w:rPr>
        <w:t>232</w:t>
      </w:r>
      <w:r>
        <w:rPr>
          <w:rFonts w:ascii="Arial" w:hAnsi="Arial" w:cs="Arial"/>
          <w:sz w:val="18"/>
          <w:szCs w:val="18"/>
        </w:rPr>
        <w:t>,</w:t>
      </w:r>
      <w:r w:rsidR="000B0311">
        <w:rPr>
          <w:rFonts w:ascii="Arial" w:hAnsi="Arial" w:cs="Arial"/>
          <w:sz w:val="18"/>
          <w:szCs w:val="18"/>
        </w:rPr>
        <w:t>304</w:t>
      </w:r>
      <w:r>
        <w:rPr>
          <w:rFonts w:ascii="Arial" w:hAnsi="Arial" w:cs="Arial"/>
          <w:sz w:val="18"/>
          <w:szCs w:val="18"/>
        </w:rPr>
        <w:t>, que respaldan los diversos fondos de contingencia del Ejecutivo del Estado</w:t>
      </w:r>
      <w:r w:rsidR="00142035">
        <w:rPr>
          <w:rFonts w:ascii="Arial" w:hAnsi="Arial" w:cs="Arial"/>
          <w:sz w:val="18"/>
          <w:szCs w:val="18"/>
        </w:rPr>
        <w:t>, presentando un incremento de</w:t>
      </w:r>
      <w:r w:rsidR="00401AEB">
        <w:rPr>
          <w:rFonts w:ascii="Arial" w:hAnsi="Arial" w:cs="Arial"/>
          <w:sz w:val="18"/>
          <w:szCs w:val="18"/>
        </w:rPr>
        <w:t xml:space="preserve"> más del 100</w:t>
      </w:r>
      <w:r w:rsidR="00142035">
        <w:rPr>
          <w:rFonts w:ascii="Arial" w:hAnsi="Arial" w:cs="Arial"/>
          <w:sz w:val="18"/>
          <w:szCs w:val="18"/>
        </w:rPr>
        <w:t>% respecto del mismo periodo de 2018</w:t>
      </w:r>
      <w:r>
        <w:rPr>
          <w:rFonts w:ascii="Arial" w:hAnsi="Arial" w:cs="Arial"/>
          <w:sz w:val="18"/>
          <w:szCs w:val="18"/>
        </w:rPr>
        <w:t>.</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142035">
        <w:rPr>
          <w:rFonts w:ascii="Arial" w:hAnsi="Arial" w:cs="Arial"/>
          <w:sz w:val="18"/>
          <w:szCs w:val="18"/>
        </w:rPr>
        <w:t xml:space="preserve">mes de </w:t>
      </w:r>
      <w:r w:rsidR="00920E7A">
        <w:rPr>
          <w:rFonts w:ascii="Arial" w:hAnsi="Arial" w:cs="Arial"/>
          <w:sz w:val="18"/>
          <w:szCs w:val="18"/>
        </w:rPr>
        <w:t>junio</w:t>
      </w:r>
      <w:r w:rsidR="00142035">
        <w:rPr>
          <w:rFonts w:ascii="Arial" w:hAnsi="Arial" w:cs="Arial"/>
          <w:sz w:val="18"/>
          <w:szCs w:val="18"/>
        </w:rPr>
        <w:t xml:space="preserve"> del </w:t>
      </w:r>
      <w:r>
        <w:rPr>
          <w:rFonts w:ascii="Arial" w:hAnsi="Arial" w:cs="Arial"/>
          <w:sz w:val="18"/>
          <w:szCs w:val="18"/>
        </w:rPr>
        <w:t>ejercicio 201</w:t>
      </w:r>
      <w:r w:rsidR="00142035">
        <w:rPr>
          <w:rFonts w:ascii="Arial" w:hAnsi="Arial" w:cs="Arial"/>
          <w:sz w:val="18"/>
          <w:szCs w:val="18"/>
        </w:rPr>
        <w:t>9</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r w:rsidR="00401AEB">
        <w:rPr>
          <w:rFonts w:ascii="Arial" w:hAnsi="Arial" w:cs="Arial"/>
          <w:sz w:val="18"/>
          <w:szCs w:val="18"/>
        </w:rPr>
        <w:t>402</w:t>
      </w:r>
      <w:r>
        <w:rPr>
          <w:rFonts w:ascii="Arial" w:hAnsi="Arial" w:cs="Arial"/>
          <w:sz w:val="18"/>
          <w:szCs w:val="18"/>
        </w:rPr>
        <w:t>,</w:t>
      </w:r>
      <w:r w:rsidR="00401AEB">
        <w:rPr>
          <w:rFonts w:ascii="Arial" w:hAnsi="Arial" w:cs="Arial"/>
          <w:sz w:val="18"/>
          <w:szCs w:val="18"/>
        </w:rPr>
        <w:t>100</w:t>
      </w:r>
      <w:r>
        <w:rPr>
          <w:rFonts w:ascii="Arial" w:hAnsi="Arial" w:cs="Arial"/>
          <w:sz w:val="18"/>
          <w:szCs w:val="18"/>
        </w:rPr>
        <w:t>,</w:t>
      </w:r>
      <w:r w:rsidR="00142035">
        <w:rPr>
          <w:rFonts w:ascii="Arial" w:hAnsi="Arial" w:cs="Arial"/>
          <w:sz w:val="18"/>
          <w:szCs w:val="18"/>
        </w:rPr>
        <w:t>6</w:t>
      </w:r>
      <w:r w:rsidR="00401AEB">
        <w:rPr>
          <w:rFonts w:ascii="Arial" w:hAnsi="Arial" w:cs="Arial"/>
          <w:sz w:val="18"/>
          <w:szCs w:val="18"/>
        </w:rPr>
        <w:t>37</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00D6706B">
        <w:rPr>
          <w:rFonts w:ascii="Arial" w:hAnsi="Arial" w:cs="Arial"/>
          <w:sz w:val="18"/>
          <w:szCs w:val="18"/>
        </w:rPr>
        <w:t xml:space="preserve">, observando un incremento del </w:t>
      </w:r>
      <w:r w:rsidR="00401AEB">
        <w:rPr>
          <w:rFonts w:ascii="Arial" w:hAnsi="Arial" w:cs="Arial"/>
          <w:sz w:val="18"/>
          <w:szCs w:val="18"/>
        </w:rPr>
        <w:t>16</w:t>
      </w:r>
      <w:r w:rsidR="00D6706B">
        <w:rPr>
          <w:rFonts w:ascii="Arial" w:hAnsi="Arial" w:cs="Arial"/>
          <w:sz w:val="18"/>
          <w:szCs w:val="18"/>
        </w:rPr>
        <w:t xml:space="preserve">% respecto del </w:t>
      </w:r>
      <w:r w:rsidR="00401AEB">
        <w:rPr>
          <w:rFonts w:ascii="Arial" w:hAnsi="Arial" w:cs="Arial"/>
          <w:sz w:val="18"/>
          <w:szCs w:val="18"/>
        </w:rPr>
        <w:t>segundo</w:t>
      </w:r>
      <w:r w:rsidR="00D6706B">
        <w:rPr>
          <w:rFonts w:ascii="Arial" w:hAnsi="Arial" w:cs="Arial"/>
          <w:sz w:val="18"/>
          <w:szCs w:val="18"/>
        </w:rPr>
        <w:t xml:space="preserve"> trimestre de 2018</w:t>
      </w:r>
      <w:r w:rsidRPr="0073056A">
        <w:rPr>
          <w:rFonts w:ascii="Arial" w:hAnsi="Arial" w:cs="Arial"/>
          <w:sz w:val="18"/>
          <w:szCs w:val="18"/>
        </w:rPr>
        <w:t>.</w:t>
      </w:r>
    </w:p>
    <w:p w:rsidR="00B006FD" w:rsidRPr="0073056A" w:rsidRDefault="00B006FD" w:rsidP="00B006FD">
      <w:pPr>
        <w:tabs>
          <w:tab w:val="left" w:pos="284"/>
        </w:tabs>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la cuenta de bienes inmuebles es</w:t>
      </w:r>
      <w:r w:rsidRPr="0073056A">
        <w:rPr>
          <w:rFonts w:ascii="Arial" w:hAnsi="Arial" w:cs="Arial"/>
          <w:sz w:val="18"/>
          <w:szCs w:val="18"/>
        </w:rPr>
        <w:t xml:space="preserve"> de $</w:t>
      </w:r>
      <w:r>
        <w:rPr>
          <w:rFonts w:ascii="Arial" w:hAnsi="Arial" w:cs="Arial"/>
          <w:sz w:val="18"/>
          <w:szCs w:val="18"/>
        </w:rPr>
        <w:t xml:space="preserve"> 7,6</w:t>
      </w:r>
      <w:r w:rsidR="00401AEB">
        <w:rPr>
          <w:rFonts w:ascii="Arial" w:hAnsi="Arial" w:cs="Arial"/>
          <w:sz w:val="18"/>
          <w:szCs w:val="18"/>
        </w:rPr>
        <w:t>28</w:t>
      </w:r>
      <w:r>
        <w:rPr>
          <w:rFonts w:ascii="Arial" w:hAnsi="Arial" w:cs="Arial"/>
          <w:sz w:val="18"/>
          <w:szCs w:val="18"/>
        </w:rPr>
        <w:t>,</w:t>
      </w:r>
      <w:r w:rsidR="00401AEB">
        <w:rPr>
          <w:rFonts w:ascii="Arial" w:hAnsi="Arial" w:cs="Arial"/>
          <w:sz w:val="18"/>
          <w:szCs w:val="18"/>
        </w:rPr>
        <w:t>607</w:t>
      </w:r>
      <w:r>
        <w:rPr>
          <w:rFonts w:ascii="Arial" w:hAnsi="Arial" w:cs="Arial"/>
          <w:sz w:val="18"/>
          <w:szCs w:val="18"/>
        </w:rPr>
        <w:t>,</w:t>
      </w:r>
      <w:r w:rsidR="00401AEB">
        <w:rPr>
          <w:rFonts w:ascii="Arial" w:hAnsi="Arial" w:cs="Arial"/>
          <w:sz w:val="18"/>
          <w:szCs w:val="18"/>
        </w:rPr>
        <w:t>436</w:t>
      </w:r>
      <w:r>
        <w:rPr>
          <w:rFonts w:ascii="Arial" w:hAnsi="Arial" w:cs="Arial"/>
          <w:sz w:val="18"/>
          <w:szCs w:val="18"/>
        </w:rPr>
        <w:t>, y</w:t>
      </w:r>
      <w:r w:rsidRPr="0073056A">
        <w:rPr>
          <w:rFonts w:ascii="Arial" w:hAnsi="Arial" w:cs="Arial"/>
          <w:sz w:val="18"/>
          <w:szCs w:val="18"/>
        </w:rPr>
        <w:t xml:space="preserve"> </w:t>
      </w:r>
      <w:r>
        <w:rPr>
          <w:rFonts w:ascii="Arial" w:hAnsi="Arial" w:cs="Arial"/>
          <w:sz w:val="18"/>
          <w:szCs w:val="18"/>
        </w:rPr>
        <w:t xml:space="preserve">está </w:t>
      </w:r>
      <w:r w:rsidRPr="0073056A">
        <w:rPr>
          <w:rFonts w:ascii="Arial" w:hAnsi="Arial" w:cs="Arial"/>
          <w:sz w:val="18"/>
          <w:szCs w:val="18"/>
        </w:rPr>
        <w:t>representa</w:t>
      </w:r>
      <w:r>
        <w:rPr>
          <w:rFonts w:ascii="Arial" w:hAnsi="Arial" w:cs="Arial"/>
          <w:sz w:val="18"/>
          <w:szCs w:val="18"/>
        </w:rPr>
        <w:t xml:space="preserve">do por </w:t>
      </w:r>
      <w:r w:rsidRPr="0073056A">
        <w:rPr>
          <w:rFonts w:ascii="Arial" w:hAnsi="Arial" w:cs="Arial"/>
          <w:sz w:val="18"/>
          <w:szCs w:val="18"/>
        </w:rPr>
        <w:t>terrenos,</w:t>
      </w:r>
      <w:r>
        <w:rPr>
          <w:rFonts w:ascii="Arial" w:hAnsi="Arial" w:cs="Arial"/>
          <w:sz w:val="18"/>
          <w:szCs w:val="18"/>
        </w:rPr>
        <w:t xml:space="preserve"> viviendas y</w:t>
      </w:r>
      <w:r w:rsidRPr="0073056A">
        <w:rPr>
          <w:rFonts w:ascii="Arial" w:hAnsi="Arial" w:cs="Arial"/>
          <w:sz w:val="18"/>
          <w:szCs w:val="18"/>
        </w:rPr>
        <w:t xml:space="preserve"> edificios no habitacionales</w:t>
      </w:r>
      <w:r>
        <w:rPr>
          <w:rFonts w:ascii="Arial" w:hAnsi="Arial" w:cs="Arial"/>
          <w:sz w:val="18"/>
          <w:szCs w:val="18"/>
        </w:rPr>
        <w:t xml:space="preserve">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D6706B">
        <w:rPr>
          <w:rFonts w:ascii="Arial" w:hAnsi="Arial" w:cs="Arial"/>
          <w:sz w:val="18"/>
          <w:szCs w:val="18"/>
        </w:rPr>
        <w:t xml:space="preserve">, reflejando un incremento del </w:t>
      </w:r>
      <w:r w:rsidR="00024D68">
        <w:rPr>
          <w:rFonts w:ascii="Arial" w:hAnsi="Arial" w:cs="Arial"/>
          <w:sz w:val="18"/>
          <w:szCs w:val="18"/>
        </w:rPr>
        <w:t>19</w:t>
      </w:r>
      <w:r w:rsidR="00D6706B">
        <w:rPr>
          <w:rFonts w:ascii="Arial" w:hAnsi="Arial" w:cs="Arial"/>
          <w:sz w:val="18"/>
          <w:szCs w:val="18"/>
        </w:rPr>
        <w:t>% en relación al mismo periodo de 2018</w:t>
      </w:r>
      <w:r>
        <w:rPr>
          <w:rFonts w:ascii="Arial" w:hAnsi="Arial" w:cs="Arial"/>
          <w:sz w:val="18"/>
          <w:szCs w:val="18"/>
        </w:rPr>
        <w:t>.</w:t>
      </w:r>
    </w:p>
    <w:p w:rsidR="00332091" w:rsidRPr="0073056A" w:rsidRDefault="00B006FD" w:rsidP="00B006FD">
      <w:pPr>
        <w:tabs>
          <w:tab w:val="left" w:pos="284"/>
        </w:tabs>
        <w:ind w:left="284"/>
        <w:jc w:val="both"/>
        <w:rPr>
          <w:rFonts w:ascii="Arial" w:hAnsi="Arial" w:cs="Arial"/>
          <w:sz w:val="18"/>
          <w:szCs w:val="18"/>
        </w:rPr>
      </w:pPr>
      <w:r w:rsidRPr="0073056A">
        <w:rPr>
          <w:rFonts w:ascii="Arial" w:hAnsi="Arial" w:cs="Arial"/>
          <w:sz w:val="18"/>
          <w:szCs w:val="18"/>
        </w:rPr>
        <w:t>El saldo de $</w:t>
      </w:r>
      <w:r>
        <w:rPr>
          <w:rFonts w:ascii="Arial" w:hAnsi="Arial" w:cs="Arial"/>
          <w:sz w:val="18"/>
          <w:szCs w:val="18"/>
        </w:rPr>
        <w:t xml:space="preserve"> 8</w:t>
      </w:r>
      <w:r w:rsidR="00024D68">
        <w:rPr>
          <w:rFonts w:ascii="Arial" w:hAnsi="Arial" w:cs="Arial"/>
          <w:sz w:val="18"/>
          <w:szCs w:val="18"/>
        </w:rPr>
        <w:t>4</w:t>
      </w:r>
      <w:proofErr w:type="gramStart"/>
      <w:r>
        <w:rPr>
          <w:rFonts w:ascii="Arial" w:hAnsi="Arial" w:cs="Arial"/>
          <w:sz w:val="18"/>
          <w:szCs w:val="18"/>
        </w:rPr>
        <w:t>,</w:t>
      </w:r>
      <w:r w:rsidR="00024D68">
        <w:rPr>
          <w:rFonts w:ascii="Arial" w:hAnsi="Arial" w:cs="Arial"/>
          <w:sz w:val="18"/>
          <w:szCs w:val="18"/>
        </w:rPr>
        <w:t>814</w:t>
      </w:r>
      <w:r>
        <w:rPr>
          <w:rFonts w:ascii="Arial" w:hAnsi="Arial" w:cs="Arial"/>
          <w:sz w:val="18"/>
          <w:szCs w:val="18"/>
        </w:rPr>
        <w:t>,</w:t>
      </w:r>
      <w:r w:rsidR="00024D68">
        <w:rPr>
          <w:rFonts w:ascii="Arial" w:hAnsi="Arial" w:cs="Arial"/>
          <w:sz w:val="18"/>
          <w:szCs w:val="18"/>
        </w:rPr>
        <w:t>957</w:t>
      </w:r>
      <w:proofErr w:type="gramEnd"/>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sidR="00D6706B">
        <w:rPr>
          <w:rFonts w:ascii="Arial" w:hAnsi="Arial" w:cs="Arial"/>
          <w:sz w:val="18"/>
          <w:szCs w:val="18"/>
        </w:rPr>
        <w:t xml:space="preserve">; cabe hacer mención que en el mismo periodo de 2018 se tuvo un saldo de 80,160,990, lo que representó un incremento del </w:t>
      </w:r>
      <w:r w:rsidR="00024D68">
        <w:rPr>
          <w:rFonts w:ascii="Arial" w:hAnsi="Arial" w:cs="Arial"/>
          <w:sz w:val="18"/>
          <w:szCs w:val="18"/>
        </w:rPr>
        <w:t>6</w:t>
      </w:r>
      <w:r w:rsidR="00D6706B">
        <w:rPr>
          <w:rFonts w:ascii="Arial" w:hAnsi="Arial" w:cs="Arial"/>
          <w:sz w:val="18"/>
          <w:szCs w:val="18"/>
        </w:rPr>
        <w:t>%</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w:t>
      </w:r>
      <w:proofErr w:type="gramStart"/>
      <w:r w:rsidRPr="00FB6E0E">
        <w:rPr>
          <w:rFonts w:ascii="Arial" w:hAnsi="Arial" w:cs="Arial"/>
          <w:sz w:val="18"/>
          <w:szCs w:val="18"/>
        </w:rPr>
        <w:t>,805,338</w:t>
      </w:r>
      <w:proofErr w:type="gramEnd"/>
      <w:r w:rsidRPr="00FB6E0E">
        <w:rPr>
          <w:rFonts w:ascii="Arial" w:hAnsi="Arial" w:cs="Arial"/>
          <w:sz w:val="18"/>
          <w:szCs w:val="18"/>
        </w:rPr>
        <w:t xml:space="preserve">.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024D68">
        <w:rPr>
          <w:rFonts w:ascii="Arial" w:hAnsi="Arial" w:cs="Arial"/>
          <w:sz w:val="18"/>
          <w:szCs w:val="18"/>
        </w:rPr>
        <w:t>junio</w:t>
      </w:r>
      <w:r>
        <w:rPr>
          <w:rFonts w:ascii="Arial" w:hAnsi="Arial" w:cs="Arial"/>
          <w:sz w:val="18"/>
          <w:szCs w:val="18"/>
        </w:rPr>
        <w:t xml:space="preserve"> del ejercicio 201</w:t>
      </w:r>
      <w:r w:rsidR="00415099">
        <w:rPr>
          <w:rFonts w:ascii="Arial" w:hAnsi="Arial" w:cs="Arial"/>
          <w:sz w:val="18"/>
          <w:szCs w:val="18"/>
        </w:rPr>
        <w:t>9</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415099">
        <w:rPr>
          <w:rFonts w:ascii="Arial" w:hAnsi="Arial" w:cs="Arial"/>
          <w:sz w:val="18"/>
          <w:szCs w:val="18"/>
        </w:rPr>
        <w:t>3</w:t>
      </w:r>
      <w:proofErr w:type="gramStart"/>
      <w:r>
        <w:rPr>
          <w:rFonts w:ascii="Arial" w:hAnsi="Arial" w:cs="Arial"/>
          <w:sz w:val="18"/>
          <w:szCs w:val="18"/>
        </w:rPr>
        <w:t>,</w:t>
      </w:r>
      <w:r w:rsidR="00024D68">
        <w:rPr>
          <w:rFonts w:ascii="Arial" w:hAnsi="Arial" w:cs="Arial"/>
          <w:sz w:val="18"/>
          <w:szCs w:val="18"/>
        </w:rPr>
        <w:t>059</w:t>
      </w:r>
      <w:r>
        <w:rPr>
          <w:rFonts w:ascii="Arial" w:hAnsi="Arial" w:cs="Arial"/>
          <w:sz w:val="18"/>
          <w:szCs w:val="18"/>
        </w:rPr>
        <w:t>,</w:t>
      </w:r>
      <w:r w:rsidR="00E363BC">
        <w:rPr>
          <w:rFonts w:ascii="Arial" w:hAnsi="Arial" w:cs="Arial"/>
          <w:sz w:val="18"/>
          <w:szCs w:val="18"/>
        </w:rPr>
        <w:t>631</w:t>
      </w:r>
      <w:r>
        <w:rPr>
          <w:rFonts w:ascii="Arial" w:hAnsi="Arial" w:cs="Arial"/>
          <w:sz w:val="18"/>
          <w:szCs w:val="18"/>
        </w:rPr>
        <w:t>,</w:t>
      </w:r>
      <w:r w:rsidR="00E363BC">
        <w:rPr>
          <w:rFonts w:ascii="Arial" w:hAnsi="Arial" w:cs="Arial"/>
          <w:sz w:val="18"/>
          <w:szCs w:val="18"/>
        </w:rPr>
        <w:t>817</w:t>
      </w:r>
      <w:proofErr w:type="gramEnd"/>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lastRenderedPageBreak/>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E363BC">
        <w:rPr>
          <w:rFonts w:ascii="Arial" w:hAnsi="Arial" w:cs="Arial"/>
          <w:sz w:val="18"/>
          <w:szCs w:val="18"/>
          <w:lang w:val="es-ES"/>
        </w:rPr>
        <w:t>segundo</w:t>
      </w:r>
      <w:r w:rsidR="00415099">
        <w:rPr>
          <w:rFonts w:ascii="Arial" w:hAnsi="Arial" w:cs="Arial"/>
          <w:sz w:val="18"/>
          <w:szCs w:val="18"/>
          <w:lang w:val="es-ES"/>
        </w:rPr>
        <w:t xml:space="preserve"> trimestre </w:t>
      </w:r>
      <w:r>
        <w:rPr>
          <w:rFonts w:ascii="Arial" w:hAnsi="Arial" w:cs="Arial"/>
          <w:sz w:val="18"/>
          <w:szCs w:val="18"/>
        </w:rPr>
        <w:t>del ejercicio 201</w:t>
      </w:r>
      <w:r w:rsidR="00415099">
        <w:rPr>
          <w:rFonts w:ascii="Arial" w:hAnsi="Arial" w:cs="Arial"/>
          <w:sz w:val="18"/>
          <w:szCs w:val="18"/>
        </w:rPr>
        <w:t>9</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Pr>
          <w:rFonts w:ascii="Arial" w:hAnsi="Arial" w:cs="Arial"/>
          <w:sz w:val="18"/>
          <w:szCs w:val="18"/>
        </w:rPr>
        <w:t xml:space="preserve"> </w:t>
      </w:r>
      <w:r w:rsidR="00E363BC">
        <w:rPr>
          <w:rFonts w:ascii="Arial" w:hAnsi="Arial" w:cs="Arial"/>
          <w:sz w:val="18"/>
          <w:szCs w:val="18"/>
        </w:rPr>
        <w:t>10</w:t>
      </w:r>
      <w:proofErr w:type="gramStart"/>
      <w:r>
        <w:rPr>
          <w:rFonts w:ascii="Arial" w:hAnsi="Arial" w:cs="Arial"/>
          <w:sz w:val="18"/>
          <w:szCs w:val="18"/>
        </w:rPr>
        <w:t>,</w:t>
      </w:r>
      <w:r w:rsidR="00E363BC">
        <w:rPr>
          <w:rFonts w:ascii="Arial" w:hAnsi="Arial" w:cs="Arial"/>
          <w:sz w:val="18"/>
          <w:szCs w:val="18"/>
        </w:rPr>
        <w:t>941</w:t>
      </w:r>
      <w:r>
        <w:rPr>
          <w:rFonts w:ascii="Arial" w:hAnsi="Arial" w:cs="Arial"/>
          <w:sz w:val="18"/>
          <w:szCs w:val="18"/>
        </w:rPr>
        <w:t>,</w:t>
      </w:r>
      <w:r w:rsidR="00E363BC">
        <w:rPr>
          <w:rFonts w:ascii="Arial" w:hAnsi="Arial" w:cs="Arial"/>
          <w:sz w:val="18"/>
          <w:szCs w:val="18"/>
        </w:rPr>
        <w:t>392</w:t>
      </w:r>
      <w:r>
        <w:rPr>
          <w:rFonts w:ascii="Arial" w:hAnsi="Arial" w:cs="Arial"/>
          <w:sz w:val="18"/>
          <w:szCs w:val="18"/>
        </w:rPr>
        <w:t>,</w:t>
      </w:r>
      <w:r w:rsidR="00E363BC">
        <w:rPr>
          <w:rFonts w:ascii="Arial" w:hAnsi="Arial" w:cs="Arial"/>
          <w:sz w:val="18"/>
          <w:szCs w:val="18"/>
        </w:rPr>
        <w:t>384</w:t>
      </w:r>
      <w:proofErr w:type="gramEnd"/>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6D7FD8">
        <w:rPr>
          <w:rFonts w:ascii="Arial" w:hAnsi="Arial" w:cs="Arial"/>
          <w:sz w:val="18"/>
          <w:szCs w:val="18"/>
        </w:rPr>
        <w:t>9</w:t>
      </w:r>
      <w:r>
        <w:rPr>
          <w:rFonts w:ascii="Arial" w:hAnsi="Arial" w:cs="Arial"/>
          <w:sz w:val="18"/>
          <w:szCs w:val="18"/>
        </w:rPr>
        <w:t>,</w:t>
      </w:r>
      <w:r w:rsidR="006D7FD8">
        <w:rPr>
          <w:rFonts w:ascii="Arial" w:hAnsi="Arial" w:cs="Arial"/>
          <w:sz w:val="18"/>
          <w:szCs w:val="18"/>
        </w:rPr>
        <w:t>0</w:t>
      </w:r>
      <w:r w:rsidR="0008099F">
        <w:rPr>
          <w:rFonts w:ascii="Arial" w:hAnsi="Arial" w:cs="Arial"/>
          <w:sz w:val="18"/>
          <w:szCs w:val="18"/>
        </w:rPr>
        <w:t>1</w:t>
      </w:r>
      <w:r w:rsidR="006D7FD8">
        <w:rPr>
          <w:rFonts w:ascii="Arial" w:hAnsi="Arial" w:cs="Arial"/>
          <w:sz w:val="18"/>
          <w:szCs w:val="18"/>
        </w:rPr>
        <w:t>0</w:t>
      </w:r>
      <w:r>
        <w:rPr>
          <w:rFonts w:ascii="Arial" w:hAnsi="Arial" w:cs="Arial"/>
          <w:sz w:val="18"/>
          <w:szCs w:val="18"/>
        </w:rPr>
        <w:t>,</w:t>
      </w:r>
      <w:r w:rsidR="006D7FD8">
        <w:rPr>
          <w:rFonts w:ascii="Arial" w:hAnsi="Arial" w:cs="Arial"/>
          <w:sz w:val="18"/>
          <w:szCs w:val="18"/>
        </w:rPr>
        <w:t>807</w:t>
      </w:r>
      <w:r>
        <w:rPr>
          <w:rFonts w:ascii="Arial" w:hAnsi="Arial" w:cs="Arial"/>
          <w:sz w:val="18"/>
          <w:szCs w:val="18"/>
        </w:rPr>
        <w:t>,</w:t>
      </w:r>
      <w:r w:rsidR="006D7FD8">
        <w:rPr>
          <w:rFonts w:ascii="Arial" w:hAnsi="Arial" w:cs="Arial"/>
          <w:sz w:val="18"/>
          <w:szCs w:val="18"/>
        </w:rPr>
        <w:t>096</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Pr>
          <w:rFonts w:ascii="Arial" w:hAnsi="Arial" w:cs="Arial"/>
          <w:sz w:val="18"/>
          <w:szCs w:val="18"/>
        </w:rPr>
        <w:t xml:space="preserve"> 1,</w:t>
      </w:r>
      <w:r w:rsidR="006D7FD8">
        <w:rPr>
          <w:rFonts w:ascii="Arial" w:hAnsi="Arial" w:cs="Arial"/>
          <w:sz w:val="18"/>
          <w:szCs w:val="18"/>
        </w:rPr>
        <w:t>9</w:t>
      </w:r>
      <w:r w:rsidR="0008099F">
        <w:rPr>
          <w:rFonts w:ascii="Arial" w:hAnsi="Arial" w:cs="Arial"/>
          <w:sz w:val="18"/>
          <w:szCs w:val="18"/>
        </w:rPr>
        <w:t>3</w:t>
      </w:r>
      <w:r w:rsidR="006D7FD8">
        <w:rPr>
          <w:rFonts w:ascii="Arial" w:hAnsi="Arial" w:cs="Arial"/>
          <w:sz w:val="18"/>
          <w:szCs w:val="18"/>
        </w:rPr>
        <w:t>0</w:t>
      </w:r>
      <w:r>
        <w:rPr>
          <w:rFonts w:ascii="Arial" w:hAnsi="Arial" w:cs="Arial"/>
          <w:sz w:val="18"/>
          <w:szCs w:val="18"/>
        </w:rPr>
        <w:t>,</w:t>
      </w:r>
      <w:r w:rsidR="0008099F">
        <w:rPr>
          <w:rFonts w:ascii="Arial" w:hAnsi="Arial" w:cs="Arial"/>
          <w:sz w:val="18"/>
          <w:szCs w:val="18"/>
        </w:rPr>
        <w:t>58</w:t>
      </w:r>
      <w:r w:rsidR="006D7FD8">
        <w:rPr>
          <w:rFonts w:ascii="Arial" w:hAnsi="Arial" w:cs="Arial"/>
          <w:sz w:val="18"/>
          <w:szCs w:val="18"/>
        </w:rPr>
        <w:t>5</w:t>
      </w:r>
      <w:r>
        <w:rPr>
          <w:rFonts w:ascii="Arial" w:hAnsi="Arial" w:cs="Arial"/>
          <w:sz w:val="18"/>
          <w:szCs w:val="18"/>
        </w:rPr>
        <w:t>,</w:t>
      </w:r>
      <w:r w:rsidR="0008099F">
        <w:rPr>
          <w:rFonts w:ascii="Arial" w:hAnsi="Arial" w:cs="Arial"/>
          <w:sz w:val="18"/>
          <w:szCs w:val="18"/>
        </w:rPr>
        <w:t>2</w:t>
      </w:r>
      <w:r w:rsidR="006D7FD8">
        <w:rPr>
          <w:rFonts w:ascii="Arial" w:hAnsi="Arial" w:cs="Arial"/>
          <w:sz w:val="18"/>
          <w:szCs w:val="18"/>
        </w:rPr>
        <w:t>8</w:t>
      </w:r>
      <w:r w:rsidR="0008099F">
        <w:rPr>
          <w:rFonts w:ascii="Arial" w:hAnsi="Arial" w:cs="Arial"/>
          <w:sz w:val="18"/>
          <w:szCs w:val="18"/>
        </w:rPr>
        <w:t>8</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08099F">
        <w:rPr>
          <w:rFonts w:ascii="Arial" w:hAnsi="Arial" w:cs="Arial"/>
          <w:sz w:val="18"/>
          <w:szCs w:val="18"/>
        </w:rPr>
        <w:t xml:space="preserve">, respecto al mismo periodo del ejercicio 2018, se tuvo un </w:t>
      </w:r>
      <w:r w:rsidR="006D7FD8">
        <w:rPr>
          <w:rFonts w:ascii="Arial" w:hAnsi="Arial" w:cs="Arial"/>
          <w:sz w:val="18"/>
          <w:szCs w:val="18"/>
        </w:rPr>
        <w:t>de</w:t>
      </w:r>
      <w:r w:rsidR="0008099F">
        <w:rPr>
          <w:rFonts w:ascii="Arial" w:hAnsi="Arial" w:cs="Arial"/>
          <w:sz w:val="18"/>
          <w:szCs w:val="18"/>
        </w:rPr>
        <w:t xml:space="preserve">cremento del </w:t>
      </w:r>
      <w:r w:rsidR="006D7FD8">
        <w:rPr>
          <w:rFonts w:ascii="Arial" w:hAnsi="Arial" w:cs="Arial"/>
          <w:sz w:val="18"/>
          <w:szCs w:val="18"/>
        </w:rPr>
        <w:t>12</w:t>
      </w:r>
      <w:r w:rsidR="0008099F">
        <w:rPr>
          <w:rFonts w:ascii="Arial" w:hAnsi="Arial" w:cs="Arial"/>
          <w:sz w:val="18"/>
          <w:szCs w:val="18"/>
        </w:rPr>
        <w:t>%</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6D7FD8">
        <w:rPr>
          <w:rFonts w:ascii="Arial" w:hAnsi="Arial" w:cs="Arial"/>
          <w:sz w:val="18"/>
          <w:szCs w:val="18"/>
        </w:rPr>
        <w:t>juni</w:t>
      </w:r>
      <w:r w:rsidR="0008099F">
        <w:rPr>
          <w:rFonts w:ascii="Arial" w:hAnsi="Arial" w:cs="Arial"/>
          <w:sz w:val="18"/>
          <w:szCs w:val="18"/>
        </w:rPr>
        <w:t>o</w:t>
      </w:r>
      <w:r>
        <w:rPr>
          <w:rFonts w:ascii="Arial" w:hAnsi="Arial" w:cs="Arial"/>
          <w:sz w:val="18"/>
          <w:szCs w:val="18"/>
        </w:rPr>
        <w:t xml:space="preserve"> de 201</w:t>
      </w:r>
      <w:r w:rsidR="0008099F">
        <w:rPr>
          <w:rFonts w:ascii="Arial" w:hAnsi="Arial" w:cs="Arial"/>
          <w:sz w:val="18"/>
          <w:szCs w:val="18"/>
        </w:rPr>
        <w:t>9</w:t>
      </w:r>
      <w:r w:rsidRPr="0073056A">
        <w:rPr>
          <w:rFonts w:ascii="Arial" w:hAnsi="Arial" w:cs="Arial"/>
          <w:sz w:val="18"/>
          <w:szCs w:val="18"/>
        </w:rPr>
        <w:t xml:space="preserve"> se recaudó la cantidad de $</w:t>
      </w:r>
      <w:r w:rsidR="00FA56B5">
        <w:rPr>
          <w:rFonts w:ascii="Arial" w:hAnsi="Arial" w:cs="Arial"/>
          <w:sz w:val="18"/>
          <w:szCs w:val="18"/>
        </w:rPr>
        <w:t>2</w:t>
      </w:r>
      <w:r w:rsidR="0008099F">
        <w:rPr>
          <w:rFonts w:ascii="Arial" w:hAnsi="Arial" w:cs="Arial"/>
          <w:sz w:val="18"/>
          <w:szCs w:val="18"/>
        </w:rPr>
        <w:t>8</w:t>
      </w:r>
      <w:r w:rsidR="00FA56B5">
        <w:rPr>
          <w:rFonts w:ascii="Arial" w:hAnsi="Arial" w:cs="Arial"/>
          <w:sz w:val="18"/>
          <w:szCs w:val="18"/>
        </w:rPr>
        <w:t>6</w:t>
      </w:r>
      <w:proofErr w:type="gramStart"/>
      <w:r>
        <w:rPr>
          <w:rFonts w:ascii="Arial" w:hAnsi="Arial" w:cs="Arial"/>
          <w:sz w:val="18"/>
          <w:szCs w:val="18"/>
        </w:rPr>
        <w:t>,</w:t>
      </w:r>
      <w:r w:rsidR="00FA56B5">
        <w:rPr>
          <w:rFonts w:ascii="Arial" w:hAnsi="Arial" w:cs="Arial"/>
          <w:sz w:val="18"/>
          <w:szCs w:val="18"/>
        </w:rPr>
        <w:t>757</w:t>
      </w:r>
      <w:r>
        <w:rPr>
          <w:rFonts w:ascii="Arial" w:hAnsi="Arial" w:cs="Arial"/>
          <w:sz w:val="18"/>
          <w:szCs w:val="18"/>
        </w:rPr>
        <w:t>,</w:t>
      </w:r>
      <w:r w:rsidR="0007436A">
        <w:rPr>
          <w:rFonts w:ascii="Arial" w:hAnsi="Arial" w:cs="Arial"/>
          <w:sz w:val="18"/>
          <w:szCs w:val="18"/>
        </w:rPr>
        <w:t>072</w:t>
      </w:r>
      <w:proofErr w:type="gramEnd"/>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07436A">
        <w:rPr>
          <w:rFonts w:ascii="Arial" w:hAnsi="Arial" w:cs="Arial"/>
          <w:sz w:val="18"/>
          <w:szCs w:val="18"/>
        </w:rPr>
        <w:t>270</w:t>
      </w:r>
      <w:r w:rsidR="00E004F0">
        <w:rPr>
          <w:rFonts w:ascii="Arial" w:hAnsi="Arial" w:cs="Arial"/>
          <w:sz w:val="18"/>
          <w:szCs w:val="18"/>
        </w:rPr>
        <w:t>,</w:t>
      </w:r>
      <w:r w:rsidR="0007436A">
        <w:rPr>
          <w:rFonts w:ascii="Arial" w:hAnsi="Arial" w:cs="Arial"/>
          <w:sz w:val="18"/>
          <w:szCs w:val="18"/>
        </w:rPr>
        <w:t>339</w:t>
      </w:r>
      <w:r>
        <w:rPr>
          <w:rFonts w:ascii="Arial" w:hAnsi="Arial" w:cs="Arial"/>
          <w:sz w:val="18"/>
          <w:szCs w:val="18"/>
        </w:rPr>
        <w:t>,</w:t>
      </w:r>
      <w:r w:rsidR="0007436A">
        <w:rPr>
          <w:rFonts w:ascii="Arial" w:hAnsi="Arial" w:cs="Arial"/>
          <w:sz w:val="18"/>
          <w:szCs w:val="18"/>
        </w:rPr>
        <w:t>332</w:t>
      </w:r>
      <w:r>
        <w:rPr>
          <w:rFonts w:ascii="Arial" w:hAnsi="Arial" w:cs="Arial"/>
          <w:sz w:val="18"/>
          <w:szCs w:val="18"/>
        </w:rPr>
        <w:t>; sobre la Producción, el Consumo y las transacciones por un importe de $</w:t>
      </w:r>
      <w:r w:rsidR="0007436A">
        <w:rPr>
          <w:rFonts w:ascii="Arial" w:hAnsi="Arial" w:cs="Arial"/>
          <w:sz w:val="18"/>
          <w:szCs w:val="18"/>
        </w:rPr>
        <w:t>11</w:t>
      </w:r>
      <w:r>
        <w:rPr>
          <w:rFonts w:ascii="Arial" w:hAnsi="Arial" w:cs="Arial"/>
          <w:sz w:val="18"/>
          <w:szCs w:val="18"/>
        </w:rPr>
        <w:t>,</w:t>
      </w:r>
      <w:r w:rsidR="0007436A">
        <w:rPr>
          <w:rFonts w:ascii="Arial" w:hAnsi="Arial" w:cs="Arial"/>
          <w:sz w:val="18"/>
          <w:szCs w:val="18"/>
        </w:rPr>
        <w:t>593</w:t>
      </w:r>
      <w:r>
        <w:rPr>
          <w:rFonts w:ascii="Arial" w:hAnsi="Arial" w:cs="Arial"/>
          <w:sz w:val="18"/>
          <w:szCs w:val="18"/>
        </w:rPr>
        <w:t>,</w:t>
      </w:r>
      <w:r w:rsidR="0007436A">
        <w:rPr>
          <w:rFonts w:ascii="Arial" w:hAnsi="Arial" w:cs="Arial"/>
          <w:sz w:val="18"/>
          <w:szCs w:val="18"/>
        </w:rPr>
        <w:t>216</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C651E7">
        <w:rPr>
          <w:rFonts w:ascii="Arial" w:hAnsi="Arial" w:cs="Arial"/>
          <w:sz w:val="18"/>
          <w:szCs w:val="18"/>
        </w:rPr>
        <w:t>2</w:t>
      </w:r>
      <w:r>
        <w:rPr>
          <w:rFonts w:ascii="Arial" w:hAnsi="Arial" w:cs="Arial"/>
          <w:sz w:val="18"/>
          <w:szCs w:val="18"/>
        </w:rPr>
        <w:t>,</w:t>
      </w:r>
      <w:r w:rsidR="00C651E7">
        <w:rPr>
          <w:rFonts w:ascii="Arial" w:hAnsi="Arial" w:cs="Arial"/>
          <w:sz w:val="18"/>
          <w:szCs w:val="18"/>
        </w:rPr>
        <w:t>735</w:t>
      </w:r>
      <w:r>
        <w:rPr>
          <w:rFonts w:ascii="Arial" w:hAnsi="Arial" w:cs="Arial"/>
          <w:sz w:val="18"/>
          <w:szCs w:val="18"/>
        </w:rPr>
        <w:t>,</w:t>
      </w:r>
      <w:r w:rsidR="00E004F0">
        <w:rPr>
          <w:rFonts w:ascii="Arial" w:hAnsi="Arial" w:cs="Arial"/>
          <w:sz w:val="18"/>
          <w:szCs w:val="18"/>
        </w:rPr>
        <w:t>1</w:t>
      </w:r>
      <w:r w:rsidR="00C651E7">
        <w:rPr>
          <w:rFonts w:ascii="Arial" w:hAnsi="Arial" w:cs="Arial"/>
          <w:sz w:val="18"/>
          <w:szCs w:val="18"/>
        </w:rPr>
        <w:t>53</w:t>
      </w:r>
      <w:r w:rsidR="00E004F0">
        <w:rPr>
          <w:rFonts w:ascii="Arial" w:hAnsi="Arial" w:cs="Arial"/>
          <w:sz w:val="18"/>
          <w:szCs w:val="18"/>
        </w:rPr>
        <w:t xml:space="preserve">, lo que representa un </w:t>
      </w:r>
      <w:r w:rsidR="00741943">
        <w:rPr>
          <w:rFonts w:ascii="Arial" w:hAnsi="Arial" w:cs="Arial"/>
          <w:sz w:val="18"/>
          <w:szCs w:val="18"/>
        </w:rPr>
        <w:t>de</w:t>
      </w:r>
      <w:r w:rsidR="00E004F0">
        <w:rPr>
          <w:rFonts w:ascii="Arial" w:hAnsi="Arial" w:cs="Arial"/>
          <w:sz w:val="18"/>
          <w:szCs w:val="18"/>
        </w:rPr>
        <w:t xml:space="preserve">cremento del </w:t>
      </w:r>
      <w:r w:rsidR="00741943">
        <w:rPr>
          <w:rFonts w:ascii="Arial" w:hAnsi="Arial" w:cs="Arial"/>
          <w:sz w:val="18"/>
          <w:szCs w:val="18"/>
        </w:rPr>
        <w:t>2</w:t>
      </w:r>
      <w:r w:rsidR="00E004F0">
        <w:rPr>
          <w:rFonts w:ascii="Arial" w:hAnsi="Arial" w:cs="Arial"/>
          <w:sz w:val="18"/>
          <w:szCs w:val="18"/>
        </w:rPr>
        <w:t>% respecto del total observado en el mismo periodo de 2018.</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741943">
        <w:rPr>
          <w:rFonts w:ascii="Arial" w:hAnsi="Arial" w:cs="Arial"/>
          <w:sz w:val="18"/>
          <w:szCs w:val="18"/>
        </w:rPr>
        <w:t>junio</w:t>
      </w:r>
      <w:r>
        <w:rPr>
          <w:rFonts w:ascii="Arial" w:hAnsi="Arial" w:cs="Arial"/>
          <w:sz w:val="18"/>
          <w:szCs w:val="18"/>
        </w:rPr>
        <w:t xml:space="preserve"> es por</w:t>
      </w:r>
      <w:r w:rsidRPr="0073056A">
        <w:rPr>
          <w:rFonts w:ascii="Arial" w:hAnsi="Arial" w:cs="Arial"/>
          <w:sz w:val="18"/>
          <w:szCs w:val="18"/>
        </w:rPr>
        <w:t xml:space="preserve"> un monto de $</w:t>
      </w:r>
      <w:r w:rsidR="00741943">
        <w:rPr>
          <w:rFonts w:ascii="Arial" w:hAnsi="Arial" w:cs="Arial"/>
          <w:sz w:val="18"/>
          <w:szCs w:val="18"/>
        </w:rPr>
        <w:t>268</w:t>
      </w:r>
      <w:proofErr w:type="gramStart"/>
      <w:r>
        <w:rPr>
          <w:rFonts w:ascii="Arial" w:hAnsi="Arial" w:cs="Arial"/>
          <w:sz w:val="18"/>
          <w:szCs w:val="18"/>
        </w:rPr>
        <w:t>,</w:t>
      </w:r>
      <w:r w:rsidR="00741943">
        <w:rPr>
          <w:rFonts w:ascii="Arial" w:hAnsi="Arial" w:cs="Arial"/>
          <w:sz w:val="18"/>
          <w:szCs w:val="18"/>
        </w:rPr>
        <w:t>539</w:t>
      </w:r>
      <w:r>
        <w:rPr>
          <w:rFonts w:ascii="Arial" w:hAnsi="Arial" w:cs="Arial"/>
          <w:sz w:val="18"/>
          <w:szCs w:val="18"/>
        </w:rPr>
        <w:t>,</w:t>
      </w:r>
      <w:r w:rsidR="00741943">
        <w:rPr>
          <w:rFonts w:ascii="Arial" w:hAnsi="Arial" w:cs="Arial"/>
          <w:sz w:val="18"/>
          <w:szCs w:val="18"/>
        </w:rPr>
        <w:t>431</w:t>
      </w:r>
      <w:proofErr w:type="gramEnd"/>
      <w:r w:rsidR="00513E7E">
        <w:rPr>
          <w:rFonts w:ascii="Arial" w:hAnsi="Arial" w:cs="Arial"/>
          <w:sz w:val="18"/>
          <w:szCs w:val="18"/>
        </w:rPr>
        <w:t xml:space="preserve">, observándose un incremento del </w:t>
      </w:r>
      <w:r w:rsidR="00741943">
        <w:rPr>
          <w:rFonts w:ascii="Arial" w:hAnsi="Arial" w:cs="Arial"/>
          <w:sz w:val="18"/>
          <w:szCs w:val="18"/>
        </w:rPr>
        <w:t>4</w:t>
      </w:r>
      <w:r w:rsidR="00513E7E">
        <w:rPr>
          <w:rFonts w:ascii="Arial" w:hAnsi="Arial" w:cs="Arial"/>
          <w:sz w:val="18"/>
          <w:szCs w:val="18"/>
        </w:rPr>
        <w:t>% respecto del monto observado en 2018</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AC2372">
        <w:rPr>
          <w:rFonts w:ascii="Arial" w:hAnsi="Arial" w:cs="Arial"/>
          <w:sz w:val="18"/>
          <w:szCs w:val="18"/>
        </w:rPr>
        <w:t>junio</w:t>
      </w:r>
      <w:r>
        <w:rPr>
          <w:rFonts w:ascii="Arial" w:hAnsi="Arial" w:cs="Arial"/>
          <w:sz w:val="18"/>
          <w:szCs w:val="18"/>
        </w:rPr>
        <w:t xml:space="preserve"> es</w:t>
      </w:r>
      <w:r w:rsidRPr="0073056A">
        <w:rPr>
          <w:rFonts w:ascii="Arial" w:hAnsi="Arial" w:cs="Arial"/>
          <w:sz w:val="18"/>
          <w:szCs w:val="18"/>
        </w:rPr>
        <w:t xml:space="preserve"> de $</w:t>
      </w:r>
      <w:r w:rsidRPr="00502DDD">
        <w:rPr>
          <w:rFonts w:ascii="Arial" w:hAnsi="Arial" w:cs="Arial"/>
          <w:sz w:val="18"/>
          <w:szCs w:val="18"/>
        </w:rPr>
        <w:t xml:space="preserve"> </w:t>
      </w:r>
      <w:r w:rsidR="00AC2372">
        <w:rPr>
          <w:rFonts w:ascii="Arial" w:hAnsi="Arial" w:cs="Arial"/>
          <w:sz w:val="18"/>
          <w:szCs w:val="18"/>
        </w:rPr>
        <w:t>16</w:t>
      </w:r>
      <w:r>
        <w:rPr>
          <w:rFonts w:ascii="Arial" w:hAnsi="Arial" w:cs="Arial"/>
          <w:sz w:val="18"/>
          <w:szCs w:val="18"/>
        </w:rPr>
        <w:t>7</w:t>
      </w:r>
      <w:r w:rsidRPr="00502DDD">
        <w:rPr>
          <w:rFonts w:ascii="Arial" w:hAnsi="Arial" w:cs="Arial"/>
          <w:sz w:val="18"/>
          <w:szCs w:val="18"/>
        </w:rPr>
        <w:t>,</w:t>
      </w:r>
      <w:r w:rsidR="00AC2372">
        <w:rPr>
          <w:rFonts w:ascii="Arial" w:hAnsi="Arial" w:cs="Arial"/>
          <w:sz w:val="18"/>
          <w:szCs w:val="18"/>
        </w:rPr>
        <w:t>853</w:t>
      </w:r>
      <w:r w:rsidRPr="00502DDD">
        <w:rPr>
          <w:rFonts w:ascii="Arial" w:hAnsi="Arial" w:cs="Arial"/>
          <w:sz w:val="18"/>
          <w:szCs w:val="18"/>
        </w:rPr>
        <w:t>,</w:t>
      </w:r>
      <w:r w:rsidR="00AC2372">
        <w:rPr>
          <w:rFonts w:ascii="Arial" w:hAnsi="Arial" w:cs="Arial"/>
          <w:sz w:val="18"/>
          <w:szCs w:val="18"/>
        </w:rPr>
        <w:t>866</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00513E7E">
        <w:rPr>
          <w:rFonts w:ascii="Arial" w:hAnsi="Arial" w:cs="Arial"/>
          <w:sz w:val="18"/>
          <w:szCs w:val="18"/>
        </w:rPr>
        <w:t xml:space="preserve">, observándose un incremento del </w:t>
      </w:r>
      <w:r w:rsidR="00AC2372">
        <w:rPr>
          <w:rFonts w:ascii="Arial" w:hAnsi="Arial" w:cs="Arial"/>
          <w:sz w:val="18"/>
          <w:szCs w:val="18"/>
        </w:rPr>
        <w:t>28</w:t>
      </w:r>
      <w:r w:rsidR="00513E7E">
        <w:rPr>
          <w:rFonts w:ascii="Arial" w:hAnsi="Arial" w:cs="Arial"/>
          <w:sz w:val="18"/>
          <w:szCs w:val="18"/>
        </w:rPr>
        <w:t>% respecto del monto observado en 2018</w:t>
      </w:r>
      <w:r w:rsidRPr="0073056A">
        <w:rPr>
          <w:rFonts w:ascii="Arial" w:hAnsi="Arial" w:cs="Arial"/>
          <w:sz w:val="18"/>
          <w:szCs w:val="18"/>
        </w:rPr>
        <w:t>.</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AC2372">
        <w:rPr>
          <w:rFonts w:ascii="Arial" w:hAnsi="Arial" w:cs="Arial"/>
          <w:sz w:val="18"/>
          <w:szCs w:val="18"/>
        </w:rPr>
        <w:t>junio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201</w:t>
      </w:r>
      <w:r w:rsidR="00513E7E">
        <w:rPr>
          <w:rFonts w:ascii="Arial" w:hAnsi="Arial" w:cs="Arial"/>
          <w:sz w:val="18"/>
          <w:szCs w:val="18"/>
        </w:rPr>
        <w:t>9</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513E7E">
        <w:rPr>
          <w:rFonts w:ascii="Arial" w:hAnsi="Arial" w:cs="Arial"/>
          <w:sz w:val="18"/>
          <w:szCs w:val="18"/>
        </w:rPr>
        <w:t>2</w:t>
      </w:r>
      <w:r>
        <w:rPr>
          <w:rFonts w:ascii="Arial" w:hAnsi="Arial" w:cs="Arial"/>
          <w:sz w:val="18"/>
          <w:szCs w:val="18"/>
        </w:rPr>
        <w:t>,</w:t>
      </w:r>
      <w:r w:rsidR="00513E7E">
        <w:rPr>
          <w:rFonts w:ascii="Arial" w:hAnsi="Arial" w:cs="Arial"/>
          <w:sz w:val="18"/>
          <w:szCs w:val="18"/>
        </w:rPr>
        <w:t>4</w:t>
      </w:r>
      <w:r w:rsidR="00AC2372">
        <w:rPr>
          <w:rFonts w:ascii="Arial" w:hAnsi="Arial" w:cs="Arial"/>
          <w:sz w:val="18"/>
          <w:szCs w:val="18"/>
        </w:rPr>
        <w:t>60</w:t>
      </w:r>
      <w:r>
        <w:rPr>
          <w:rFonts w:ascii="Arial" w:hAnsi="Arial" w:cs="Arial"/>
          <w:sz w:val="18"/>
          <w:szCs w:val="18"/>
        </w:rPr>
        <w:t>,</w:t>
      </w:r>
      <w:r w:rsidR="00AC2372">
        <w:rPr>
          <w:rFonts w:ascii="Arial" w:hAnsi="Arial" w:cs="Arial"/>
          <w:sz w:val="18"/>
          <w:szCs w:val="18"/>
        </w:rPr>
        <w:t>367</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00513E7E">
        <w:rPr>
          <w:rFonts w:ascii="Arial" w:hAnsi="Arial" w:cs="Arial"/>
          <w:sz w:val="18"/>
          <w:szCs w:val="18"/>
        </w:rPr>
        <w:t xml:space="preserve">; observándose un </w:t>
      </w:r>
      <w:r w:rsidR="00AC2372">
        <w:rPr>
          <w:rFonts w:ascii="Arial" w:hAnsi="Arial" w:cs="Arial"/>
          <w:sz w:val="18"/>
          <w:szCs w:val="18"/>
        </w:rPr>
        <w:t>de</w:t>
      </w:r>
      <w:r w:rsidR="00513E7E">
        <w:rPr>
          <w:rFonts w:ascii="Arial" w:hAnsi="Arial" w:cs="Arial"/>
          <w:sz w:val="18"/>
          <w:szCs w:val="18"/>
        </w:rPr>
        <w:t xml:space="preserve">cremento del </w:t>
      </w:r>
      <w:r w:rsidR="00AC2372">
        <w:rPr>
          <w:rFonts w:ascii="Arial" w:hAnsi="Arial" w:cs="Arial"/>
          <w:sz w:val="18"/>
          <w:szCs w:val="18"/>
        </w:rPr>
        <w:t>15</w:t>
      </w:r>
      <w:r w:rsidR="00513E7E">
        <w:rPr>
          <w:rFonts w:ascii="Arial" w:hAnsi="Arial" w:cs="Arial"/>
          <w:sz w:val="18"/>
          <w:szCs w:val="18"/>
        </w:rPr>
        <w:t>% respecto del monto observado en 2018</w:t>
      </w:r>
      <w:r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El saldo de $</w:t>
      </w:r>
      <w:r w:rsidR="00AC2372">
        <w:rPr>
          <w:rFonts w:ascii="Arial" w:hAnsi="Arial" w:cs="Arial"/>
          <w:sz w:val="18"/>
          <w:szCs w:val="18"/>
        </w:rPr>
        <w:t>75</w:t>
      </w:r>
      <w:r>
        <w:rPr>
          <w:rFonts w:ascii="Arial" w:hAnsi="Arial" w:cs="Arial"/>
          <w:sz w:val="18"/>
          <w:szCs w:val="18"/>
        </w:rPr>
        <w:t>,</w:t>
      </w:r>
      <w:r w:rsidR="00AC2372">
        <w:rPr>
          <w:rFonts w:ascii="Arial" w:hAnsi="Arial" w:cs="Arial"/>
          <w:sz w:val="18"/>
          <w:szCs w:val="18"/>
        </w:rPr>
        <w:t>262</w:t>
      </w:r>
      <w:r>
        <w:rPr>
          <w:rFonts w:ascii="Arial" w:hAnsi="Arial" w:cs="Arial"/>
          <w:sz w:val="18"/>
          <w:szCs w:val="18"/>
        </w:rPr>
        <w:t>,</w:t>
      </w:r>
      <w:r w:rsidR="00AC2372">
        <w:rPr>
          <w:rFonts w:ascii="Arial" w:hAnsi="Arial" w:cs="Arial"/>
          <w:sz w:val="18"/>
          <w:szCs w:val="18"/>
        </w:rPr>
        <w:t>038</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802736">
        <w:rPr>
          <w:rFonts w:ascii="Arial" w:hAnsi="Arial" w:cs="Arial"/>
          <w:sz w:val="18"/>
          <w:szCs w:val="18"/>
        </w:rPr>
        <w:t xml:space="preserve">, observándose un </w:t>
      </w:r>
      <w:r w:rsidR="00AC2372">
        <w:rPr>
          <w:rFonts w:ascii="Arial" w:hAnsi="Arial" w:cs="Arial"/>
          <w:sz w:val="18"/>
          <w:szCs w:val="18"/>
        </w:rPr>
        <w:t>de</w:t>
      </w:r>
      <w:r w:rsidR="00802736">
        <w:rPr>
          <w:rFonts w:ascii="Arial" w:hAnsi="Arial" w:cs="Arial"/>
          <w:sz w:val="18"/>
          <w:szCs w:val="18"/>
        </w:rPr>
        <w:t xml:space="preserve">cremento del </w:t>
      </w:r>
      <w:r w:rsidR="00AC2372">
        <w:rPr>
          <w:rFonts w:ascii="Arial" w:hAnsi="Arial" w:cs="Arial"/>
          <w:sz w:val="18"/>
          <w:szCs w:val="18"/>
        </w:rPr>
        <w:t>1</w:t>
      </w:r>
      <w:r w:rsidR="00802736">
        <w:rPr>
          <w:rFonts w:ascii="Arial" w:hAnsi="Arial" w:cs="Arial"/>
          <w:sz w:val="18"/>
          <w:szCs w:val="18"/>
        </w:rPr>
        <w:t>% respecto del monto observado en 2018</w:t>
      </w:r>
      <w:r>
        <w:rPr>
          <w:rFonts w:ascii="Arial" w:hAnsi="Arial" w:cs="Arial"/>
          <w:sz w:val="18"/>
          <w:szCs w:val="18"/>
        </w:rPr>
        <w:t>.</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A506AF">
        <w:rPr>
          <w:rFonts w:ascii="Arial" w:hAnsi="Arial" w:cs="Arial"/>
          <w:sz w:val="18"/>
          <w:szCs w:val="18"/>
        </w:rPr>
        <w:t>10</w:t>
      </w:r>
      <w:r>
        <w:rPr>
          <w:rFonts w:ascii="Arial" w:hAnsi="Arial" w:cs="Arial"/>
          <w:sz w:val="18"/>
          <w:szCs w:val="18"/>
        </w:rPr>
        <w:t>,</w:t>
      </w:r>
      <w:r w:rsidR="00A506AF">
        <w:rPr>
          <w:rFonts w:ascii="Arial" w:hAnsi="Arial" w:cs="Arial"/>
          <w:sz w:val="18"/>
          <w:szCs w:val="18"/>
        </w:rPr>
        <w:t>140</w:t>
      </w:r>
      <w:r>
        <w:rPr>
          <w:rFonts w:ascii="Arial" w:hAnsi="Arial" w:cs="Arial"/>
          <w:sz w:val="18"/>
          <w:szCs w:val="18"/>
        </w:rPr>
        <w:t>,</w:t>
      </w:r>
      <w:r w:rsidR="00A506AF">
        <w:rPr>
          <w:rFonts w:ascii="Arial" w:hAnsi="Arial" w:cs="Arial"/>
          <w:sz w:val="18"/>
          <w:szCs w:val="18"/>
        </w:rPr>
        <w:t>519</w:t>
      </w:r>
      <w:r>
        <w:rPr>
          <w:rFonts w:ascii="Arial" w:hAnsi="Arial" w:cs="Arial"/>
          <w:sz w:val="18"/>
          <w:szCs w:val="18"/>
        </w:rPr>
        <w:t>,</w:t>
      </w:r>
      <w:r w:rsidR="00A506AF">
        <w:rPr>
          <w:rFonts w:ascii="Arial" w:hAnsi="Arial" w:cs="Arial"/>
          <w:sz w:val="18"/>
          <w:szCs w:val="18"/>
        </w:rPr>
        <w:t>610</w:t>
      </w:r>
      <w:r>
        <w:rPr>
          <w:rFonts w:ascii="Arial" w:hAnsi="Arial" w:cs="Arial"/>
          <w:sz w:val="18"/>
          <w:szCs w:val="18"/>
        </w:rPr>
        <w:t xml:space="preserve"> al mes de </w:t>
      </w:r>
      <w:r w:rsidR="00A506AF">
        <w:rPr>
          <w:rFonts w:ascii="Arial" w:hAnsi="Arial" w:cs="Arial"/>
          <w:sz w:val="18"/>
          <w:szCs w:val="18"/>
        </w:rPr>
        <w:t>juni</w:t>
      </w:r>
      <w:r w:rsidR="00802736">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201</w:t>
      </w:r>
      <w:r w:rsidR="00802736">
        <w:rPr>
          <w:rFonts w:ascii="Arial" w:hAnsi="Arial" w:cs="Arial"/>
          <w:sz w:val="18"/>
          <w:szCs w:val="18"/>
        </w:rPr>
        <w:t>9</w:t>
      </w:r>
      <w:r>
        <w:rPr>
          <w:rFonts w:ascii="Arial" w:hAnsi="Arial" w:cs="Arial"/>
          <w:sz w:val="18"/>
          <w:szCs w:val="18"/>
        </w:rPr>
        <w:t>, sin incluir los rendimientos generados</w:t>
      </w:r>
      <w:r w:rsidR="001F4B7F">
        <w:rPr>
          <w:rFonts w:ascii="Arial" w:hAnsi="Arial" w:cs="Arial"/>
          <w:sz w:val="18"/>
          <w:szCs w:val="18"/>
        </w:rPr>
        <w:t>, presentando una disminución del 1% respecto del mismo periodo de 2018</w:t>
      </w:r>
      <w:r w:rsidRPr="009C379E">
        <w:rPr>
          <w:rFonts w:ascii="Arial" w:hAnsi="Arial" w:cs="Arial"/>
          <w:sz w:val="18"/>
          <w:szCs w:val="18"/>
        </w:rPr>
        <w:t>.</w:t>
      </w: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El saldo por concepto de participaciones asciende a un monto de $</w:t>
      </w:r>
      <w:r w:rsidR="00A506AF">
        <w:rPr>
          <w:rFonts w:ascii="Arial" w:hAnsi="Arial" w:cs="Arial"/>
          <w:sz w:val="18"/>
          <w:szCs w:val="18"/>
        </w:rPr>
        <w:t>4</w:t>
      </w:r>
      <w:proofErr w:type="gramStart"/>
      <w:r>
        <w:rPr>
          <w:rFonts w:ascii="Arial" w:hAnsi="Arial" w:cs="Arial"/>
          <w:sz w:val="18"/>
          <w:szCs w:val="18"/>
        </w:rPr>
        <w:t>,</w:t>
      </w:r>
      <w:r w:rsidR="00A506AF">
        <w:rPr>
          <w:rFonts w:ascii="Arial" w:hAnsi="Arial" w:cs="Arial"/>
          <w:sz w:val="18"/>
          <w:szCs w:val="18"/>
        </w:rPr>
        <w:t>60</w:t>
      </w:r>
      <w:r w:rsidR="001F4B7F">
        <w:rPr>
          <w:rFonts w:ascii="Arial" w:hAnsi="Arial" w:cs="Arial"/>
          <w:sz w:val="18"/>
          <w:szCs w:val="18"/>
        </w:rPr>
        <w:t>2</w:t>
      </w:r>
      <w:r>
        <w:rPr>
          <w:rFonts w:ascii="Arial" w:hAnsi="Arial" w:cs="Arial"/>
          <w:sz w:val="18"/>
          <w:szCs w:val="18"/>
        </w:rPr>
        <w:t>,</w:t>
      </w:r>
      <w:r w:rsidR="00A506AF">
        <w:rPr>
          <w:rFonts w:ascii="Arial" w:hAnsi="Arial" w:cs="Arial"/>
          <w:sz w:val="18"/>
          <w:szCs w:val="18"/>
        </w:rPr>
        <w:t>332</w:t>
      </w:r>
      <w:r>
        <w:rPr>
          <w:rFonts w:ascii="Arial" w:hAnsi="Arial" w:cs="Arial"/>
          <w:sz w:val="18"/>
          <w:szCs w:val="18"/>
        </w:rPr>
        <w:t>,</w:t>
      </w:r>
      <w:r w:rsidR="00A506AF">
        <w:rPr>
          <w:rFonts w:ascii="Arial" w:hAnsi="Arial" w:cs="Arial"/>
          <w:sz w:val="18"/>
          <w:szCs w:val="18"/>
        </w:rPr>
        <w:t>277</w:t>
      </w:r>
      <w:proofErr w:type="gramEnd"/>
      <w:r>
        <w:rPr>
          <w:rFonts w:ascii="Arial" w:hAnsi="Arial" w:cs="Arial"/>
          <w:sz w:val="18"/>
          <w:szCs w:val="18"/>
        </w:rPr>
        <w:t xml:space="preserve">, siendo el rubro más importante el Fondo General de Participaciones ya que representa el </w:t>
      </w:r>
      <w:r w:rsidR="00A506AF">
        <w:rPr>
          <w:rFonts w:ascii="Arial" w:hAnsi="Arial" w:cs="Arial"/>
          <w:sz w:val="18"/>
          <w:szCs w:val="18"/>
        </w:rPr>
        <w:t>7</w:t>
      </w:r>
      <w:r w:rsidR="001F4B7F">
        <w:rPr>
          <w:rFonts w:ascii="Arial" w:hAnsi="Arial" w:cs="Arial"/>
          <w:sz w:val="18"/>
          <w:szCs w:val="18"/>
        </w:rPr>
        <w:t>4</w:t>
      </w:r>
      <w:r>
        <w:rPr>
          <w:rFonts w:ascii="Arial" w:hAnsi="Arial" w:cs="Arial"/>
          <w:sz w:val="18"/>
          <w:szCs w:val="18"/>
        </w:rPr>
        <w:t xml:space="preserve"> %</w:t>
      </w:r>
      <w:r w:rsidR="001F4B7F">
        <w:rPr>
          <w:rFonts w:ascii="Arial" w:hAnsi="Arial" w:cs="Arial"/>
          <w:sz w:val="18"/>
          <w:szCs w:val="18"/>
        </w:rPr>
        <w:t>, del total de ingresos del trimestre</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mes de </w:t>
      </w:r>
      <w:r w:rsidR="00A506AF">
        <w:rPr>
          <w:rFonts w:ascii="Arial" w:hAnsi="Arial" w:cs="Arial"/>
          <w:sz w:val="18"/>
          <w:szCs w:val="18"/>
        </w:rPr>
        <w:t>junio</w:t>
      </w:r>
      <w:r>
        <w:rPr>
          <w:rFonts w:ascii="Arial" w:hAnsi="Arial" w:cs="Arial"/>
          <w:sz w:val="18"/>
          <w:szCs w:val="18"/>
        </w:rPr>
        <w:t xml:space="preserve"> de 201</w:t>
      </w:r>
      <w:r w:rsidR="001F4B7F">
        <w:rPr>
          <w:rFonts w:ascii="Arial" w:hAnsi="Arial" w:cs="Arial"/>
          <w:sz w:val="18"/>
          <w:szCs w:val="18"/>
        </w:rPr>
        <w:t>9</w:t>
      </w:r>
      <w:r>
        <w:rPr>
          <w:rFonts w:ascii="Arial" w:hAnsi="Arial" w:cs="Arial"/>
          <w:sz w:val="18"/>
          <w:szCs w:val="18"/>
        </w:rPr>
        <w:t xml:space="preserve"> reflejan los siguientes saldos:</w:t>
      </w:r>
    </w:p>
    <w:p w:rsidR="00FD5FC8" w:rsidRDefault="00FD5FC8" w:rsidP="00134F21">
      <w:pPr>
        <w:tabs>
          <w:tab w:val="left" w:pos="284"/>
        </w:tabs>
        <w:spacing w:after="0"/>
        <w:ind w:left="284"/>
        <w:jc w:val="both"/>
        <w:rPr>
          <w:rFonts w:ascii="Arial" w:hAnsi="Arial" w:cs="Arial"/>
          <w:sz w:val="18"/>
          <w:szCs w:val="18"/>
        </w:rPr>
      </w:pPr>
    </w:p>
    <w:tbl>
      <w:tblPr>
        <w:tblW w:w="11719" w:type="dxa"/>
        <w:jc w:val="center"/>
        <w:tblCellMar>
          <w:left w:w="70" w:type="dxa"/>
          <w:right w:w="70" w:type="dxa"/>
        </w:tblCellMar>
        <w:tblLook w:val="04A0" w:firstRow="1" w:lastRow="0" w:firstColumn="1" w:lastColumn="0" w:noHBand="0" w:noVBand="1"/>
      </w:tblPr>
      <w:tblGrid>
        <w:gridCol w:w="8222"/>
        <w:gridCol w:w="2126"/>
        <w:gridCol w:w="1371"/>
      </w:tblGrid>
      <w:tr w:rsidR="00FD5FC8" w:rsidRPr="00AE0E84" w:rsidTr="00FD5FC8">
        <w:trPr>
          <w:trHeight w:val="315"/>
          <w:jc w:val="center"/>
        </w:trPr>
        <w:tc>
          <w:tcPr>
            <w:tcW w:w="8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CONCEPTO</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PORCENTAJE</w:t>
            </w:r>
          </w:p>
        </w:tc>
      </w:tr>
      <w:tr w:rsidR="00FD5FC8" w:rsidRPr="00AE0E84" w:rsidTr="00FD5FC8">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DE APORTACIONES PARA LA NOMINA EDUCATIVA</w:t>
            </w:r>
          </w:p>
        </w:tc>
        <w:tc>
          <w:tcPr>
            <w:tcW w:w="2126" w:type="dxa"/>
            <w:tcBorders>
              <w:top w:val="nil"/>
              <w:left w:val="nil"/>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1,777,391,373.00 </w:t>
            </w:r>
          </w:p>
        </w:tc>
        <w:tc>
          <w:tcPr>
            <w:tcW w:w="1371" w:type="dxa"/>
            <w:tcBorders>
              <w:top w:val="nil"/>
              <w:left w:val="nil"/>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42.7</w:t>
            </w:r>
          </w:p>
        </w:tc>
      </w:tr>
      <w:tr w:rsidR="00FD5FC8" w:rsidRPr="00AE0E84" w:rsidTr="00FD5FC8">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LOS SERVICIOS DE SALUD</w:t>
            </w:r>
          </w:p>
        </w:tc>
        <w:tc>
          <w:tcPr>
            <w:tcW w:w="2126" w:type="dxa"/>
            <w:tcBorders>
              <w:top w:val="nil"/>
              <w:left w:val="nil"/>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858,816,407.00 </w:t>
            </w:r>
          </w:p>
        </w:tc>
        <w:tc>
          <w:tcPr>
            <w:tcW w:w="1371" w:type="dxa"/>
            <w:tcBorders>
              <w:top w:val="nil"/>
              <w:left w:val="nil"/>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20.6</w:t>
            </w:r>
          </w:p>
        </w:tc>
      </w:tr>
      <w:tr w:rsidR="00FD5FC8" w:rsidRPr="00AE0E84" w:rsidTr="00FD5FC8">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ESTATAL)</w:t>
            </w:r>
          </w:p>
        </w:tc>
        <w:tc>
          <w:tcPr>
            <w:tcW w:w="2126" w:type="dxa"/>
            <w:tcBorders>
              <w:top w:val="nil"/>
              <w:left w:val="nil"/>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57,466,314.00 </w:t>
            </w:r>
          </w:p>
        </w:tc>
        <w:tc>
          <w:tcPr>
            <w:tcW w:w="1371" w:type="dxa"/>
            <w:tcBorders>
              <w:top w:val="nil"/>
              <w:left w:val="nil"/>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1.4</w:t>
            </w:r>
          </w:p>
        </w:tc>
      </w:tr>
      <w:tr w:rsidR="00FD5FC8" w:rsidRPr="00AE0E84" w:rsidTr="00FD5FC8">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MUNICIPAL)</w:t>
            </w:r>
          </w:p>
        </w:tc>
        <w:tc>
          <w:tcPr>
            <w:tcW w:w="2126" w:type="dxa"/>
            <w:tcBorders>
              <w:top w:val="nil"/>
              <w:left w:val="nil"/>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416,621,418.00 </w:t>
            </w:r>
          </w:p>
        </w:tc>
        <w:tc>
          <w:tcPr>
            <w:tcW w:w="1371" w:type="dxa"/>
            <w:tcBorders>
              <w:top w:val="nil"/>
              <w:left w:val="nil"/>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10.0</w:t>
            </w:r>
          </w:p>
        </w:tc>
      </w:tr>
      <w:tr w:rsidR="00FD5FC8" w:rsidRPr="00AE0E84" w:rsidTr="00FD5FC8">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FORTAMUN</w:t>
            </w:r>
          </w:p>
        </w:tc>
        <w:tc>
          <w:tcPr>
            <w:tcW w:w="2126" w:type="dxa"/>
            <w:tcBorders>
              <w:top w:val="nil"/>
              <w:left w:val="nil"/>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442,947,498.00 </w:t>
            </w:r>
          </w:p>
        </w:tc>
        <w:tc>
          <w:tcPr>
            <w:tcW w:w="1371" w:type="dxa"/>
            <w:tcBorders>
              <w:top w:val="nil"/>
              <w:left w:val="nil"/>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10.6</w:t>
            </w:r>
          </w:p>
        </w:tc>
      </w:tr>
      <w:tr w:rsidR="00FD5FC8" w:rsidRPr="00AE0E84" w:rsidTr="00FD5FC8">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FAM</w:t>
            </w:r>
          </w:p>
        </w:tc>
        <w:tc>
          <w:tcPr>
            <w:tcW w:w="2126" w:type="dxa"/>
            <w:tcBorders>
              <w:top w:val="nil"/>
              <w:left w:val="nil"/>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163,854,360.00 </w:t>
            </w:r>
          </w:p>
        </w:tc>
        <w:tc>
          <w:tcPr>
            <w:tcW w:w="1371" w:type="dxa"/>
            <w:tcBorders>
              <w:top w:val="nil"/>
              <w:left w:val="nil"/>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3.9</w:t>
            </w:r>
          </w:p>
        </w:tc>
      </w:tr>
      <w:tr w:rsidR="00FD5FC8" w:rsidRPr="00AE0E84" w:rsidTr="00FD5FC8">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TECNOLOGICA)</w:t>
            </w:r>
          </w:p>
        </w:tc>
        <w:tc>
          <w:tcPr>
            <w:tcW w:w="2126" w:type="dxa"/>
            <w:tcBorders>
              <w:top w:val="nil"/>
              <w:left w:val="nil"/>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20,460,631.00 </w:t>
            </w:r>
          </w:p>
        </w:tc>
        <w:tc>
          <w:tcPr>
            <w:tcW w:w="1371" w:type="dxa"/>
            <w:tcBorders>
              <w:top w:val="nil"/>
              <w:left w:val="nil"/>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0.5</w:t>
            </w:r>
          </w:p>
        </w:tc>
      </w:tr>
      <w:tr w:rsidR="00FD5FC8" w:rsidRPr="00AE0E84" w:rsidTr="00FD5FC8">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DE ADULTOS ITEA)</w:t>
            </w:r>
          </w:p>
        </w:tc>
        <w:tc>
          <w:tcPr>
            <w:tcW w:w="2126" w:type="dxa"/>
            <w:tcBorders>
              <w:top w:val="nil"/>
              <w:left w:val="nil"/>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20,699,602.00 </w:t>
            </w:r>
          </w:p>
        </w:tc>
        <w:tc>
          <w:tcPr>
            <w:tcW w:w="1371" w:type="dxa"/>
            <w:tcBorders>
              <w:top w:val="nil"/>
              <w:left w:val="nil"/>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0.5</w:t>
            </w:r>
          </w:p>
        </w:tc>
      </w:tr>
      <w:tr w:rsidR="00FD5FC8" w:rsidRPr="00AE0E84" w:rsidTr="00FD5FC8">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LA SEGURIDAD PUBLICA</w:t>
            </w:r>
          </w:p>
        </w:tc>
        <w:tc>
          <w:tcPr>
            <w:tcW w:w="2126" w:type="dxa"/>
            <w:tcBorders>
              <w:top w:val="nil"/>
              <w:left w:val="nil"/>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94,122,534.00 </w:t>
            </w:r>
          </w:p>
        </w:tc>
        <w:tc>
          <w:tcPr>
            <w:tcW w:w="1371" w:type="dxa"/>
            <w:tcBorders>
              <w:top w:val="nil"/>
              <w:left w:val="nil"/>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2.3</w:t>
            </w:r>
          </w:p>
        </w:tc>
      </w:tr>
      <w:tr w:rsidR="00FD5FC8" w:rsidRPr="00AE0E84" w:rsidTr="00FD5FC8">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EL FORTALECIMIENTO DE ENTIDADES FEDERATIVAS</w:t>
            </w:r>
          </w:p>
        </w:tc>
        <w:tc>
          <w:tcPr>
            <w:tcW w:w="2126" w:type="dxa"/>
            <w:tcBorders>
              <w:top w:val="nil"/>
              <w:left w:val="nil"/>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311,429,622.00 </w:t>
            </w:r>
          </w:p>
        </w:tc>
        <w:tc>
          <w:tcPr>
            <w:tcW w:w="1371" w:type="dxa"/>
            <w:tcBorders>
              <w:top w:val="nil"/>
              <w:left w:val="nil"/>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7.5</w:t>
            </w:r>
          </w:p>
        </w:tc>
      </w:tr>
      <w:tr w:rsidR="00FD5FC8" w:rsidRPr="00AE0E84" w:rsidTr="00FD5FC8">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TOTAL</w:t>
            </w:r>
          </w:p>
        </w:tc>
        <w:tc>
          <w:tcPr>
            <w:tcW w:w="2126" w:type="dxa"/>
            <w:tcBorders>
              <w:top w:val="nil"/>
              <w:left w:val="nil"/>
              <w:bottom w:val="single" w:sz="8" w:space="0" w:color="auto"/>
              <w:right w:val="single" w:sz="8" w:space="0" w:color="auto"/>
            </w:tcBorders>
            <w:shd w:val="clear" w:color="auto" w:fill="auto"/>
            <w:noWrap/>
            <w:vAlign w:val="bottom"/>
            <w:hideMark/>
          </w:tcPr>
          <w:p w:rsidR="00FD5FC8" w:rsidRPr="00AE0E84" w:rsidRDefault="00FD5FC8" w:rsidP="00CB6690">
            <w:pPr>
              <w:spacing w:after="0" w:line="240" w:lineRule="auto"/>
              <w:jc w:val="right"/>
              <w:rPr>
                <w:rFonts w:ascii="Calibri" w:eastAsia="Times New Roman" w:hAnsi="Calibri" w:cs="Calibri"/>
                <w:color w:val="000000"/>
                <w:lang w:eastAsia="es-MX"/>
              </w:rPr>
            </w:pPr>
            <w:r w:rsidRPr="00AE0E84">
              <w:rPr>
                <w:rFonts w:ascii="Calibri" w:eastAsia="Times New Roman" w:hAnsi="Calibri" w:cs="Calibri"/>
                <w:color w:val="000000"/>
                <w:lang w:eastAsia="es-MX"/>
              </w:rPr>
              <w:t xml:space="preserve">   4,163,809,759.00 </w:t>
            </w:r>
          </w:p>
        </w:tc>
        <w:tc>
          <w:tcPr>
            <w:tcW w:w="1371" w:type="dxa"/>
            <w:tcBorders>
              <w:top w:val="nil"/>
              <w:left w:val="nil"/>
              <w:bottom w:val="single" w:sz="8" w:space="0" w:color="auto"/>
              <w:right w:val="single" w:sz="8" w:space="0" w:color="auto"/>
            </w:tcBorders>
            <w:shd w:val="clear" w:color="auto" w:fill="auto"/>
            <w:noWrap/>
            <w:vAlign w:val="center"/>
            <w:hideMark/>
          </w:tcPr>
          <w:p w:rsidR="00FD5FC8" w:rsidRPr="00AE0E84" w:rsidRDefault="00FD5FC8" w:rsidP="00CB6690">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100.0</w:t>
            </w:r>
          </w:p>
        </w:tc>
      </w:tr>
    </w:tbl>
    <w:p w:rsidR="00FD5FC8" w:rsidRDefault="00FD5FC8" w:rsidP="00134F21">
      <w:pPr>
        <w:tabs>
          <w:tab w:val="left" w:pos="284"/>
        </w:tabs>
        <w:spacing w:after="0"/>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920E7A">
        <w:rPr>
          <w:rFonts w:ascii="Arial" w:hAnsi="Arial" w:cs="Arial"/>
          <w:sz w:val="18"/>
          <w:szCs w:val="18"/>
        </w:rPr>
        <w:t>junio</w:t>
      </w:r>
      <w:r>
        <w:rPr>
          <w:rFonts w:ascii="Arial" w:hAnsi="Arial" w:cs="Arial"/>
          <w:sz w:val="18"/>
          <w:szCs w:val="18"/>
        </w:rPr>
        <w:t xml:space="preserve"> del ejercicio 201</w:t>
      </w:r>
      <w:r w:rsidR="00E44022">
        <w:rPr>
          <w:rFonts w:ascii="Arial" w:hAnsi="Arial" w:cs="Arial"/>
          <w:sz w:val="18"/>
          <w:szCs w:val="18"/>
        </w:rPr>
        <w:t>9</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920E7A">
        <w:rPr>
          <w:rFonts w:ascii="Arial" w:hAnsi="Arial" w:cs="Arial"/>
          <w:sz w:val="18"/>
          <w:szCs w:val="18"/>
        </w:rPr>
        <w:t>1</w:t>
      </w:r>
      <w:proofErr w:type="gramStart"/>
      <w:r w:rsidR="00920E7A">
        <w:rPr>
          <w:rFonts w:ascii="Arial" w:hAnsi="Arial" w:cs="Arial"/>
          <w:sz w:val="18"/>
          <w:szCs w:val="18"/>
        </w:rPr>
        <w:t>,374,377,547.00</w:t>
      </w:r>
      <w:proofErr w:type="gramEnd"/>
      <w:r>
        <w:rPr>
          <w:rFonts w:ascii="Arial" w:hAnsi="Arial" w:cs="Arial"/>
          <w:sz w:val="18"/>
          <w:szCs w:val="20"/>
        </w:rPr>
        <w:t>.</w:t>
      </w:r>
    </w:p>
    <w:p w:rsidR="00FD5FC8" w:rsidRDefault="00FD5FC8" w:rsidP="00332091">
      <w:pPr>
        <w:pStyle w:val="ROMANOS"/>
        <w:tabs>
          <w:tab w:val="clear" w:pos="720"/>
          <w:tab w:val="left" w:pos="284"/>
        </w:tabs>
        <w:spacing w:after="0" w:line="276" w:lineRule="auto"/>
        <w:ind w:left="284" w:firstLine="0"/>
        <w:rPr>
          <w:b/>
          <w:lang w:val="es-MX"/>
        </w:rPr>
      </w:pPr>
    </w:p>
    <w:p w:rsidR="00FD5FC8" w:rsidRDefault="00FD5FC8"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3E33EF" w:rsidP="00332091">
      <w:pPr>
        <w:tabs>
          <w:tab w:val="left" w:pos="284"/>
        </w:tabs>
        <w:spacing w:after="0"/>
        <w:ind w:left="284"/>
        <w:jc w:val="both"/>
        <w:rPr>
          <w:rFonts w:ascii="Arial" w:hAnsi="Arial" w:cs="Arial"/>
          <w:sz w:val="18"/>
          <w:szCs w:val="18"/>
        </w:rPr>
      </w:pPr>
      <w:r>
        <w:rPr>
          <w:rFonts w:ascii="Arial" w:hAnsi="Arial" w:cs="Arial"/>
          <w:sz w:val="18"/>
          <w:szCs w:val="18"/>
        </w:rPr>
        <w:t xml:space="preserve">Durante el </w:t>
      </w:r>
      <w:r w:rsidR="00FD5FC8">
        <w:rPr>
          <w:rFonts w:ascii="Arial" w:hAnsi="Arial" w:cs="Arial"/>
          <w:sz w:val="18"/>
          <w:szCs w:val="18"/>
        </w:rPr>
        <w:t>segundo</w:t>
      </w:r>
      <w:r w:rsidR="00134F21">
        <w:rPr>
          <w:rFonts w:ascii="Arial" w:hAnsi="Arial" w:cs="Arial"/>
          <w:sz w:val="18"/>
          <w:szCs w:val="18"/>
        </w:rPr>
        <w:t xml:space="preserve"> trimestre del ejercicio 201</w:t>
      </w:r>
      <w:r>
        <w:rPr>
          <w:rFonts w:ascii="Arial" w:hAnsi="Arial" w:cs="Arial"/>
          <w:sz w:val="18"/>
          <w:szCs w:val="18"/>
        </w:rPr>
        <w:t>9</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FD5FC8">
        <w:rPr>
          <w:rFonts w:ascii="Arial" w:hAnsi="Arial" w:cs="Arial"/>
          <w:sz w:val="18"/>
          <w:szCs w:val="18"/>
        </w:rPr>
        <w:t>juni</w:t>
      </w:r>
      <w:r>
        <w:rPr>
          <w:rFonts w:ascii="Arial" w:hAnsi="Arial" w:cs="Arial"/>
          <w:sz w:val="18"/>
          <w:szCs w:val="18"/>
        </w:rPr>
        <w:t>o</w:t>
      </w:r>
      <w:r w:rsidR="00134F21">
        <w:rPr>
          <w:rFonts w:ascii="Arial" w:hAnsi="Arial" w:cs="Arial"/>
          <w:sz w:val="18"/>
          <w:szCs w:val="18"/>
        </w:rPr>
        <w:t xml:space="preserve"> por este concepto un monto de $</w:t>
      </w:r>
      <w:r w:rsidR="00FD5FC8">
        <w:rPr>
          <w:rFonts w:ascii="Arial" w:hAnsi="Arial" w:cs="Arial"/>
          <w:sz w:val="18"/>
          <w:szCs w:val="18"/>
        </w:rPr>
        <w:t>1,024,715</w:t>
      </w:r>
      <w:r w:rsidR="00134F21">
        <w:rPr>
          <w:rFonts w:ascii="Arial" w:hAnsi="Arial" w:cs="Arial"/>
          <w:sz w:val="18"/>
          <w:szCs w:val="18"/>
        </w:rPr>
        <w:t>,</w:t>
      </w:r>
      <w:r w:rsidR="00FD5FC8">
        <w:rPr>
          <w:rFonts w:ascii="Arial" w:hAnsi="Arial" w:cs="Arial"/>
          <w:sz w:val="18"/>
          <w:szCs w:val="18"/>
        </w:rPr>
        <w:t>91</w:t>
      </w:r>
      <w:r>
        <w:rPr>
          <w:rFonts w:ascii="Arial" w:hAnsi="Arial" w:cs="Arial"/>
          <w:sz w:val="18"/>
          <w:szCs w:val="18"/>
        </w:rPr>
        <w:t xml:space="preserve">3; en apego a lo estipulado en la Ley de Disciplina Financiera de las Entidades Federativas y los municipios, respecto al </w:t>
      </w:r>
      <w:r w:rsidR="00FD5FC8">
        <w:rPr>
          <w:rFonts w:ascii="Arial" w:hAnsi="Arial" w:cs="Arial"/>
          <w:sz w:val="18"/>
          <w:szCs w:val="18"/>
        </w:rPr>
        <w:t>segundo</w:t>
      </w:r>
      <w:r>
        <w:rPr>
          <w:rFonts w:ascii="Arial" w:hAnsi="Arial" w:cs="Arial"/>
          <w:sz w:val="18"/>
          <w:szCs w:val="18"/>
        </w:rPr>
        <w:t xml:space="preserve"> trimestre de 2018 se tiene un incremento del 2% en este rubro</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6F453D">
        <w:rPr>
          <w:rFonts w:ascii="Arial" w:hAnsi="Arial" w:cs="Arial"/>
          <w:sz w:val="18"/>
          <w:szCs w:val="18"/>
        </w:rPr>
        <w:t>Este concepto está compuesto por insumos y suministros necesarios para la prestación de bienes y servicios de derecho público, por parte de las Dependencias del</w:t>
      </w:r>
      <w:r w:rsidRPr="0073056A">
        <w:rPr>
          <w:rFonts w:ascii="Arial" w:hAnsi="Arial" w:cs="Arial"/>
          <w:sz w:val="18"/>
          <w:szCs w:val="18"/>
        </w:rPr>
        <w:t xml:space="preserve"> Ejecutivo, incluyendo aquellos necesarios para actividades administrativas</w:t>
      </w:r>
      <w:r>
        <w:rPr>
          <w:rFonts w:ascii="Arial" w:hAnsi="Arial" w:cs="Arial"/>
          <w:sz w:val="18"/>
          <w:szCs w:val="18"/>
        </w:rPr>
        <w:t>, reflejando un importe de $</w:t>
      </w:r>
      <w:r w:rsidR="007676C4">
        <w:rPr>
          <w:rFonts w:ascii="Arial" w:hAnsi="Arial" w:cs="Arial"/>
          <w:sz w:val="18"/>
          <w:szCs w:val="18"/>
        </w:rPr>
        <w:t>55</w:t>
      </w:r>
      <w:proofErr w:type="gramStart"/>
      <w:r>
        <w:rPr>
          <w:rFonts w:ascii="Arial" w:hAnsi="Arial" w:cs="Arial"/>
          <w:sz w:val="18"/>
          <w:szCs w:val="18"/>
        </w:rPr>
        <w:t>,</w:t>
      </w:r>
      <w:r w:rsidR="007676C4">
        <w:rPr>
          <w:rFonts w:ascii="Arial" w:hAnsi="Arial" w:cs="Arial"/>
          <w:sz w:val="18"/>
          <w:szCs w:val="18"/>
        </w:rPr>
        <w:t>950</w:t>
      </w:r>
      <w:r>
        <w:rPr>
          <w:rFonts w:ascii="Arial" w:hAnsi="Arial" w:cs="Arial"/>
          <w:sz w:val="18"/>
          <w:szCs w:val="18"/>
        </w:rPr>
        <w:t>,</w:t>
      </w:r>
      <w:r w:rsidR="007676C4">
        <w:rPr>
          <w:rFonts w:ascii="Arial" w:hAnsi="Arial" w:cs="Arial"/>
          <w:sz w:val="18"/>
          <w:szCs w:val="18"/>
        </w:rPr>
        <w:t>706</w:t>
      </w:r>
      <w:proofErr w:type="gramEnd"/>
      <w:r w:rsidR="003E33EF">
        <w:rPr>
          <w:rFonts w:ascii="Arial" w:hAnsi="Arial" w:cs="Arial"/>
          <w:sz w:val="18"/>
          <w:szCs w:val="18"/>
        </w:rPr>
        <w:t xml:space="preserve">, reflejando un </w:t>
      </w:r>
      <w:r w:rsidR="007676C4">
        <w:rPr>
          <w:rFonts w:ascii="Arial" w:hAnsi="Arial" w:cs="Arial"/>
          <w:sz w:val="18"/>
          <w:szCs w:val="18"/>
        </w:rPr>
        <w:t>incremento</w:t>
      </w:r>
      <w:r w:rsidR="003E33EF">
        <w:rPr>
          <w:rFonts w:ascii="Arial" w:hAnsi="Arial" w:cs="Arial"/>
          <w:sz w:val="18"/>
          <w:szCs w:val="18"/>
        </w:rPr>
        <w:t xml:space="preserve"> del gasto del </w:t>
      </w:r>
      <w:r w:rsidR="007676C4">
        <w:rPr>
          <w:rFonts w:ascii="Arial" w:hAnsi="Arial" w:cs="Arial"/>
          <w:sz w:val="18"/>
          <w:szCs w:val="18"/>
        </w:rPr>
        <w:t>7</w:t>
      </w:r>
      <w:r w:rsidR="003E33EF">
        <w:rPr>
          <w:rFonts w:ascii="Arial" w:hAnsi="Arial" w:cs="Arial"/>
          <w:sz w:val="18"/>
          <w:szCs w:val="18"/>
        </w:rPr>
        <w:t xml:space="preserve">% respecto al mismo rubro </w:t>
      </w:r>
      <w:r w:rsidR="00BA3B1D">
        <w:rPr>
          <w:rFonts w:ascii="Arial" w:hAnsi="Arial" w:cs="Arial"/>
          <w:sz w:val="18"/>
          <w:szCs w:val="18"/>
        </w:rPr>
        <w:t>del ejercicio 2018</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6F453D">
        <w:rPr>
          <w:rFonts w:ascii="Arial" w:hAnsi="Arial" w:cs="Arial"/>
          <w:sz w:val="18"/>
          <w:szCs w:val="18"/>
        </w:rPr>
        <w:t>junio</w:t>
      </w:r>
      <w:r>
        <w:rPr>
          <w:rFonts w:ascii="Arial" w:hAnsi="Arial" w:cs="Arial"/>
          <w:sz w:val="18"/>
          <w:szCs w:val="18"/>
        </w:rPr>
        <w:t xml:space="preserve"> de 201</w:t>
      </w:r>
      <w:r w:rsidR="00BA3B1D">
        <w:rPr>
          <w:rFonts w:ascii="Arial" w:hAnsi="Arial" w:cs="Arial"/>
          <w:sz w:val="18"/>
          <w:szCs w:val="18"/>
        </w:rPr>
        <w:t>9</w:t>
      </w:r>
      <w:r>
        <w:rPr>
          <w:rFonts w:ascii="Arial" w:hAnsi="Arial" w:cs="Arial"/>
          <w:sz w:val="18"/>
          <w:szCs w:val="18"/>
        </w:rPr>
        <w:t xml:space="preserve"> de $ </w:t>
      </w:r>
      <w:r w:rsidR="006F453D">
        <w:rPr>
          <w:rFonts w:ascii="Arial" w:hAnsi="Arial" w:cs="Arial"/>
          <w:sz w:val="18"/>
          <w:szCs w:val="18"/>
        </w:rPr>
        <w:t>84</w:t>
      </w:r>
      <w:proofErr w:type="gramStart"/>
      <w:r w:rsidR="00BA3B1D">
        <w:rPr>
          <w:rFonts w:ascii="Arial" w:hAnsi="Arial" w:cs="Arial"/>
          <w:sz w:val="18"/>
          <w:szCs w:val="18"/>
        </w:rPr>
        <w:t>,</w:t>
      </w:r>
      <w:r w:rsidR="006F453D">
        <w:rPr>
          <w:rFonts w:ascii="Arial" w:hAnsi="Arial" w:cs="Arial"/>
          <w:sz w:val="18"/>
          <w:szCs w:val="18"/>
        </w:rPr>
        <w:t>811</w:t>
      </w:r>
      <w:r w:rsidR="00BA3B1D">
        <w:rPr>
          <w:rFonts w:ascii="Arial" w:hAnsi="Arial" w:cs="Arial"/>
          <w:sz w:val="18"/>
          <w:szCs w:val="18"/>
        </w:rPr>
        <w:t>,4</w:t>
      </w:r>
      <w:r w:rsidR="006F453D">
        <w:rPr>
          <w:rFonts w:ascii="Arial" w:hAnsi="Arial" w:cs="Arial"/>
          <w:sz w:val="18"/>
          <w:szCs w:val="18"/>
        </w:rPr>
        <w:t>05</w:t>
      </w:r>
      <w:proofErr w:type="gramEnd"/>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920E7A">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r w:rsidR="00920E7A">
        <w:rPr>
          <w:rFonts w:ascii="Arial" w:hAnsi="Arial" w:cs="Arial"/>
          <w:sz w:val="18"/>
          <w:szCs w:val="18"/>
        </w:rPr>
        <w:t>que,</w:t>
      </w:r>
      <w:r>
        <w:rPr>
          <w:rFonts w:ascii="Arial" w:hAnsi="Arial" w:cs="Arial"/>
          <w:sz w:val="18"/>
          <w:szCs w:val="18"/>
        </w:rPr>
        <w:t xml:space="preserve"> al mes de </w:t>
      </w:r>
      <w:r w:rsidR="00442A29">
        <w:rPr>
          <w:rFonts w:ascii="Arial" w:hAnsi="Arial" w:cs="Arial"/>
          <w:sz w:val="18"/>
          <w:szCs w:val="18"/>
        </w:rPr>
        <w:t>junio</w:t>
      </w:r>
      <w:r>
        <w:rPr>
          <w:rFonts w:ascii="Arial" w:hAnsi="Arial" w:cs="Arial"/>
          <w:sz w:val="18"/>
          <w:szCs w:val="18"/>
        </w:rPr>
        <w:t xml:space="preserve"> de 201</w:t>
      </w:r>
      <w:r w:rsidR="00BA3B1D">
        <w:rPr>
          <w:rFonts w:ascii="Arial" w:hAnsi="Arial" w:cs="Arial"/>
          <w:sz w:val="18"/>
          <w:szCs w:val="18"/>
        </w:rPr>
        <w:t>9</w:t>
      </w:r>
      <w:r>
        <w:rPr>
          <w:rFonts w:ascii="Arial" w:hAnsi="Arial" w:cs="Arial"/>
          <w:sz w:val="18"/>
          <w:szCs w:val="18"/>
        </w:rPr>
        <w:t xml:space="preserve">, observan un monto de $ </w:t>
      </w:r>
      <w:r w:rsidR="00442A29">
        <w:rPr>
          <w:rFonts w:ascii="Arial" w:hAnsi="Arial" w:cs="Arial"/>
          <w:sz w:val="18"/>
          <w:szCs w:val="18"/>
        </w:rPr>
        <w:t>5</w:t>
      </w:r>
      <w:proofErr w:type="gramStart"/>
      <w:r>
        <w:rPr>
          <w:rFonts w:ascii="Arial" w:hAnsi="Arial" w:cs="Arial"/>
          <w:sz w:val="18"/>
          <w:szCs w:val="18"/>
        </w:rPr>
        <w:t>,</w:t>
      </w:r>
      <w:r w:rsidR="00442A29">
        <w:rPr>
          <w:rFonts w:ascii="Arial" w:hAnsi="Arial" w:cs="Arial"/>
          <w:sz w:val="18"/>
          <w:szCs w:val="18"/>
        </w:rPr>
        <w:t>560</w:t>
      </w:r>
      <w:r>
        <w:rPr>
          <w:rFonts w:ascii="Arial" w:hAnsi="Arial" w:cs="Arial"/>
          <w:sz w:val="18"/>
          <w:szCs w:val="18"/>
        </w:rPr>
        <w:t>,</w:t>
      </w:r>
      <w:r w:rsidR="00442A29">
        <w:rPr>
          <w:rFonts w:ascii="Arial" w:hAnsi="Arial" w:cs="Arial"/>
          <w:sz w:val="18"/>
          <w:szCs w:val="18"/>
        </w:rPr>
        <w:t>500</w:t>
      </w:r>
      <w:r>
        <w:rPr>
          <w:rFonts w:ascii="Arial" w:hAnsi="Arial" w:cs="Arial"/>
          <w:sz w:val="18"/>
          <w:szCs w:val="18"/>
        </w:rPr>
        <w:t>,</w:t>
      </w:r>
      <w:r w:rsidR="00442A29">
        <w:rPr>
          <w:rFonts w:ascii="Arial" w:hAnsi="Arial" w:cs="Arial"/>
          <w:sz w:val="18"/>
          <w:szCs w:val="18"/>
        </w:rPr>
        <w:t>229</w:t>
      </w:r>
      <w:proofErr w:type="gramEnd"/>
      <w:r>
        <w:rPr>
          <w:rFonts w:ascii="Arial" w:hAnsi="Arial" w:cs="Arial"/>
          <w:sz w:val="18"/>
          <w:szCs w:val="18"/>
        </w:rPr>
        <w:t xml:space="preserve"> de los cuales los principales sectores que reciben estas asignaciones son el sector educativo al cual le corresponde el </w:t>
      </w:r>
      <w:r w:rsidR="00F82E07">
        <w:rPr>
          <w:rFonts w:ascii="Arial" w:hAnsi="Arial" w:cs="Arial"/>
          <w:sz w:val="18"/>
          <w:szCs w:val="18"/>
        </w:rPr>
        <w:t>58</w:t>
      </w:r>
      <w:r>
        <w:rPr>
          <w:rFonts w:ascii="Arial" w:hAnsi="Arial" w:cs="Arial"/>
          <w:sz w:val="18"/>
          <w:szCs w:val="18"/>
        </w:rPr>
        <w:t xml:space="preserve">% y el sector salud con un </w:t>
      </w:r>
      <w:r w:rsidR="00F82E07">
        <w:rPr>
          <w:rFonts w:ascii="Arial" w:hAnsi="Arial" w:cs="Arial"/>
          <w:sz w:val="18"/>
          <w:szCs w:val="18"/>
        </w:rPr>
        <w:t>3</w:t>
      </w:r>
      <w:r w:rsidR="00B3680C">
        <w:rPr>
          <w:rFonts w:ascii="Arial" w:hAnsi="Arial" w:cs="Arial"/>
          <w:sz w:val="18"/>
          <w:szCs w:val="18"/>
        </w:rPr>
        <w:t>6</w:t>
      </w:r>
      <w:r>
        <w:rPr>
          <w:rFonts w:ascii="Arial" w:hAnsi="Arial" w:cs="Arial"/>
          <w:sz w:val="18"/>
          <w:szCs w:val="18"/>
        </w:rPr>
        <w:t xml:space="preserve">% y el restante </w:t>
      </w:r>
      <w:r w:rsidR="00F82E07">
        <w:rPr>
          <w:rFonts w:ascii="Arial" w:hAnsi="Arial" w:cs="Arial"/>
          <w:sz w:val="18"/>
          <w:szCs w:val="18"/>
        </w:rPr>
        <w:t>6</w:t>
      </w:r>
      <w:r>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442A29">
        <w:rPr>
          <w:rFonts w:ascii="Arial" w:hAnsi="Arial" w:cs="Arial"/>
          <w:sz w:val="18"/>
          <w:szCs w:val="18"/>
        </w:rPr>
        <w:t>junio</w:t>
      </w:r>
      <w:r>
        <w:rPr>
          <w:rFonts w:ascii="Arial" w:hAnsi="Arial" w:cs="Arial"/>
          <w:sz w:val="18"/>
          <w:szCs w:val="18"/>
        </w:rPr>
        <w:t xml:space="preserve"> de 201</w:t>
      </w:r>
      <w:r w:rsidR="00B3680C">
        <w:rPr>
          <w:rFonts w:ascii="Arial" w:hAnsi="Arial" w:cs="Arial"/>
          <w:sz w:val="18"/>
          <w:szCs w:val="18"/>
        </w:rPr>
        <w:t>9</w:t>
      </w:r>
      <w:r>
        <w:rPr>
          <w:rFonts w:ascii="Arial" w:hAnsi="Arial" w:cs="Arial"/>
          <w:sz w:val="18"/>
          <w:szCs w:val="18"/>
        </w:rPr>
        <w:t xml:space="preserve"> es de $ 1,</w:t>
      </w:r>
      <w:r w:rsidR="00F82E07">
        <w:rPr>
          <w:rFonts w:ascii="Arial" w:hAnsi="Arial" w:cs="Arial"/>
          <w:sz w:val="18"/>
          <w:szCs w:val="18"/>
        </w:rPr>
        <w:t>930</w:t>
      </w:r>
      <w:r>
        <w:rPr>
          <w:rFonts w:ascii="Arial" w:hAnsi="Arial" w:cs="Arial"/>
          <w:sz w:val="18"/>
          <w:szCs w:val="18"/>
        </w:rPr>
        <w:t>,</w:t>
      </w:r>
      <w:r w:rsidR="00F82E07">
        <w:rPr>
          <w:rFonts w:ascii="Arial" w:hAnsi="Arial" w:cs="Arial"/>
          <w:sz w:val="18"/>
          <w:szCs w:val="18"/>
        </w:rPr>
        <w:t>585</w:t>
      </w:r>
      <w:r>
        <w:rPr>
          <w:rFonts w:ascii="Arial" w:hAnsi="Arial" w:cs="Arial"/>
          <w:sz w:val="18"/>
          <w:szCs w:val="18"/>
        </w:rPr>
        <w:t>,</w:t>
      </w:r>
      <w:r w:rsidR="00F82E07">
        <w:rPr>
          <w:rFonts w:ascii="Arial" w:hAnsi="Arial" w:cs="Arial"/>
          <w:sz w:val="18"/>
          <w:szCs w:val="18"/>
        </w:rPr>
        <w:t>288</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sidR="00F82E07">
        <w:rPr>
          <w:rFonts w:ascii="Arial" w:hAnsi="Arial" w:cs="Arial"/>
          <w:sz w:val="18"/>
          <w:szCs w:val="18"/>
        </w:rPr>
        <w:t>segundo</w:t>
      </w:r>
      <w:r>
        <w:rPr>
          <w:rFonts w:ascii="Arial" w:hAnsi="Arial" w:cs="Arial"/>
          <w:sz w:val="18"/>
          <w:szCs w:val="18"/>
        </w:rPr>
        <w:t xml:space="preserve"> ajuste trimestral. Los cuales al </w:t>
      </w:r>
      <w:r w:rsidRPr="00DE62C8">
        <w:rPr>
          <w:rFonts w:ascii="Arial" w:hAnsi="Arial" w:cs="Arial"/>
          <w:sz w:val="18"/>
          <w:szCs w:val="18"/>
        </w:rPr>
        <w:t>3</w:t>
      </w:r>
      <w:r w:rsidR="00F82E07">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F82E07">
        <w:rPr>
          <w:rFonts w:ascii="Arial" w:hAnsi="Arial" w:cs="Arial"/>
          <w:sz w:val="18"/>
          <w:szCs w:val="18"/>
        </w:rPr>
        <w:t>juni</w:t>
      </w:r>
      <w:r w:rsidR="00B3680C">
        <w:rPr>
          <w:rFonts w:ascii="Arial" w:hAnsi="Arial" w:cs="Arial"/>
          <w:sz w:val="18"/>
          <w:szCs w:val="18"/>
        </w:rPr>
        <w:t>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BD0913" w:rsidRPr="0073056A" w:rsidRDefault="00BD0913" w:rsidP="00BD0913">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mes de junio de 2019 </w:t>
      </w:r>
      <w:r w:rsidRPr="0073056A">
        <w:rPr>
          <w:rFonts w:ascii="Arial" w:hAnsi="Arial" w:cs="Arial"/>
          <w:sz w:val="18"/>
          <w:szCs w:val="18"/>
        </w:rPr>
        <w:t>es por la cantidad de $</w:t>
      </w:r>
      <w:r>
        <w:rPr>
          <w:rFonts w:ascii="Arial" w:hAnsi="Arial" w:cs="Arial"/>
          <w:sz w:val="18"/>
          <w:szCs w:val="18"/>
        </w:rPr>
        <w:t xml:space="preserve"> 1</w:t>
      </w:r>
      <w:proofErr w:type="gramStart"/>
      <w:r>
        <w:rPr>
          <w:rFonts w:ascii="Arial" w:eastAsia="Times New Roman" w:hAnsi="Arial" w:cs="Arial"/>
          <w:bCs/>
          <w:sz w:val="18"/>
          <w:szCs w:val="18"/>
          <w:lang w:eastAsia="es-MX"/>
        </w:rPr>
        <w:t>,930,585,288</w:t>
      </w:r>
      <w:proofErr w:type="gramEnd"/>
      <w:r>
        <w:rPr>
          <w:rFonts w:ascii="Arial" w:eastAsia="Times New Roman" w:hAnsi="Arial" w:cs="Arial"/>
          <w:bCs/>
          <w:sz w:val="18"/>
          <w:szCs w:val="18"/>
          <w:lang w:eastAsia="es-MX"/>
        </w:rPr>
        <w:t>.</w:t>
      </w:r>
    </w:p>
    <w:p w:rsidR="00C013A1" w:rsidRPr="0073056A" w:rsidRDefault="00C013A1" w:rsidP="005C02A4">
      <w:pPr>
        <w:ind w:left="284"/>
        <w:jc w:val="both"/>
        <w:rPr>
          <w:rFonts w:ascii="Arial" w:hAnsi="Arial" w:cs="Arial"/>
          <w:sz w:val="18"/>
          <w:szCs w:val="18"/>
        </w:rPr>
      </w:pP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BD0913" w:rsidRPr="005C02A4" w:rsidRDefault="00BD0913" w:rsidP="00BD0913">
      <w:pPr>
        <w:pStyle w:val="ROMANOS"/>
        <w:tabs>
          <w:tab w:val="clear" w:pos="720"/>
          <w:tab w:val="left" w:pos="284"/>
        </w:tabs>
        <w:spacing w:after="0" w:line="276" w:lineRule="auto"/>
        <w:ind w:left="284" w:firstLine="0"/>
        <w:rPr>
          <w:lang w:val="es-MX"/>
        </w:rPr>
      </w:pPr>
      <w:r>
        <w:rPr>
          <w:lang w:val="es-MX"/>
        </w:rPr>
        <w:t>Muestra l</w:t>
      </w:r>
      <w:r w:rsidRPr="005C02A4">
        <w:rPr>
          <w:lang w:val="es-MX"/>
        </w:rPr>
        <w:t>a información sobre los cambios en el efectivo y equivalentes</w:t>
      </w:r>
      <w:r>
        <w:rPr>
          <w:lang w:val="es-MX"/>
        </w:rPr>
        <w:t>, considerando que s</w:t>
      </w:r>
      <w:r w:rsidRPr="005C02A4">
        <w:rPr>
          <w:lang w:val="es-MX"/>
        </w:rPr>
        <w:t>on inversiones a corto plazo de gran liquidez que se mantienen para cumplir los compromisos de pago a corto plazo</w:t>
      </w:r>
      <w:r>
        <w:rPr>
          <w:lang w:val="es-MX"/>
        </w:rPr>
        <w:t xml:space="preserve"> a cargo del Poder Ejecutivo</w:t>
      </w:r>
      <w:r w:rsidRPr="005C02A4">
        <w:rPr>
          <w:lang w:val="es-MX"/>
        </w:rPr>
        <w:t xml:space="preserve"> que se informa mostrando por separado los cambios según proceda</w:t>
      </w:r>
      <w:r>
        <w:rPr>
          <w:lang w:val="es-MX"/>
        </w:rPr>
        <w:t xml:space="preserve">, reflejando un </w:t>
      </w:r>
      <w:r w:rsidR="00000FD2">
        <w:rPr>
          <w:lang w:val="es-MX"/>
        </w:rPr>
        <w:t>importe</w:t>
      </w:r>
      <w:r>
        <w:rPr>
          <w:lang w:val="es-MX"/>
        </w:rPr>
        <w:t xml:space="preserve"> de  $</w:t>
      </w:r>
      <w:r w:rsidR="006D57F4">
        <w:rPr>
          <w:lang w:val="es-MX"/>
        </w:rPr>
        <w:t>760</w:t>
      </w:r>
      <w:r>
        <w:rPr>
          <w:lang w:val="es-MX"/>
        </w:rPr>
        <w:t>,</w:t>
      </w:r>
      <w:r w:rsidR="006D57F4">
        <w:rPr>
          <w:lang w:val="es-MX"/>
        </w:rPr>
        <w:t>080</w:t>
      </w:r>
      <w:r>
        <w:rPr>
          <w:lang w:val="es-MX"/>
        </w:rPr>
        <w:t>,</w:t>
      </w:r>
      <w:r w:rsidR="006D57F4">
        <w:rPr>
          <w:lang w:val="es-MX"/>
        </w:rPr>
        <w:t>901</w:t>
      </w:r>
      <w:r>
        <w:rPr>
          <w:lang w:val="es-MX"/>
        </w:rPr>
        <w:t xml:space="preserve"> mismo que se integra por:</w:t>
      </w:r>
    </w:p>
    <w:p w:rsidR="00BD0913" w:rsidRPr="00D71A33" w:rsidRDefault="00BD0913" w:rsidP="00BD0913">
      <w:pPr>
        <w:tabs>
          <w:tab w:val="left" w:pos="284"/>
        </w:tabs>
        <w:ind w:left="284"/>
        <w:jc w:val="both"/>
        <w:rPr>
          <w:rFonts w:ascii="Arial" w:hAnsi="Arial" w:cs="Arial"/>
          <w:sz w:val="18"/>
          <w:szCs w:val="18"/>
        </w:rPr>
      </w:pPr>
    </w:p>
    <w:p w:rsidR="00BD0913" w:rsidRPr="005C02A4" w:rsidRDefault="00BD0913" w:rsidP="00BD0913">
      <w:pPr>
        <w:pStyle w:val="ROMANOS"/>
        <w:tabs>
          <w:tab w:val="clear" w:pos="720"/>
          <w:tab w:val="left" w:pos="284"/>
        </w:tabs>
        <w:spacing w:after="0" w:line="276" w:lineRule="auto"/>
        <w:ind w:left="284" w:firstLine="0"/>
        <w:rPr>
          <w:b/>
          <w:lang w:val="es-MX"/>
        </w:rPr>
      </w:pPr>
      <w:r w:rsidRPr="005C02A4">
        <w:rPr>
          <w:b/>
          <w:lang w:val="es-MX"/>
        </w:rPr>
        <w:t>Actividades de Operación.</w:t>
      </w:r>
    </w:p>
    <w:p w:rsidR="00BD0913" w:rsidRDefault="00BD0913" w:rsidP="00BD0913">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$ 1</w:t>
      </w:r>
      <w:proofErr w:type="gramStart"/>
      <w:r>
        <w:rPr>
          <w:lang w:val="es-MX"/>
        </w:rPr>
        <w:t>,930,585,288</w:t>
      </w:r>
      <w:proofErr w:type="gramEnd"/>
      <w:r>
        <w:rPr>
          <w:lang w:val="es-MX"/>
        </w:rPr>
        <w:t>.</w:t>
      </w:r>
    </w:p>
    <w:p w:rsidR="00BD0913" w:rsidRPr="00D71A33" w:rsidRDefault="00BD0913" w:rsidP="00BD0913">
      <w:pPr>
        <w:tabs>
          <w:tab w:val="left" w:pos="284"/>
        </w:tabs>
        <w:ind w:left="284"/>
        <w:jc w:val="both"/>
        <w:rPr>
          <w:rFonts w:ascii="Arial" w:hAnsi="Arial" w:cs="Arial"/>
          <w:sz w:val="18"/>
          <w:szCs w:val="18"/>
        </w:rPr>
      </w:pPr>
    </w:p>
    <w:p w:rsidR="00BD0913" w:rsidRPr="00D71A33" w:rsidRDefault="00BD0913" w:rsidP="00BD0913">
      <w:pPr>
        <w:pStyle w:val="ROMANOS"/>
        <w:tabs>
          <w:tab w:val="clear" w:pos="720"/>
          <w:tab w:val="left" w:pos="284"/>
        </w:tabs>
        <w:spacing w:after="0" w:line="276" w:lineRule="auto"/>
        <w:ind w:left="284" w:firstLine="0"/>
        <w:rPr>
          <w:b/>
          <w:lang w:val="es-MX"/>
        </w:rPr>
      </w:pPr>
      <w:r w:rsidRPr="00D71A33">
        <w:rPr>
          <w:b/>
          <w:lang w:val="es-MX"/>
        </w:rPr>
        <w:t>Actividades de Inversión</w:t>
      </w:r>
    </w:p>
    <w:p w:rsidR="00BD0913" w:rsidRDefault="00BD0913" w:rsidP="00BD0913">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del mes de junio un importe de </w:t>
      </w:r>
      <w:r w:rsidRPr="004466A7">
        <w:rPr>
          <w:lang w:val="es-MX"/>
        </w:rPr>
        <w:t>$</w:t>
      </w:r>
      <w:r>
        <w:rPr>
          <w:lang w:val="es-MX"/>
        </w:rPr>
        <w:t xml:space="preserve"> </w:t>
      </w:r>
      <w:r w:rsidR="006D57F4">
        <w:rPr>
          <w:lang w:val="es-MX"/>
        </w:rPr>
        <w:t>-1</w:t>
      </w:r>
      <w:proofErr w:type="gramStart"/>
      <w:r w:rsidR="006D57F4">
        <w:rPr>
          <w:lang w:val="es-MX"/>
        </w:rPr>
        <w:t>,618,687</w:t>
      </w:r>
      <w:r>
        <w:rPr>
          <w:lang w:val="es-MX"/>
        </w:rPr>
        <w:t>,</w:t>
      </w:r>
      <w:r w:rsidR="006D57F4">
        <w:rPr>
          <w:lang w:val="es-MX"/>
        </w:rPr>
        <w:t>248</w:t>
      </w:r>
      <w:proofErr w:type="gramEnd"/>
      <w:r w:rsidRPr="004466A7">
        <w:rPr>
          <w:lang w:val="es-MX"/>
        </w:rPr>
        <w:t>.</w:t>
      </w:r>
    </w:p>
    <w:p w:rsidR="00BD0913" w:rsidRPr="00D71A33" w:rsidRDefault="00BD0913" w:rsidP="00BD0913">
      <w:pPr>
        <w:tabs>
          <w:tab w:val="left" w:pos="284"/>
        </w:tabs>
        <w:ind w:left="284"/>
        <w:jc w:val="both"/>
        <w:rPr>
          <w:rFonts w:ascii="Arial" w:hAnsi="Arial" w:cs="Arial"/>
          <w:sz w:val="18"/>
          <w:szCs w:val="18"/>
        </w:rPr>
      </w:pPr>
    </w:p>
    <w:p w:rsidR="00BD0913" w:rsidRPr="00D71A33" w:rsidRDefault="00BD0913" w:rsidP="00BD0913">
      <w:pPr>
        <w:pStyle w:val="ROMANOS"/>
        <w:tabs>
          <w:tab w:val="clear" w:pos="720"/>
          <w:tab w:val="left" w:pos="284"/>
        </w:tabs>
        <w:spacing w:after="0" w:line="276" w:lineRule="auto"/>
        <w:ind w:left="284" w:firstLine="0"/>
        <w:rPr>
          <w:b/>
          <w:lang w:val="es-MX"/>
        </w:rPr>
      </w:pPr>
      <w:r w:rsidRPr="00D71A33">
        <w:rPr>
          <w:b/>
          <w:lang w:val="es-MX"/>
        </w:rPr>
        <w:t>Actividades de Financia</w:t>
      </w:r>
      <w:r>
        <w:rPr>
          <w:b/>
          <w:lang w:val="es-MX"/>
        </w:rPr>
        <w:t>miento</w:t>
      </w:r>
    </w:p>
    <w:p w:rsidR="00BD0913" w:rsidRDefault="00BD0913" w:rsidP="00BD091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Pr>
          <w:lang w:val="es-MX"/>
        </w:rPr>
        <w:t>0</w:t>
      </w:r>
      <w:r w:rsidRPr="00DA18AC">
        <w:rPr>
          <w:lang w:val="es-MX"/>
        </w:rPr>
        <w:t xml:space="preserve"> de </w:t>
      </w:r>
      <w:r>
        <w:rPr>
          <w:lang w:val="es-MX"/>
        </w:rPr>
        <w:t>junio</w:t>
      </w:r>
      <w:r w:rsidRPr="00DA18AC">
        <w:rPr>
          <w:lang w:val="es-MX"/>
        </w:rPr>
        <w:t xml:space="preserve"> de 201</w:t>
      </w:r>
      <w:r>
        <w:rPr>
          <w:lang w:val="es-MX"/>
        </w:rPr>
        <w:t>9</w:t>
      </w:r>
      <w:r w:rsidRPr="00DA18AC">
        <w:rPr>
          <w:lang w:val="es-MX"/>
        </w:rPr>
        <w:t xml:space="preserve"> de $ </w:t>
      </w:r>
      <w:r w:rsidR="006D57F4">
        <w:rPr>
          <w:lang w:val="es-MX"/>
        </w:rPr>
        <w:t>448</w:t>
      </w:r>
      <w:r w:rsidRPr="00DA18AC">
        <w:rPr>
          <w:lang w:val="es-MX"/>
        </w:rPr>
        <w:t>,</w:t>
      </w:r>
      <w:r w:rsidR="006D57F4">
        <w:rPr>
          <w:lang w:val="es-MX"/>
        </w:rPr>
        <w:t>182</w:t>
      </w:r>
      <w:r w:rsidRPr="00DA18AC">
        <w:rPr>
          <w:lang w:val="es-MX"/>
        </w:rPr>
        <w:t>,</w:t>
      </w:r>
      <w:r w:rsidR="006D57F4">
        <w:rPr>
          <w:lang w:val="es-MX"/>
        </w:rPr>
        <w:t>861</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5" w:name="_MON_1499681935"/>
    <w:bookmarkEnd w:id="5"/>
    <w:p w:rsidR="009C4575" w:rsidRDefault="00EA434A" w:rsidP="00A54D75">
      <w:pPr>
        <w:tabs>
          <w:tab w:val="left" w:pos="284"/>
        </w:tabs>
        <w:spacing w:after="0"/>
        <w:ind w:left="284"/>
        <w:jc w:val="both"/>
        <w:rPr>
          <w:rFonts w:ascii="Arial" w:hAnsi="Arial" w:cs="Arial"/>
          <w:sz w:val="18"/>
          <w:szCs w:val="18"/>
        </w:rPr>
      </w:pPr>
      <w:r>
        <w:object w:dxaOrig="25362" w:dyaOrig="13520">
          <v:shape id="_x0000_i1029" type="#_x0000_t75" style="width:675pt;height:362.25pt" o:ole="">
            <v:imagedata r:id="rId22" o:title=""/>
          </v:shape>
          <o:OLEObject Type="Embed" ProgID="Excel.Sheet.12" ShapeID="_x0000_i1029" DrawAspect="Content" ObjectID="_1625500109" r:id="rId23"/>
        </w:object>
      </w:r>
    </w:p>
    <w:p w:rsidR="009C4575" w:rsidRDefault="009C4575"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FB4770" w:rsidP="00C50527">
      <w:pPr>
        <w:pStyle w:val="Texto"/>
        <w:tabs>
          <w:tab w:val="left" w:pos="284"/>
        </w:tabs>
        <w:spacing w:after="0" w:line="276" w:lineRule="auto"/>
        <w:ind w:left="284" w:firstLine="0"/>
        <w:rPr>
          <w:szCs w:val="18"/>
          <w:lang w:val="es-MX"/>
        </w:rPr>
      </w:pPr>
      <w:r>
        <w:rPr>
          <w:noProof/>
          <w:szCs w:val="18"/>
          <w:lang w:val="es-MX" w:eastAsia="es-MX"/>
        </w:rPr>
        <w:object w:dxaOrig="1440" w:dyaOrig="1440">
          <v:shape id="_x0000_s1046" type="#_x0000_t75" style="position:absolute;left:0;text-align:left;margin-left:107.25pt;margin-top:34.35pt;width:535.05pt;height:295.65pt;z-index:251663360">
            <v:imagedata r:id="rId24" o:title=""/>
            <w10:wrap type="topAndBottom"/>
          </v:shape>
          <o:OLEObject Type="Embed" ProgID="Excel.Sheet.12" ShapeID="_x0000_s1046" DrawAspect="Content" ObjectID="_1625500113" r:id="rId25"/>
        </w:object>
      </w:r>
    </w:p>
    <w:p w:rsidR="006942ED" w:rsidRPr="006942ED" w:rsidRDefault="006942ED" w:rsidP="006942ED">
      <w:pPr>
        <w:rPr>
          <w:lang w:eastAsia="es-ES"/>
        </w:rPr>
      </w:pPr>
    </w:p>
    <w:p w:rsidR="006942ED" w:rsidRPr="006942ED" w:rsidRDefault="006942ED" w:rsidP="006942ED">
      <w:pPr>
        <w:rPr>
          <w:lang w:eastAsia="es-ES"/>
        </w:rPr>
      </w:pPr>
    </w:p>
    <w:p w:rsidR="006942ED" w:rsidRPr="006942ED" w:rsidRDefault="00FB4770"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108.75pt;margin-top:12pt;width:548.15pt;height:420.75pt;z-index:251664384">
            <v:imagedata r:id="rId26" o:title=""/>
            <w10:wrap type="topAndBottom"/>
          </v:shape>
          <o:OLEObject Type="Embed" ProgID="Excel.Sheet.12" ShapeID="_x0000_s1047" DrawAspect="Content" ObjectID="_1625500114" r:id="rId27"/>
        </w:object>
      </w:r>
    </w:p>
    <w:p w:rsidR="006942ED" w:rsidRPr="006942ED" w:rsidRDefault="006942ED" w:rsidP="006942ED">
      <w:pPr>
        <w:rPr>
          <w:lang w:eastAsia="es-ES"/>
        </w:rPr>
      </w:pP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337ECC">
        <w:rPr>
          <w:rFonts w:ascii="Arial" w:hAnsi="Arial" w:cs="Arial"/>
          <w:sz w:val="18"/>
          <w:szCs w:val="18"/>
        </w:rPr>
        <w:t>junio</w:t>
      </w:r>
      <w:r>
        <w:rPr>
          <w:rFonts w:ascii="Arial" w:hAnsi="Arial" w:cs="Arial"/>
          <w:sz w:val="18"/>
          <w:szCs w:val="18"/>
        </w:rPr>
        <w:t xml:space="preserve"> </w:t>
      </w:r>
      <w:r w:rsidR="008276B2">
        <w:rPr>
          <w:rFonts w:ascii="Arial" w:hAnsi="Arial" w:cs="Arial"/>
          <w:sz w:val="18"/>
          <w:szCs w:val="18"/>
        </w:rPr>
        <w:t>del 201</w:t>
      </w:r>
      <w:r w:rsidR="00FE6B37">
        <w:rPr>
          <w:rFonts w:ascii="Arial" w:hAnsi="Arial" w:cs="Arial"/>
          <w:sz w:val="18"/>
          <w:szCs w:val="18"/>
        </w:rPr>
        <w:t>9</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 xml:space="preserve">La política de ingresos del Gobierno del Estado se </w:t>
      </w:r>
      <w:r w:rsidR="0030292A">
        <w:rPr>
          <w:rFonts w:ascii="Arial" w:hAnsi="Arial" w:cs="Arial"/>
          <w:sz w:val="18"/>
          <w:szCs w:val="18"/>
        </w:rPr>
        <w:t xml:space="preserve">ha </w:t>
      </w:r>
      <w:r w:rsidRPr="0063488B">
        <w:rPr>
          <w:rFonts w:ascii="Arial" w:hAnsi="Arial" w:cs="Arial"/>
          <w:sz w:val="18"/>
          <w:szCs w:val="18"/>
        </w:rPr>
        <w:t>concentr</w:t>
      </w:r>
      <w:r w:rsidR="0030292A">
        <w:rPr>
          <w:rFonts w:ascii="Arial" w:hAnsi="Arial" w:cs="Arial"/>
          <w:sz w:val="18"/>
          <w:szCs w:val="18"/>
        </w:rPr>
        <w:t>ado</w:t>
      </w:r>
      <w:r w:rsidRPr="0063488B">
        <w:rPr>
          <w:rFonts w:ascii="Arial" w:hAnsi="Arial" w:cs="Arial"/>
          <w:sz w:val="18"/>
          <w:szCs w:val="18"/>
        </w:rPr>
        <w:t xml:space="preserve"> en fortalecer el sistema tributario estatal, </w:t>
      </w:r>
      <w:proofErr w:type="spellStart"/>
      <w:r w:rsidRPr="0063488B">
        <w:rPr>
          <w:rFonts w:ascii="Arial" w:hAnsi="Arial" w:cs="Arial"/>
          <w:sz w:val="18"/>
          <w:szCs w:val="18"/>
        </w:rPr>
        <w:t>eficientando</w:t>
      </w:r>
      <w:proofErr w:type="spellEnd"/>
      <w:r w:rsidRPr="0063488B">
        <w:rPr>
          <w:rFonts w:ascii="Arial" w:hAnsi="Arial" w:cs="Arial"/>
          <w:sz w:val="18"/>
          <w:szCs w:val="18"/>
        </w:rPr>
        <w:t xml:space="preserve"> los procesos recaudatorios, transparentando el ejercicio del gasto, distribuyendo los recursos públicos al financiamiento de la inversión y en la mejora y dotación de servicios públicos en beneficio de la ciudadanía.</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 xml:space="preserve">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w:t>
      </w:r>
      <w:proofErr w:type="spellStart"/>
      <w:r w:rsidRPr="00037045">
        <w:rPr>
          <w:rFonts w:ascii="Arial" w:hAnsi="Arial" w:cs="Arial"/>
          <w:sz w:val="18"/>
          <w:szCs w:val="18"/>
        </w:rPr>
        <w:t>eficienten</w:t>
      </w:r>
      <w:proofErr w:type="spellEnd"/>
      <w:r w:rsidRPr="00037045">
        <w:rPr>
          <w:rFonts w:ascii="Arial" w:hAnsi="Arial" w:cs="Arial"/>
          <w:sz w:val="18"/>
          <w:szCs w:val="18"/>
        </w:rPr>
        <w:t xml:space="preserve">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El desarrollo económico y el mejoramiento de la calidad de vida de los habitantes del estado requieren tomar acciones estratégicas en diversos frentes, tomando en cuenta la visión de largo plazo, las ventajas competitivas de la entidad, las políticas que han funcionado bien, las deficiencias y limitantes en el patrón de desarrollo actual, así como las oportunidades y amenazas que generan los cambios en el entorno económico regional, nacional e internacional.</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La meta del desarrollo económico de este gobierno, es lograr mejores condiciones de vida para la población del Estado. Para ello, se busca propiciar condiciones que permitan crear más y mejores empleos en el Estado de Tlaxcala y con ello mejorar las condiciones económicas de las familias tlaxcaltecas. Por ello, las acciones de gobierno en este ámbito, forman parte de una estrategia integral que considera como punto de partida, la realidad económica del estado, sus fortalezas y los retos a enfrentar en los próximos años para garantizar un mejoramiento en la vida de todos los tlaxcaltecas.</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En 2018 se observó una elevada incertidumbre y una mayor astringencia de las condiciones financieras internacionales, por lo que los mercados financieros estuvieron caracterizados por una alta aversión al riesgo que generó una elevada volatilidad de las variables financieras. No obstante, los mercados financieros han mostrado una </w:t>
      </w:r>
      <w:r w:rsidRPr="0030292A">
        <w:rPr>
          <w:rFonts w:ascii="Arial" w:hAnsi="Arial" w:cs="Arial"/>
          <w:sz w:val="18"/>
          <w:szCs w:val="18"/>
        </w:rPr>
        <w:lastRenderedPageBreak/>
        <w:t xml:space="preserve">menor volatilidad debido a la expectativa de un menor ritmo en los ajustes a la política monetaria de las economías avanzadas, como consecuencia de la posible desaceleración del crecimiento global.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Las perspectivas para el crecimiento económico mundial y la evolución de la economía nacional permiten prever que la economía mexicana continúe creciendo en 2019 y 2020. Se anticipa que durante 2019 el PIB registre un crecimiento real anual de entre 1.1 y 2.1%; para 2020 se estima que crezca entre 1.4 y 2.4% real. Estos rangos difieren a los previstos en los Criterios Generales de Política Económica de 2019 (CGPE 2019), publicados en diciembre de 2018, como resultado del bajo nivel de crecimiento observado en la economía mexicana durante el último trimestre de 2018, el cual podría prolongarse en el primer trimestre de 2019. Para las estimaciones de finanzas públicas se utiliza una estimación puntual de un crecimiento real anual del PIB de 1.6% para 2019 y de 1.9% para 2020. Estas estimaciones son inerciales, en el sentido de que no consideran los efectos de la estrategia de desarrollo económico de la actual administración ni otros factores que pueden implicar un mayor crecimiento. Entre estos factores destacan: un fortalecimiento del consumo por el efecto de los programas sociales y una mayor inclusión financiera; el impulso que realizará el gobierno a la inversión privada en infraestructura y sectores estratégicos; una mayor inversión pública y un incremento de las exportaciones por la reconfiguración de las cadenas de valor globales y la posición estratégica de México.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Se prevé que la inflación de México continúe disminuyendo durante 2019 y 2020, conforme sigan disipándose los efectos de la alta volatilidad cambiaria y los precios de los energéticos que originaron su incremento. De acuerdo con lo proyectado por el Banco de México en su Informe Trimestral de octubre-diciembre de 2018, para el cuarto trimestre del año se espera que la inflación anual se ubique en 3.4%. El precio promedio del crudo mexicano de exportación se estima en 57 y 55 dólares por barril (dpb) para 2019 y 2020, respectivamente, un incremento de 2 dpb respecto al precio aprobado para 2019. Asimismo, para 2019 se estima un tipo de cambio promedio de 19.5 pesos por dólar, cifra menor a lo proyectado en los CGPE 2019 de 20.0 pesos por dólar, en línea con la apreciación observada del peso durante 2019. Para 2020 se considera un tipo de cambio de 20.0 pesos por dólar.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En materia de finanzas públicas, para 2019 se prevé cumplir con las metas fiscales aprobadas por el H. Congreso de la Unión. Esto implica que los Requerimientos Financieros del Sector Público (RFSP) alcanzarán un nivel de 2.5% del PIB y que el balance primario registrará un superávit de 1.0% del PIB. En congruencia, se estima que el Saldo Histórico de los Requerimientos Financieros del Sector Público (SHRFSP) se ubique en 45.1% del PIB, nivel similar a la estimación presentada para 2019 en los CGPE 2019 de 45.3% del PIB.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Se estima que los ingresos presupuestarios de 2019 sean inferiores en 121.2 miles de millones de pesos (</w:t>
      </w:r>
      <w:proofErr w:type="spellStart"/>
      <w:r w:rsidRPr="0030292A">
        <w:rPr>
          <w:rFonts w:ascii="Arial" w:hAnsi="Arial" w:cs="Arial"/>
          <w:sz w:val="18"/>
          <w:szCs w:val="18"/>
        </w:rPr>
        <w:t>mmp</w:t>
      </w:r>
      <w:proofErr w:type="spellEnd"/>
      <w:r w:rsidRPr="0030292A">
        <w:rPr>
          <w:rFonts w:ascii="Arial" w:hAnsi="Arial" w:cs="Arial"/>
          <w:sz w:val="18"/>
          <w:szCs w:val="18"/>
        </w:rPr>
        <w:t xml:space="preserve">), equivalente a 0.5% del PIB, a los previstos en la Ley de Ingresos de la Federación (LIF) 2019. Esto se explica por menores ingresos petroleros, como resultado de una menor producción de crudo y gas natural, un menor proceso de crudo en el Sistema Nacional de Refinación que impacta directamente sobre los ingresos propios de Pemex al dejar de capturar el margen de refinación, así como por un tipo de cambio más apreciado con respecto a lo previsto en la LIF 2019, que se compensó parcialmente con un precio del petróleo mayor al esperado. Por su parte, se estima que los ingresos no petroleros se mantendrán en el mismo nivel previsto en la LIF 2019 de 17.1% del PIB. En cuanto al gasto neto, se estima una reducción de 121.2 </w:t>
      </w:r>
      <w:proofErr w:type="spellStart"/>
      <w:r w:rsidRPr="0030292A">
        <w:rPr>
          <w:rFonts w:ascii="Arial" w:hAnsi="Arial" w:cs="Arial"/>
          <w:sz w:val="18"/>
          <w:szCs w:val="18"/>
        </w:rPr>
        <w:t>mmp</w:t>
      </w:r>
      <w:proofErr w:type="spellEnd"/>
      <w:r w:rsidRPr="0030292A">
        <w:rPr>
          <w:rFonts w:ascii="Arial" w:hAnsi="Arial" w:cs="Arial"/>
          <w:sz w:val="18"/>
          <w:szCs w:val="18"/>
        </w:rPr>
        <w:t xml:space="preserve"> (0.5% del PIB) respecto al Presupuesto de Egresos de la Federación (PEF) 2019, congruente con los menores ingresos esperados. Lo anterior como resultado del ajuste en el gasto programable necesario para mantener la meta de déficit público y el balance de Pemex aprobados para 2019.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Para mantener una trayectoria constante del SHRFSP como porcentaje del PIB en 2020, equivalente a 45.1% del PIB, los RFSP se reducirán a 2.1% del PIB, lo cual implicaría que, dada la estimación del costo financiero para ese año, se obtendría un superávit primario de 1.3% del PIB, un déficit público de 1.6% del PIB y que se mantendrá un equilibrio presupuestario en el balance público sin inversión física de hasta 1.6% del PIB de Pemex, CFE y Gobierno Federal. Es importante destacar que la estimación de finanzas públicas considera que no se realizarán modificaciones al marco tributario vigente para 2020. Se estima que los ingresos presupuestarios para 2020 disminuyan en 1.7% real con respecto al monto previsto en la LIF 2019, debido principalmente a menores ingresos petroleros. Asimismo, para cumplir con la meta de balance público de un déficit de 1.6% del PIB, y dados los menores ingresos estimados, se prevé que el gasto neto total pagado para 2020 disminuya en 3.0% real con respecto al monto aprobado en el PEF 2019.</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lastRenderedPageBreak/>
        <w:t>A pesar del entorno externo adverso observado durante 2018, la actividad económica en México, sustentada en sólidos fundamentos macroeconómicos, mantuvo un crecimiento positivo durante 2018 y principios de 2019. Por el lado de la producción, el sector de servicios continuó impulsando el crecimiento económico, mientras que por el lado del gasto, el consumo privado y la demanda externa siguieron mostrando un desempeño favorable. No obstante, la inversión continuó exhibiendo un débil desempeño.</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Para 2018–2019 se proyecta que el crecimiento se mantenga estable en el nivel de 2017, aunque su ritmo es menos vigoroso que lo proyectado en abril y es ahora menos equilibrado. Los riesgos para el crecimiento mundial han aumentado en los seis últimos meses y la posibilidad de sorpresas positivas ha disminuido. Se proyecta un crecimiento mundial de 3.7% para 2018–2019; es decir, 0.2 puntos porcentuales menos que el pronóstico de abril para ambos años. La revisión a la baja refleja factores sorpresivos que reprimieron la actividad a comienzos de 2018 en algunas de las principales economías avanzadas, los efectos negativos de las medidas comerciales aplicadas o aprobadas entre abril y mediados de septiembre, así como perspectivas menos favorables para algunas economías de mercados emergentes y en desarrollo debido a factores específicos de cada país, condiciones financieras más restrictivas, tensiones geopolíticas y mayores costos de importación de petróleo.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Pasados los dos próximos años, a medida que se cierren las brechas del producto y la política monetaria comience a normalizarse, el crecimiento de la mayoría de las economías avanzadas disminuirá acercándose a las tasas potenciales, muy por debajo de los promedios alcanzados antes de la crisis financiera de hace una década. En general, las perspectivas a mediano plazo siguen siendo favorables en las economías emergentes de Asia, pero siguen siendo </w:t>
      </w:r>
      <w:proofErr w:type="spellStart"/>
      <w:r w:rsidRPr="0030292A">
        <w:rPr>
          <w:rFonts w:ascii="Arial" w:hAnsi="Arial" w:cs="Arial"/>
          <w:sz w:val="18"/>
          <w:szCs w:val="18"/>
        </w:rPr>
        <w:t>subóptimas</w:t>
      </w:r>
      <w:proofErr w:type="spellEnd"/>
      <w:r w:rsidRPr="0030292A">
        <w:rPr>
          <w:rFonts w:ascii="Arial" w:hAnsi="Arial" w:cs="Arial"/>
          <w:sz w:val="18"/>
          <w:szCs w:val="18"/>
        </w:rPr>
        <w:t xml:space="preserve"> en algunas economías de mercados emergentes y en desarrollo, especialmente en términos del crecimiento per cápita, incluso en el caso de los exportadores de materias primas que continúan enfrentando necesidades sustanciales de consolidación fiscal o que están sumidos en guerras y conflictos. Los riesgos para el pronóstico de crecimiento mundial están sesgados a la baja en un contexto de recrudecimiento de la incertidumbre en torno a las políticas.</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Durante 2018, la economía estadounidense registró un desempeño similar al esperado por los analistas. No obstante, las perspectivas de crecimiento se han revisado ligeramente a la baja para 2019 y 2020, debido a que, aunque se espera un consumo privado elevado, este puede debilitarse por la disipación del impulso fiscal de 2018 y por algunas señales de desaceleración en la actividad económica para estos años. No obstante, la fortaleza del mercado laboral puede contribuir a mantener el crecimiento del consumo.</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Para 2019, se espera un precio promedio de la mezcla mexicana de exportación de 57 dpb, que es mayor al precio aprobado por el H. Congreso de la Unión en el Paquete Económico para este año. Este precio está en línea con las condiciones económicas prevalecientes a nivel internacional y con la evolución reciente del mercado petrolero. Al 21 de marzo, el precio de la mezcla mexicana para 2019 se ubicó en 60.9 dpb.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Cabe resaltar que el Gobierno Federal protegió sus ingresos petroleros para 2019 contra reducciones en el precio del crudo al 100% con una estrategia de coberturas que contempla, al igual que en 2018, dos herramientas: (1) una cobertura financiera en la forma de opciones de venta tipo </w:t>
      </w:r>
      <w:proofErr w:type="spellStart"/>
      <w:r w:rsidRPr="0030292A">
        <w:rPr>
          <w:rFonts w:ascii="Arial" w:hAnsi="Arial" w:cs="Arial"/>
          <w:sz w:val="18"/>
          <w:szCs w:val="18"/>
        </w:rPr>
        <w:t>put</w:t>
      </w:r>
      <w:proofErr w:type="spellEnd"/>
      <w:r w:rsidRPr="0030292A">
        <w:rPr>
          <w:rFonts w:ascii="Arial" w:hAnsi="Arial" w:cs="Arial"/>
          <w:sz w:val="18"/>
          <w:szCs w:val="18"/>
        </w:rPr>
        <w:t xml:space="preserve">; y (2) una subcuenta en el Fondo de Estabilización de los Ingresos Presupuestarios (FEIP). Considerando ambas herramientas, se cubren los 55 dpb establecidos en la Ley de Ingresos de la Federación para 2019 (LIF 2019).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Por su parte, se estima que el precio promedio de la mezcla mexicana sea de 55 dpb durante 2020. Este precio es ligeramente menor a 55.8 dpb, cifra obtenida empleando la metodología especificada en el artículo 31 de la Ley Federal de Presupuesto y Responsabilidad Hacendaria, de acuerdo con la cual el valor que se utiliza como parámetro en la formulación de la Ley de Ingresos no debe superar al precio de referencia estimado. Asimismo, la estimación se encuentra por debajo del precio implícito en las cotizaciones de los mercados de futuros que con base en las referencias de WTI muestra un precio promedio para la mezcla mexicana de aproximadamente 59 dpb.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lastRenderedPageBreak/>
        <w:t>Las perspectivas para el crecimiento mundial y de Estados Unidos en 2019 y 2020, así como la evolución de la economía nacional permiten prever que la economía continúe creciendo en 2019 y 2020. Se anticipa que durante 2019 el PIB registre un crecimiento anual entre 1.1 y 2.1%, y para 2020 se estima que crezca entre 1.4 y 2.4%. Estos rangos son diferentes a los previstos en los CGPE 2019, publicados en diciembre pasado, como resultado del bajo nivel de crecimiento observado en la economía durante el último trimestre de 2018, el cual podría prolongarse en el primer trimestre de 2019, así como a la disminución en las expectativas de crecimiento a nivel mundial y particularmente de los Estados Unidos. Para efectos de las estimaciones de finanzas públicas se utiliza un crecimiento puntual del PIB para 2019 de 1.6% y para 2020 de 1.9%. Estas estimaciones son inerciales, en el sentido de que no consideran los efectos de la estrategia de desarrollo económico de la actual administración ni otros factores que pueden implicar un mayor crecimiento. Entre estos factores destacan: un fortalecimiento del consumo por el efecto de los programas sociales y una mayor inclusión financiera; el impulso por parte del gobierno a la inversión privada en infraestructura y sectores estratégicos; una mayor inversión pública, y un incremento de las exportaciones por la reconfiguración de las cadenas de valor globales y la posición estratégica de México.</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La previsión de crecimiento de la Secretaría de Hacienda y Crédito Público para 2020 también se encuentra en línea con el esperado por los especialistas del sector privado y de organismos internacionales. Los crecimientos publicados por el Banco de México, el FMI y la OCDE son 1.9, 2.2 y 2.3%, respectivamente.  La estimación de crecimiento para 2019 considera que el gasto en inversión continuará de manera inercial mostrando cierta debilidad. No obstante, diversos factores pueden modificar esta previsión. En particular, el gobierno buscará impulsar la inversión privada en infraestructura y sectores estratégicos usando diferentes esquemas de participación, así como mejorar el clima de negocios a través de reforzar el estado de derecho, reducir la violencia y mejorar la seguridad.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Por otro lado, la inversión puede verse beneficiada al disiparse la incertidumbre de la aprobación del nuevo tratado comercial de Norteamérica (T-MEC) por los Congresos de los tres países, así como por la reconfiguración de las cadenas de valor del comercio internacional que pueden beneficiar el comercio regional. Asimismo, se espera la recuperación gradual de la plataforma de producción de petróleo, lo cual implica observar niveles de crecimiento de la producción en el mediano plazo. Las proyecciones de crecimiento de la demanda externa presentadas consideran un crecimiento de las exportaciones de bienes de México, si bien menos acelerada que en 2018. No obstante, es posible que las exportaciones se vean más beneficiadas por las modificaciones a las cadenas de valor de las importaciones de Estados Unidos, por las disputas comerciales actuales y consideraciones geopolíticas, y la posición privilegiada de México, tanto por ventajas logísticas como por la existencia de una oferta de mano de obra calificada.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Al mismo tiempo, es posible que la demanda interna contribuya más al crecimiento que el presentado por el efecto de las mejoras al sector financiero implementadas a inicios de 2019, por el impulso al consumo por la implementación de los programas sociales, por los niveles elevados de ingresos por remesas, así como por la sólida generación de empleos y una menor inflación. Lo anterior tendría como resultado que el consumo privado siga siendo motor del crecimiento.</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Se prevé que la inflación continúe disminuyendo durante 2019 y 2020, conforme sigan disipándose los efectos de la alta volatilidad cambiaria y los precios de energéticos que originaron su incremento. En este sentido, se estima una inflación de cierre para 2019 de 3.4%, igual a la estimación para el cuarto trimestre del año publicada por el Banco de México en su Informe Trimestral de octubre-diciembre de 2018. Por su parte, se prevé que a finales de 2020 la inflación se ubicará en la meta establecida por el Banco de México de 3.0%.</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Para 2019, se considera como referencia para las estimaciones de finanzas públicas un tipo de cambio nominal promedio de 19.5 pesos por dólar. Para 2020 se considera un tipo de cambio promedio de 20.0 pesos por dólar.</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Se prevé que la plataforma de producción de petróleo promedie 1,783 </w:t>
      </w:r>
      <w:proofErr w:type="spellStart"/>
      <w:r w:rsidRPr="0030292A">
        <w:rPr>
          <w:rFonts w:ascii="Arial" w:hAnsi="Arial" w:cs="Arial"/>
          <w:sz w:val="18"/>
          <w:szCs w:val="18"/>
        </w:rPr>
        <w:t>mbd</w:t>
      </w:r>
      <w:proofErr w:type="spellEnd"/>
      <w:r w:rsidRPr="0030292A">
        <w:rPr>
          <w:rFonts w:ascii="Arial" w:hAnsi="Arial" w:cs="Arial"/>
          <w:sz w:val="18"/>
          <w:szCs w:val="18"/>
        </w:rPr>
        <w:t xml:space="preserve"> durante 2019, monto menor a la plataforma aprobada por el H. Congreso de la Unión en el Paquete Económico para este año (1,847 </w:t>
      </w:r>
      <w:proofErr w:type="spellStart"/>
      <w:r w:rsidRPr="0030292A">
        <w:rPr>
          <w:rFonts w:ascii="Arial" w:hAnsi="Arial" w:cs="Arial"/>
          <w:sz w:val="18"/>
          <w:szCs w:val="18"/>
        </w:rPr>
        <w:t>mbd</w:t>
      </w:r>
      <w:proofErr w:type="spellEnd"/>
      <w:r w:rsidRPr="0030292A">
        <w:rPr>
          <w:rFonts w:ascii="Arial" w:hAnsi="Arial" w:cs="Arial"/>
          <w:sz w:val="18"/>
          <w:szCs w:val="18"/>
        </w:rPr>
        <w:t xml:space="preserve">), y 1,916 </w:t>
      </w:r>
      <w:proofErr w:type="spellStart"/>
      <w:r w:rsidRPr="0030292A">
        <w:rPr>
          <w:rFonts w:ascii="Arial" w:hAnsi="Arial" w:cs="Arial"/>
          <w:sz w:val="18"/>
          <w:szCs w:val="18"/>
        </w:rPr>
        <w:t>mbd</w:t>
      </w:r>
      <w:proofErr w:type="spellEnd"/>
      <w:r w:rsidRPr="0030292A">
        <w:rPr>
          <w:rFonts w:ascii="Arial" w:hAnsi="Arial" w:cs="Arial"/>
          <w:sz w:val="18"/>
          <w:szCs w:val="18"/>
        </w:rPr>
        <w:t xml:space="preserve"> durante 2020. Ambas cifras son consistentes con las estimaciones de producción aprobadas por el Consejo de Administración de Pemex, así como con las proyecciones de producción de privados que elabora la Secretaria de Energía.</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lastRenderedPageBreak/>
        <w:t xml:space="preserve">El escenario descrito del marco macroeconómico se encuentra sujeto a diversos riesgos. Dentro de los riesgos a la baja destacan: </w:t>
      </w:r>
    </w:p>
    <w:p w:rsidR="0030292A" w:rsidRPr="0030292A" w:rsidRDefault="0030292A" w:rsidP="0030292A">
      <w:pPr>
        <w:pStyle w:val="Prrafodelista"/>
        <w:numPr>
          <w:ilvl w:val="0"/>
          <w:numId w:val="18"/>
        </w:numPr>
        <w:tabs>
          <w:tab w:val="left" w:pos="284"/>
        </w:tabs>
        <w:jc w:val="both"/>
        <w:rPr>
          <w:rFonts w:ascii="Arial" w:hAnsi="Arial" w:cs="Arial"/>
          <w:sz w:val="18"/>
          <w:szCs w:val="18"/>
        </w:rPr>
      </w:pPr>
      <w:r w:rsidRPr="0030292A">
        <w:rPr>
          <w:rFonts w:ascii="Arial" w:hAnsi="Arial" w:cs="Arial"/>
          <w:sz w:val="18"/>
          <w:szCs w:val="18"/>
        </w:rPr>
        <w:t xml:space="preserve">Mayor desaceleración a la anticipada de la economía mundial, en particular de la producción industrial de Estados Unidos, por tensiones comerciales y la posible afectación de las cadenas de valor globales, una salida desordenada del Reino Unido de la Unión Europea y el agravamiento de las tensiones geopolíticas. </w:t>
      </w:r>
    </w:p>
    <w:p w:rsidR="0030292A" w:rsidRPr="0030292A" w:rsidRDefault="0030292A" w:rsidP="0030292A">
      <w:pPr>
        <w:pStyle w:val="Prrafodelista"/>
        <w:numPr>
          <w:ilvl w:val="0"/>
          <w:numId w:val="18"/>
        </w:numPr>
        <w:tabs>
          <w:tab w:val="left" w:pos="284"/>
        </w:tabs>
        <w:jc w:val="both"/>
        <w:rPr>
          <w:rFonts w:ascii="Arial" w:hAnsi="Arial" w:cs="Arial"/>
          <w:sz w:val="18"/>
          <w:szCs w:val="18"/>
        </w:rPr>
      </w:pPr>
      <w:r w:rsidRPr="0030292A">
        <w:rPr>
          <w:rFonts w:ascii="Arial" w:hAnsi="Arial" w:cs="Arial"/>
          <w:sz w:val="18"/>
          <w:szCs w:val="18"/>
        </w:rPr>
        <w:t xml:space="preserve">Mayor volatilidad en los mercados financieros internacionales que implique una disminución de los flujos de capitales a los países emergentes. </w:t>
      </w:r>
    </w:p>
    <w:p w:rsidR="0030292A" w:rsidRPr="0030292A" w:rsidRDefault="0030292A" w:rsidP="0030292A">
      <w:pPr>
        <w:pStyle w:val="Prrafodelista"/>
        <w:numPr>
          <w:ilvl w:val="0"/>
          <w:numId w:val="18"/>
        </w:numPr>
        <w:tabs>
          <w:tab w:val="left" w:pos="284"/>
        </w:tabs>
        <w:jc w:val="both"/>
        <w:rPr>
          <w:rFonts w:ascii="Arial" w:hAnsi="Arial" w:cs="Arial"/>
          <w:sz w:val="18"/>
          <w:szCs w:val="18"/>
        </w:rPr>
      </w:pPr>
      <w:r w:rsidRPr="0030292A">
        <w:rPr>
          <w:rFonts w:ascii="Arial" w:hAnsi="Arial" w:cs="Arial"/>
          <w:sz w:val="18"/>
          <w:szCs w:val="18"/>
        </w:rPr>
        <w:t>Mayor incertidumbre por tensiones políticas externas.</w:t>
      </w:r>
    </w:p>
    <w:p w:rsidR="0030292A" w:rsidRPr="0030292A" w:rsidRDefault="0030292A" w:rsidP="0030292A">
      <w:pPr>
        <w:pStyle w:val="Prrafodelista"/>
        <w:numPr>
          <w:ilvl w:val="0"/>
          <w:numId w:val="18"/>
        </w:numPr>
        <w:tabs>
          <w:tab w:val="left" w:pos="284"/>
        </w:tabs>
        <w:jc w:val="both"/>
        <w:rPr>
          <w:rFonts w:ascii="Arial" w:hAnsi="Arial" w:cs="Arial"/>
          <w:sz w:val="18"/>
          <w:szCs w:val="18"/>
        </w:rPr>
      </w:pPr>
      <w:r w:rsidRPr="0030292A">
        <w:rPr>
          <w:rFonts w:ascii="Arial" w:hAnsi="Arial" w:cs="Arial"/>
          <w:sz w:val="18"/>
          <w:szCs w:val="18"/>
        </w:rPr>
        <w:t xml:space="preserve">Una mayor desaceleración de la actividad económica de la economía mexicana por un debilitamiento de la inversión privada en México mayor de lo anticipado. </w:t>
      </w:r>
    </w:p>
    <w:p w:rsidR="0030292A" w:rsidRPr="0030292A" w:rsidRDefault="0030292A" w:rsidP="0030292A">
      <w:pPr>
        <w:pStyle w:val="Prrafodelista"/>
        <w:numPr>
          <w:ilvl w:val="0"/>
          <w:numId w:val="18"/>
        </w:numPr>
        <w:tabs>
          <w:tab w:val="left" w:pos="284"/>
        </w:tabs>
        <w:jc w:val="both"/>
        <w:rPr>
          <w:rFonts w:ascii="Arial" w:hAnsi="Arial" w:cs="Arial"/>
          <w:sz w:val="18"/>
          <w:szCs w:val="18"/>
        </w:rPr>
      </w:pPr>
      <w:r w:rsidRPr="0030292A">
        <w:rPr>
          <w:rFonts w:ascii="Arial" w:hAnsi="Arial" w:cs="Arial"/>
          <w:sz w:val="18"/>
          <w:szCs w:val="18"/>
        </w:rPr>
        <w:t xml:space="preserve">El retraso en la aprobación del nuevo acuerdo comercial con Estados Unidos y Canadá.  </w:t>
      </w:r>
    </w:p>
    <w:p w:rsidR="0030292A" w:rsidRPr="0030292A" w:rsidRDefault="0030292A" w:rsidP="0030292A">
      <w:pPr>
        <w:pStyle w:val="Prrafodelista"/>
        <w:numPr>
          <w:ilvl w:val="0"/>
          <w:numId w:val="18"/>
        </w:numPr>
        <w:tabs>
          <w:tab w:val="left" w:pos="284"/>
        </w:tabs>
        <w:jc w:val="both"/>
        <w:rPr>
          <w:rFonts w:ascii="Arial" w:hAnsi="Arial" w:cs="Arial"/>
          <w:sz w:val="18"/>
          <w:szCs w:val="18"/>
        </w:rPr>
      </w:pPr>
      <w:r w:rsidRPr="0030292A">
        <w:rPr>
          <w:rFonts w:ascii="Arial" w:hAnsi="Arial" w:cs="Arial"/>
          <w:sz w:val="18"/>
          <w:szCs w:val="18"/>
        </w:rPr>
        <w:t>Un mayor deterioro de la calificación crediticia de Pemex.</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Entre los eventos que pueden generar un entorno más favorable se encuentran: </w:t>
      </w:r>
    </w:p>
    <w:p w:rsidR="0030292A" w:rsidRPr="00E70E56" w:rsidRDefault="0030292A" w:rsidP="00E70E56">
      <w:pPr>
        <w:pStyle w:val="Prrafodelista"/>
        <w:numPr>
          <w:ilvl w:val="0"/>
          <w:numId w:val="19"/>
        </w:numPr>
        <w:tabs>
          <w:tab w:val="left" w:pos="284"/>
        </w:tabs>
        <w:jc w:val="both"/>
        <w:rPr>
          <w:rFonts w:ascii="Arial" w:hAnsi="Arial" w:cs="Arial"/>
          <w:sz w:val="18"/>
          <w:szCs w:val="18"/>
        </w:rPr>
      </w:pPr>
      <w:r w:rsidRPr="00E70E56">
        <w:rPr>
          <w:rFonts w:ascii="Arial" w:hAnsi="Arial" w:cs="Arial"/>
          <w:sz w:val="18"/>
          <w:szCs w:val="18"/>
        </w:rPr>
        <w:t xml:space="preserve">Fortalecimiento del mercado interno, principalmente del gasto de consumo como resultado del incremento en las transferencias de los programas sociales, una mayor inclusión financiera y acceso al crédito, los elevados ingresos de remesas y una menor inflación. </w:t>
      </w:r>
    </w:p>
    <w:p w:rsidR="0030292A" w:rsidRPr="00E70E56" w:rsidRDefault="0030292A" w:rsidP="00E70E56">
      <w:pPr>
        <w:pStyle w:val="Prrafodelista"/>
        <w:numPr>
          <w:ilvl w:val="0"/>
          <w:numId w:val="19"/>
        </w:numPr>
        <w:tabs>
          <w:tab w:val="left" w:pos="284"/>
        </w:tabs>
        <w:jc w:val="both"/>
        <w:rPr>
          <w:rFonts w:ascii="Arial" w:hAnsi="Arial" w:cs="Arial"/>
          <w:sz w:val="18"/>
          <w:szCs w:val="18"/>
        </w:rPr>
      </w:pPr>
      <w:r w:rsidRPr="00E70E56">
        <w:rPr>
          <w:rFonts w:ascii="Arial" w:hAnsi="Arial" w:cs="Arial"/>
          <w:sz w:val="18"/>
          <w:szCs w:val="18"/>
        </w:rPr>
        <w:t xml:space="preserve">Un crecimiento mayor a lo esperado del PIB y de la producción industrial en Estados Unidos. </w:t>
      </w:r>
    </w:p>
    <w:p w:rsidR="0030292A" w:rsidRPr="00E70E56" w:rsidRDefault="0030292A" w:rsidP="00E70E56">
      <w:pPr>
        <w:pStyle w:val="Prrafodelista"/>
        <w:numPr>
          <w:ilvl w:val="0"/>
          <w:numId w:val="19"/>
        </w:numPr>
        <w:tabs>
          <w:tab w:val="left" w:pos="284"/>
        </w:tabs>
        <w:jc w:val="both"/>
        <w:rPr>
          <w:rFonts w:ascii="Arial" w:hAnsi="Arial" w:cs="Arial"/>
          <w:sz w:val="18"/>
          <w:szCs w:val="18"/>
        </w:rPr>
      </w:pPr>
      <w:r w:rsidRPr="00E70E56">
        <w:rPr>
          <w:rFonts w:ascii="Arial" w:hAnsi="Arial" w:cs="Arial"/>
          <w:sz w:val="18"/>
          <w:szCs w:val="18"/>
        </w:rPr>
        <w:t xml:space="preserve">Que se revierta la debilidad que ha mostrado el gasto en la inversión como resultado de un impulso por parte del gobierno a la inversión privada en infraestructura y sectores estratégicos, el mejoramiento del clima de negocios por el combate a la corrupción e inseguridad, una mayor inversión de empresas al disiparse la incertidumbre al darse la aprobación legislativa en Estados Unidos del T-MEC, así como por la reconfiguración de las cadenas de valor del comercio internacional que pueden beneficiar el comercio regional. </w:t>
      </w:r>
    </w:p>
    <w:p w:rsidR="0030292A" w:rsidRPr="00E70E56" w:rsidRDefault="0030292A" w:rsidP="00E70E56">
      <w:pPr>
        <w:pStyle w:val="Prrafodelista"/>
        <w:numPr>
          <w:ilvl w:val="0"/>
          <w:numId w:val="19"/>
        </w:numPr>
        <w:tabs>
          <w:tab w:val="left" w:pos="284"/>
        </w:tabs>
        <w:jc w:val="both"/>
        <w:rPr>
          <w:rFonts w:ascii="Arial" w:hAnsi="Arial" w:cs="Arial"/>
          <w:sz w:val="18"/>
          <w:szCs w:val="18"/>
        </w:rPr>
      </w:pPr>
      <w:r w:rsidRPr="00E70E56">
        <w:rPr>
          <w:rFonts w:ascii="Arial" w:hAnsi="Arial" w:cs="Arial"/>
          <w:sz w:val="18"/>
          <w:szCs w:val="18"/>
        </w:rPr>
        <w:t>Un crecimiento de las exportaciones por la reconfiguración la ventaja comparativa que puede tener México en los cambios en las cadenas de valor de las importaciones de Estados Unidos.</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Para 2019, se cumplirá con las metas fiscales aprobadas por el H. Congreso de la Unión, lo que implica que los RFSP alcanzarán un nivel de 2.5% del PIB, el déficit público registrará un nivel de 2.0% del PIB, mientras que el balance primario se ubicará en 1.0% del PIB. Además, se prevé un equilibrio presupuestario en el balance público al restarle hasta 2.0% de la inversión física de PEMEX, de CFE y del Gobierno Federal. En congruencia, se estima que el SHRFSP se ubique en 45.1% del PIB, nivel similar a la estimación presentada en los CGPE 2019 de 45.3% del PIB.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Es importante resaltar que para el ejercicio fiscal de 2019 no se aprobó la creación de impuestos nuevos ni un incremento en tasas de los impuestos vigentes. Asimismo, el gasto se ha ejercido con estricto apego a los principios de austeridad, honestidad y combate a la corrupción que caracterizan los compromisos del Gobierno de México.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La proyección de las finanzas públicas para 2019 se apoya en un marco macroeconómico que incorpora la información más reciente sobre los parámetros que afectan los ingresos y egresos del Sector Público, en línea con lo presentado en los CGPE 2019, para efectos de las estimaciones de finanzas públicas se incorpora un valor puntual para el crecimiento económico de 1.6%, así como una plataforma de producción de 1,783 </w:t>
      </w:r>
      <w:proofErr w:type="spellStart"/>
      <w:r w:rsidRPr="0030292A">
        <w:rPr>
          <w:rFonts w:ascii="Arial" w:hAnsi="Arial" w:cs="Arial"/>
          <w:sz w:val="18"/>
          <w:szCs w:val="18"/>
        </w:rPr>
        <w:t>mbd</w:t>
      </w:r>
      <w:proofErr w:type="spellEnd"/>
      <w:r w:rsidRPr="0030292A">
        <w:rPr>
          <w:rFonts w:ascii="Arial" w:hAnsi="Arial" w:cs="Arial"/>
          <w:sz w:val="18"/>
          <w:szCs w:val="18"/>
        </w:rPr>
        <w:t xml:space="preserve"> y un tipo de cambio promedio de 19.5 pesos por dólar, mientras que se prevé un precio del petróleo de 57 dpb, una tasa de interés nominal promedio de 8.0%, y una inflación de 3.4%.</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En el Estado viven 1</w:t>
      </w:r>
      <w:proofErr w:type="gramStart"/>
      <w:r w:rsidRPr="0030292A">
        <w:rPr>
          <w:rFonts w:ascii="Arial" w:hAnsi="Arial" w:cs="Arial"/>
          <w:sz w:val="18"/>
          <w:szCs w:val="18"/>
        </w:rPr>
        <w:t>,272,847</w:t>
      </w:r>
      <w:proofErr w:type="gramEnd"/>
      <w:r w:rsidRPr="0030292A">
        <w:rPr>
          <w:rFonts w:ascii="Arial" w:hAnsi="Arial" w:cs="Arial"/>
          <w:sz w:val="18"/>
          <w:szCs w:val="18"/>
        </w:rPr>
        <w:t xml:space="preserve">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lastRenderedPageBreak/>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30292A" w:rsidRPr="0030292A" w:rsidRDefault="0030292A" w:rsidP="0030292A">
      <w:pPr>
        <w:tabs>
          <w:tab w:val="left" w:pos="284"/>
        </w:tabs>
        <w:ind w:left="284"/>
        <w:jc w:val="center"/>
        <w:rPr>
          <w:rFonts w:ascii="Arial" w:hAnsi="Arial" w:cs="Arial"/>
          <w:sz w:val="18"/>
          <w:szCs w:val="18"/>
        </w:rPr>
      </w:pPr>
      <w:r w:rsidRPr="0030292A">
        <w:rPr>
          <w:rFonts w:ascii="Arial" w:hAnsi="Arial" w:cs="Arial"/>
          <w:noProof/>
          <w:sz w:val="18"/>
          <w:szCs w:val="18"/>
          <w:lang w:eastAsia="es-MX"/>
        </w:rPr>
        <w:drawing>
          <wp:inline distT="0" distB="0" distL="0" distR="0">
            <wp:extent cx="2557780" cy="3556635"/>
            <wp:effectExtent l="0" t="0" r="0" b="571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557780" cy="3556635"/>
                    </a:xfrm>
                    <a:prstGeom prst="rect">
                      <a:avLst/>
                    </a:prstGeom>
                    <a:noFill/>
                    <a:ln>
                      <a:noFill/>
                    </a:ln>
                  </pic:spPr>
                </pic:pic>
              </a:graphicData>
            </a:graphic>
          </wp:inline>
        </w:drawing>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w:t>
      </w:r>
      <w:r w:rsidRPr="0030292A">
        <w:rPr>
          <w:rFonts w:ascii="Arial" w:hAnsi="Arial" w:cs="Arial"/>
          <w:sz w:val="18"/>
          <w:szCs w:val="18"/>
        </w:rPr>
        <w:lastRenderedPageBreak/>
        <w:t>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al primer trimestre de 2018, Tlaxcala ha recibido flujos de inversión acumulados por 2 mil 783 millones de dólares (</w:t>
      </w:r>
      <w:proofErr w:type="spellStart"/>
      <w:r w:rsidRPr="0030292A">
        <w:rPr>
          <w:rFonts w:ascii="Arial" w:hAnsi="Arial" w:cs="Arial"/>
          <w:sz w:val="18"/>
          <w:szCs w:val="18"/>
        </w:rPr>
        <w:t>mdd</w:t>
      </w:r>
      <w:proofErr w:type="spellEnd"/>
      <w:r w:rsidRPr="0030292A">
        <w:rPr>
          <w:rFonts w:ascii="Arial" w:hAnsi="Arial" w:cs="Arial"/>
          <w:sz w:val="18"/>
          <w:szCs w:val="18"/>
        </w:rPr>
        <w:t>) equivalentes al 1% del total de flujos captados por el país de acuerdo a la Secretaría de Economía al 2º Trimestre de 2018, la entidad pasó a ocupar la posición 30 como receptor de inversión externa en el país, una mejora de cuatro lugares con respecto al año 2015.</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es de 603 mil 336 personas y representa 1.1% del total nacional. La población ocupada representó 96% de la PEA de la entidad, es decir, 579 mil 067 personas. De esta población, 60 % son hombres y 40 % son mujeres. Un dato a destacar es el aumento de la participación laboral femenina en el estado. En 2000, la proporción de mujeres trabajadoras tlaxcaltecas dentro de la población ocupada total era de 33%. Actualmente, alcanza 40%, 2 punto porcentual mayor al promedio nacional.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EB07DC" w:rsidRPr="00563458" w:rsidRDefault="00EB07DC" w:rsidP="00EB07DC">
      <w:pPr>
        <w:tabs>
          <w:tab w:val="left" w:pos="284"/>
        </w:tabs>
        <w:ind w:left="284"/>
        <w:jc w:val="both"/>
        <w:rPr>
          <w:rFonts w:ascii="Arial" w:hAnsi="Arial" w:cs="Arial"/>
          <w:sz w:val="18"/>
          <w:szCs w:val="18"/>
        </w:rPr>
      </w:pPr>
      <w:r w:rsidRPr="00563458">
        <w:rPr>
          <w:rFonts w:ascii="Arial" w:hAnsi="Arial" w:cs="Arial"/>
          <w:sz w:val="18"/>
          <w:szCs w:val="18"/>
        </w:rPr>
        <w:t>Al mes de mayo de 2019 la tasa de ocupación reflejó una participación del 1.1 % al total nacional, representando un incremento de 2,497 puestos de trabajo respecto a diciembre de 2018. Al mes de mayo de 2019, se tienen registrados 103,476 trabajadores asegurados en el IMSS, tal y como se muestra en el siguiente cuadro:</w:t>
      </w:r>
    </w:p>
    <w:p w:rsidR="00EB07DC" w:rsidRPr="00563458" w:rsidRDefault="00EB07DC" w:rsidP="00EB07DC">
      <w:pPr>
        <w:tabs>
          <w:tab w:val="left" w:pos="284"/>
        </w:tabs>
        <w:ind w:left="284"/>
        <w:jc w:val="both"/>
        <w:rPr>
          <w:rFonts w:ascii="Arial" w:hAnsi="Arial" w:cs="Arial"/>
          <w:sz w:val="18"/>
          <w:szCs w:val="18"/>
        </w:rPr>
      </w:pPr>
    </w:p>
    <w:p w:rsidR="00EB07DC" w:rsidRPr="00563458" w:rsidRDefault="00EB07DC" w:rsidP="00EB07DC">
      <w:pPr>
        <w:tabs>
          <w:tab w:val="left" w:pos="284"/>
        </w:tabs>
        <w:ind w:left="284"/>
        <w:jc w:val="both"/>
        <w:rPr>
          <w:rFonts w:ascii="Arial" w:hAnsi="Arial" w:cs="Arial"/>
          <w:sz w:val="18"/>
          <w:szCs w:val="18"/>
        </w:rPr>
      </w:pPr>
    </w:p>
    <w:p w:rsidR="00EB07DC" w:rsidRPr="00563458" w:rsidRDefault="00EB07DC" w:rsidP="00EB07DC">
      <w:pPr>
        <w:tabs>
          <w:tab w:val="left" w:pos="284"/>
        </w:tabs>
        <w:ind w:left="284"/>
        <w:jc w:val="both"/>
        <w:rPr>
          <w:rFonts w:ascii="Arial" w:hAnsi="Arial" w:cs="Arial"/>
          <w:sz w:val="18"/>
          <w:szCs w:val="18"/>
        </w:rPr>
      </w:pPr>
    </w:p>
    <w:p w:rsidR="00EB07DC" w:rsidRPr="00563458" w:rsidRDefault="00EB07DC" w:rsidP="00EB07DC">
      <w:pPr>
        <w:tabs>
          <w:tab w:val="left" w:pos="284"/>
        </w:tabs>
        <w:ind w:left="284"/>
        <w:jc w:val="center"/>
        <w:rPr>
          <w:rFonts w:ascii="Arial" w:hAnsi="Arial" w:cs="Arial"/>
          <w:sz w:val="18"/>
          <w:szCs w:val="18"/>
        </w:rPr>
      </w:pPr>
      <w:r w:rsidRPr="00563458">
        <w:rPr>
          <w:rFonts w:ascii="Arial" w:hAnsi="Arial" w:cs="Arial"/>
          <w:noProof/>
          <w:sz w:val="18"/>
          <w:szCs w:val="18"/>
          <w:lang w:eastAsia="es-MX"/>
        </w:rPr>
        <w:lastRenderedPageBreak/>
        <w:drawing>
          <wp:inline distT="0" distB="0" distL="0" distR="0" wp14:anchorId="4E2A1F9A" wp14:editId="410B2BB1">
            <wp:extent cx="8464550" cy="494665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12672" t="17068" r="14011" b="18272"/>
                    <a:stretch>
                      <a:fillRect/>
                    </a:stretch>
                  </pic:blipFill>
                  <pic:spPr bwMode="auto">
                    <a:xfrm>
                      <a:off x="0" y="0"/>
                      <a:ext cx="8464550" cy="4946650"/>
                    </a:xfrm>
                    <a:prstGeom prst="rect">
                      <a:avLst/>
                    </a:prstGeom>
                    <a:noFill/>
                    <a:ln>
                      <a:noFill/>
                    </a:ln>
                  </pic:spPr>
                </pic:pic>
              </a:graphicData>
            </a:graphic>
          </wp:inline>
        </w:drawing>
      </w:r>
    </w:p>
    <w:p w:rsidR="00EB07DC" w:rsidRPr="00563458" w:rsidRDefault="00EB07DC" w:rsidP="00EB07DC">
      <w:pPr>
        <w:tabs>
          <w:tab w:val="left" w:pos="284"/>
        </w:tabs>
        <w:ind w:left="284"/>
        <w:jc w:val="both"/>
        <w:rPr>
          <w:rFonts w:ascii="Arial" w:hAnsi="Arial" w:cs="Arial"/>
          <w:sz w:val="18"/>
          <w:szCs w:val="18"/>
        </w:rPr>
      </w:pPr>
    </w:p>
    <w:p w:rsidR="00EB07DC" w:rsidRPr="00563458" w:rsidRDefault="00EB07DC" w:rsidP="00EB07DC">
      <w:pPr>
        <w:tabs>
          <w:tab w:val="left" w:pos="284"/>
        </w:tabs>
        <w:ind w:left="284"/>
        <w:jc w:val="both"/>
        <w:rPr>
          <w:rFonts w:ascii="Arial" w:hAnsi="Arial" w:cs="Arial"/>
          <w:sz w:val="18"/>
          <w:szCs w:val="18"/>
        </w:rPr>
      </w:pPr>
    </w:p>
    <w:p w:rsidR="00EB07DC" w:rsidRPr="00563458" w:rsidRDefault="00EB07DC" w:rsidP="00EB07DC">
      <w:pPr>
        <w:tabs>
          <w:tab w:val="left" w:pos="284"/>
        </w:tabs>
        <w:ind w:left="284"/>
        <w:jc w:val="both"/>
        <w:rPr>
          <w:rFonts w:ascii="Arial" w:hAnsi="Arial" w:cs="Arial"/>
          <w:sz w:val="18"/>
          <w:szCs w:val="18"/>
        </w:rPr>
      </w:pPr>
    </w:p>
    <w:p w:rsidR="00EB07DC" w:rsidRPr="00563458" w:rsidRDefault="00EB07DC" w:rsidP="00EB07DC">
      <w:pPr>
        <w:tabs>
          <w:tab w:val="left" w:pos="284"/>
        </w:tabs>
        <w:ind w:left="284"/>
        <w:jc w:val="center"/>
        <w:rPr>
          <w:rFonts w:ascii="Arial" w:hAnsi="Arial" w:cs="Arial"/>
          <w:sz w:val="18"/>
          <w:szCs w:val="18"/>
        </w:rPr>
      </w:pPr>
      <w:r w:rsidRPr="00563458">
        <w:rPr>
          <w:rFonts w:ascii="Arial" w:hAnsi="Arial" w:cs="Arial"/>
          <w:noProof/>
          <w:sz w:val="18"/>
          <w:szCs w:val="18"/>
          <w:lang w:eastAsia="es-MX"/>
        </w:rPr>
        <w:lastRenderedPageBreak/>
        <w:drawing>
          <wp:inline distT="0" distB="0" distL="0" distR="0" wp14:anchorId="6497E97C" wp14:editId="32E51F20">
            <wp:extent cx="7937500" cy="6013450"/>
            <wp:effectExtent l="0" t="0" r="635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22711" t="17871" r="23842" b="9532"/>
                    <a:stretch>
                      <a:fillRect/>
                    </a:stretch>
                  </pic:blipFill>
                  <pic:spPr bwMode="auto">
                    <a:xfrm>
                      <a:off x="0" y="0"/>
                      <a:ext cx="7937500" cy="6013450"/>
                    </a:xfrm>
                    <a:prstGeom prst="rect">
                      <a:avLst/>
                    </a:prstGeom>
                    <a:noFill/>
                    <a:ln>
                      <a:noFill/>
                    </a:ln>
                  </pic:spPr>
                </pic:pic>
              </a:graphicData>
            </a:graphic>
          </wp:inline>
        </w:drawing>
      </w:r>
    </w:p>
    <w:p w:rsidR="00EB07DC" w:rsidRPr="00563458" w:rsidRDefault="00EB07DC" w:rsidP="00EB07DC">
      <w:pPr>
        <w:tabs>
          <w:tab w:val="left" w:pos="284"/>
        </w:tabs>
        <w:ind w:left="284"/>
        <w:jc w:val="both"/>
        <w:rPr>
          <w:rFonts w:ascii="Arial" w:hAnsi="Arial" w:cs="Arial"/>
          <w:sz w:val="18"/>
          <w:szCs w:val="18"/>
        </w:rPr>
      </w:pPr>
      <w:r w:rsidRPr="00563458">
        <w:rPr>
          <w:rFonts w:ascii="Arial" w:hAnsi="Arial" w:cs="Arial"/>
          <w:sz w:val="18"/>
          <w:szCs w:val="18"/>
        </w:rPr>
        <w:lastRenderedPageBreak/>
        <w:t>De acuerdo al Directorio Estadístico Nacional de Unidades Económicas, Tlaxcala cuenta con 73,274 Unidades Económicas, lo que representa el 2 % del total nacional. Al primer trimestre de 201</w:t>
      </w:r>
      <w:r>
        <w:rPr>
          <w:rFonts w:ascii="Arial" w:hAnsi="Arial" w:cs="Arial"/>
          <w:sz w:val="18"/>
          <w:szCs w:val="18"/>
        </w:rPr>
        <w:t>9</w:t>
      </w:r>
      <w:r w:rsidRPr="00563458">
        <w:rPr>
          <w:rFonts w:ascii="Arial" w:hAnsi="Arial" w:cs="Arial"/>
          <w:sz w:val="18"/>
          <w:szCs w:val="18"/>
        </w:rPr>
        <w:t xml:space="preserve"> la Población Económicamente Activa (PEA) ascendió a 608,794 personas, representando el 62 % de la población en edad de trabajar. Del Total de la PEA, el 97 % está ocupada y el 3 % se encuentra desocupada.</w:t>
      </w:r>
    </w:p>
    <w:p w:rsidR="00EB07DC" w:rsidRPr="00563458" w:rsidRDefault="00EB07DC" w:rsidP="00EB07DC">
      <w:pPr>
        <w:tabs>
          <w:tab w:val="left" w:pos="284"/>
        </w:tabs>
        <w:ind w:left="284"/>
        <w:jc w:val="center"/>
        <w:rPr>
          <w:rFonts w:ascii="Arial" w:hAnsi="Arial" w:cs="Arial"/>
          <w:sz w:val="18"/>
          <w:szCs w:val="18"/>
        </w:rPr>
      </w:pPr>
      <w:r w:rsidRPr="00563458">
        <w:rPr>
          <w:rFonts w:ascii="Arial" w:hAnsi="Arial" w:cs="Arial"/>
          <w:noProof/>
          <w:sz w:val="18"/>
          <w:szCs w:val="18"/>
          <w:lang w:eastAsia="es-MX"/>
        </w:rPr>
        <w:drawing>
          <wp:inline distT="0" distB="0" distL="0" distR="0" wp14:anchorId="1AE7E9BE" wp14:editId="4DFECCB4">
            <wp:extent cx="6819900" cy="5207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24896" t="15260" r="25311" b="15262"/>
                    <a:stretch>
                      <a:fillRect/>
                    </a:stretch>
                  </pic:blipFill>
                  <pic:spPr bwMode="auto">
                    <a:xfrm>
                      <a:off x="0" y="0"/>
                      <a:ext cx="6819900" cy="5207000"/>
                    </a:xfrm>
                    <a:prstGeom prst="rect">
                      <a:avLst/>
                    </a:prstGeom>
                    <a:noFill/>
                    <a:ln>
                      <a:noFill/>
                    </a:ln>
                  </pic:spPr>
                </pic:pic>
              </a:graphicData>
            </a:graphic>
          </wp:inline>
        </w:drawing>
      </w:r>
    </w:p>
    <w:p w:rsidR="00EB07DC" w:rsidRPr="00563458" w:rsidRDefault="00EB07DC" w:rsidP="00EB07DC">
      <w:pPr>
        <w:tabs>
          <w:tab w:val="left" w:pos="284"/>
        </w:tabs>
        <w:ind w:left="284"/>
        <w:jc w:val="both"/>
        <w:rPr>
          <w:rFonts w:ascii="Arial" w:hAnsi="Arial" w:cs="Arial"/>
          <w:sz w:val="18"/>
          <w:szCs w:val="18"/>
        </w:rPr>
      </w:pPr>
      <w:r w:rsidRPr="00563458">
        <w:rPr>
          <w:rFonts w:ascii="Arial" w:hAnsi="Arial" w:cs="Arial"/>
          <w:sz w:val="18"/>
          <w:szCs w:val="18"/>
        </w:rPr>
        <w:lastRenderedPageBreak/>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EB07DC" w:rsidRPr="00563458" w:rsidRDefault="00EB07DC" w:rsidP="00EB07DC">
      <w:pPr>
        <w:tabs>
          <w:tab w:val="left" w:pos="284"/>
        </w:tabs>
        <w:ind w:left="284"/>
        <w:jc w:val="both"/>
        <w:rPr>
          <w:rFonts w:ascii="Arial" w:hAnsi="Arial" w:cs="Arial"/>
          <w:sz w:val="18"/>
          <w:szCs w:val="18"/>
        </w:rPr>
      </w:pPr>
      <w:r w:rsidRPr="00563458">
        <w:rPr>
          <w:rFonts w:ascii="Arial" w:hAnsi="Arial" w:cs="Arial"/>
          <w:sz w:val="18"/>
          <w:szCs w:val="18"/>
        </w:rPr>
        <w:t>Al primer trimestre de 2019, la Inversión Extranjera Directa Acumulada del año 2011 al mes de marzo de 2019 en el Estado de Tlaxcala fue de 1,229.6 millones de dólares lo que representó un aporte del 1% al total nacional, instalándose empresas de diversas nacionalidades en la Entidad.</w:t>
      </w:r>
    </w:p>
    <w:p w:rsidR="00EB07DC" w:rsidRPr="00563458" w:rsidRDefault="00EB07DC" w:rsidP="00EB07DC">
      <w:pPr>
        <w:tabs>
          <w:tab w:val="left" w:pos="284"/>
        </w:tabs>
        <w:ind w:left="284"/>
        <w:jc w:val="both"/>
        <w:rPr>
          <w:rFonts w:ascii="Arial" w:hAnsi="Arial" w:cs="Arial"/>
          <w:sz w:val="18"/>
          <w:szCs w:val="18"/>
        </w:rPr>
      </w:pPr>
      <w:r w:rsidRPr="00563458">
        <w:rPr>
          <w:rFonts w:ascii="Arial" w:hAnsi="Arial" w:cs="Arial"/>
          <w:noProof/>
          <w:sz w:val="18"/>
          <w:szCs w:val="18"/>
          <w:lang w:eastAsia="es-MX"/>
        </w:rPr>
        <w:drawing>
          <wp:inline distT="0" distB="0" distL="0" distR="0" wp14:anchorId="42FFF573" wp14:editId="7078115E">
            <wp:extent cx="8280400" cy="436880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80400" cy="4368800"/>
                    </a:xfrm>
                    <a:prstGeom prst="rect">
                      <a:avLst/>
                    </a:prstGeom>
                    <a:noFill/>
                    <a:ln>
                      <a:noFill/>
                    </a:ln>
                  </pic:spPr>
                </pic:pic>
              </a:graphicData>
            </a:graphic>
          </wp:inline>
        </w:drawing>
      </w:r>
    </w:p>
    <w:p w:rsidR="00EB07DC" w:rsidRPr="00563458" w:rsidRDefault="00EB07DC" w:rsidP="00EB07DC">
      <w:pPr>
        <w:tabs>
          <w:tab w:val="left" w:pos="284"/>
        </w:tabs>
        <w:ind w:left="284"/>
        <w:jc w:val="both"/>
        <w:rPr>
          <w:rFonts w:ascii="Arial" w:hAnsi="Arial" w:cs="Arial"/>
          <w:sz w:val="18"/>
          <w:szCs w:val="18"/>
        </w:rPr>
      </w:pPr>
      <w:r w:rsidRPr="00563458">
        <w:rPr>
          <w:rFonts w:ascii="Arial" w:hAnsi="Arial" w:cs="Arial"/>
          <w:noProof/>
          <w:sz w:val="18"/>
          <w:szCs w:val="18"/>
          <w:lang w:eastAsia="es-MX"/>
        </w:rPr>
        <w:lastRenderedPageBreak/>
        <mc:AlternateContent>
          <mc:Choice Requires="wps">
            <w:drawing>
              <wp:anchor distT="0" distB="0" distL="114300" distR="114300" simplePos="0" relativeHeight="251685888" behindDoc="0" locked="0" layoutInCell="1" allowOverlap="1" wp14:anchorId="493F461F" wp14:editId="1B720096">
                <wp:simplePos x="0" y="0"/>
                <wp:positionH relativeFrom="page">
                  <wp:posOffset>8772525</wp:posOffset>
                </wp:positionH>
                <wp:positionV relativeFrom="page">
                  <wp:posOffset>158209615</wp:posOffset>
                </wp:positionV>
                <wp:extent cx="189865" cy="45720"/>
                <wp:effectExtent l="19050" t="38100" r="57785" b="49530"/>
                <wp:wrapNone/>
                <wp:docPr id="93" name="Flecha derecha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78EF8C5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3" o:spid="_x0000_s1026" type="#_x0000_t13" style="position:absolute;margin-left:690.75pt;margin-top:12457.45pt;width:14.95pt;height:3.6pt;flip: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By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MUCsHK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563458">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EB07DC" w:rsidRPr="00563458" w:rsidRDefault="00EB07DC" w:rsidP="00EB07DC">
      <w:pPr>
        <w:tabs>
          <w:tab w:val="left" w:pos="284"/>
        </w:tabs>
        <w:ind w:left="284"/>
        <w:jc w:val="both"/>
        <w:rPr>
          <w:rFonts w:ascii="Arial" w:hAnsi="Arial" w:cs="Arial"/>
          <w:sz w:val="18"/>
          <w:szCs w:val="18"/>
        </w:rPr>
      </w:pPr>
      <w:r w:rsidRPr="00563458">
        <w:rPr>
          <w:rFonts w:ascii="Arial" w:hAnsi="Arial" w:cs="Arial"/>
          <w:sz w:val="18"/>
          <w:szCs w:val="18"/>
        </w:rPr>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EB07DC" w:rsidRPr="00563458" w:rsidRDefault="00EB07DC" w:rsidP="00EB07DC">
      <w:pPr>
        <w:tabs>
          <w:tab w:val="left" w:pos="284"/>
        </w:tabs>
        <w:ind w:left="284"/>
        <w:jc w:val="both"/>
        <w:rPr>
          <w:rFonts w:ascii="Arial" w:hAnsi="Arial" w:cs="Arial"/>
          <w:sz w:val="18"/>
          <w:szCs w:val="18"/>
        </w:rPr>
      </w:pPr>
      <w:r w:rsidRPr="00563458">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EB07DC" w:rsidRPr="00563458" w:rsidRDefault="00EB07DC" w:rsidP="00EB07DC">
      <w:pPr>
        <w:tabs>
          <w:tab w:val="left" w:pos="284"/>
        </w:tabs>
        <w:ind w:left="284"/>
        <w:jc w:val="both"/>
        <w:rPr>
          <w:rFonts w:ascii="Arial" w:hAnsi="Arial" w:cs="Arial"/>
          <w:sz w:val="18"/>
          <w:szCs w:val="18"/>
        </w:rPr>
      </w:pPr>
      <w:r w:rsidRPr="00563458">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EB07DC" w:rsidRPr="00563458" w:rsidRDefault="00EB07DC" w:rsidP="00EB07DC">
      <w:pPr>
        <w:tabs>
          <w:tab w:val="left" w:pos="284"/>
        </w:tabs>
        <w:ind w:left="284"/>
        <w:jc w:val="both"/>
        <w:rPr>
          <w:rFonts w:ascii="Arial" w:hAnsi="Arial" w:cs="Arial"/>
          <w:sz w:val="18"/>
          <w:szCs w:val="18"/>
        </w:rPr>
      </w:pPr>
      <w:r w:rsidRPr="00563458">
        <w:rPr>
          <w:rFonts w:ascii="Arial" w:hAnsi="Arial" w:cs="Arial"/>
          <w:sz w:val="18"/>
          <w:szCs w:val="18"/>
        </w:rPr>
        <w:t>El poco dinamismo de la economía regional, restringe al Estado para incrementar significativamente su recaudación propia; de 2011 a 2018, los ingresos propios promediaron entre el 4 y 6 por ciento de los ingresos totales captados. Se han implementado algunas medidas que incentivaron el pago de impuestos para reducir el rezago fiscal, particularmente en materia de tenencia y derechos vehiculares.</w:t>
      </w:r>
    </w:p>
    <w:p w:rsidR="00EB07DC" w:rsidRPr="00563458" w:rsidRDefault="00EB07DC" w:rsidP="00EB07DC">
      <w:pPr>
        <w:tabs>
          <w:tab w:val="left" w:pos="284"/>
        </w:tabs>
        <w:ind w:left="284"/>
        <w:jc w:val="both"/>
        <w:rPr>
          <w:rFonts w:ascii="Arial" w:hAnsi="Arial" w:cs="Arial"/>
          <w:sz w:val="18"/>
          <w:szCs w:val="18"/>
        </w:rPr>
      </w:pPr>
      <w:r w:rsidRPr="00563458">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33"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34"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35"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36"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37"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38"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39" w:tooltip="Hidalgo (México)" w:history="1">
        <w:r w:rsidRPr="0073056A">
          <w:rPr>
            <w:rFonts w:ascii="Arial" w:hAnsi="Arial" w:cs="Arial"/>
            <w:sz w:val="18"/>
            <w:szCs w:val="18"/>
          </w:rPr>
          <w:t>Hidalgo</w:t>
        </w:r>
      </w:hyperlink>
      <w:r w:rsidRPr="0073056A">
        <w:rPr>
          <w:rFonts w:ascii="Arial" w:hAnsi="Arial" w:cs="Arial"/>
          <w:sz w:val="18"/>
          <w:szCs w:val="18"/>
        </w:rPr>
        <w:t xml:space="preserve">. La entidad se localiza en la región del Eje </w:t>
      </w:r>
      <w:proofErr w:type="spellStart"/>
      <w:r w:rsidRPr="0073056A">
        <w:rPr>
          <w:rFonts w:ascii="Arial" w:hAnsi="Arial" w:cs="Arial"/>
          <w:sz w:val="18"/>
          <w:szCs w:val="18"/>
        </w:rPr>
        <w:t>Neovolcánico</w:t>
      </w:r>
      <w:proofErr w:type="spellEnd"/>
      <w:r w:rsidRPr="0073056A">
        <w:rPr>
          <w:rFonts w:ascii="Arial" w:hAnsi="Arial" w:cs="Arial"/>
          <w:sz w:val="18"/>
          <w:szCs w:val="18"/>
        </w:rPr>
        <w:t>,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32384C" w:rsidRPr="003D14B8"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lastRenderedPageBreak/>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80C" w:rsidRDefault="00B3680C">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80C" w:rsidRDefault="00B3680C"/>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80C" w:rsidRDefault="00B3680C"/>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80C" w:rsidRDefault="00B3680C">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80C" w:rsidRDefault="00B3680C">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w:t>
                              </w:r>
                              <w:proofErr w:type="spellStart"/>
                              <w:r>
                                <w:rPr>
                                  <w:rFonts w:ascii="Arial" w:hAnsi="Arial" w:cs="Arial"/>
                                  <w:color w:val="000000"/>
                                  <w:sz w:val="18"/>
                                  <w:szCs w:val="18"/>
                                  <w:lang w:val="en-US"/>
                                </w:rPr>
                                <w:t>Calva</w:t>
                              </w:r>
                              <w:proofErr w:type="spellEnd"/>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80C" w:rsidRDefault="00B3680C"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80C" w:rsidRDefault="00B3680C">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B3680C" w:rsidRDefault="00B3680C">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B3680C" w:rsidRDefault="00B3680C"/>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B3680C" w:rsidRDefault="00B3680C"/>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B3680C" w:rsidRDefault="00B3680C">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B3680C" w:rsidRDefault="00B3680C">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B3680C" w:rsidRDefault="00B3680C"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B3680C" w:rsidRDefault="00B3680C">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40"/>
      <w:headerReference w:type="default" r:id="rId41"/>
      <w:footerReference w:type="even" r:id="rId42"/>
      <w:footerReference w:type="default" r:id="rId43"/>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4770" w:rsidRDefault="00FB4770" w:rsidP="00EA5418">
      <w:pPr>
        <w:spacing w:after="0" w:line="240" w:lineRule="auto"/>
      </w:pPr>
      <w:r>
        <w:separator/>
      </w:r>
    </w:p>
  </w:endnote>
  <w:endnote w:type="continuationSeparator" w:id="0">
    <w:p w:rsidR="00FB4770" w:rsidRDefault="00FB477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80C" w:rsidRPr="004E3EA4" w:rsidRDefault="00B3680C"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097CC3" w:rsidRPr="00097CC3">
          <w:rPr>
            <w:rFonts w:ascii="Arial" w:hAnsi="Arial" w:cs="Arial"/>
            <w:noProof/>
            <w:sz w:val="20"/>
            <w:lang w:val="es-ES"/>
          </w:rPr>
          <w:t>20</w:t>
        </w:r>
        <w:r w:rsidRPr="004E3EA4">
          <w:rPr>
            <w:rFonts w:ascii="Arial" w:hAnsi="Arial" w:cs="Arial"/>
            <w:sz w:val="20"/>
          </w:rPr>
          <w:fldChar w:fldCharType="end"/>
        </w:r>
      </w:sdtContent>
    </w:sdt>
  </w:p>
  <w:p w:rsidR="00B3680C" w:rsidRDefault="00B3680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80C" w:rsidRPr="003527CD" w:rsidRDefault="00B3680C"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097CC3" w:rsidRPr="00097CC3">
          <w:rPr>
            <w:rFonts w:ascii="Arial" w:hAnsi="Arial" w:cs="Arial"/>
            <w:noProof/>
            <w:lang w:val="es-ES"/>
          </w:rPr>
          <w:t>21</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4770" w:rsidRDefault="00FB4770" w:rsidP="00EA5418">
      <w:pPr>
        <w:spacing w:after="0" w:line="240" w:lineRule="auto"/>
      </w:pPr>
      <w:r>
        <w:separator/>
      </w:r>
    </w:p>
  </w:footnote>
  <w:footnote w:type="continuationSeparator" w:id="0">
    <w:p w:rsidR="00FB4770" w:rsidRDefault="00FB4770"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80C" w:rsidRDefault="00B3680C">
    <w:pPr>
      <w:pStyle w:val="Encabezado"/>
    </w:pPr>
    <w:r>
      <w:rPr>
        <w:noProof/>
        <w:lang w:eastAsia="es-MX"/>
      </w:rPr>
      <mc:AlternateContent>
        <mc:Choice Requires="wpg">
          <w:drawing>
            <wp:anchor distT="0" distB="0" distL="114300" distR="114300" simplePos="0" relativeHeight="251669504" behindDoc="0" locked="0" layoutInCell="1" allowOverlap="1">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80C" w:rsidRPr="00DE4269" w:rsidRDefault="00B3680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id="9 Grupo" o:spid="_x0000_s1102"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yYpbBAAAkg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MLBqK8sXIJWSUAegYMDzDRqNVD88soen0MLTf+8o3m/tgwBOZWEc&#10;Y7GznXiGdzJR5zPb8xkqCjC18IxHXHNpoAdbdr3idQMnORYLeQsvg4rb2oMOOq8gBOyA6GzLPnxs&#10;WMMjDV9W53276vSUvPk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yL/JilsEAACSCgAA&#10;DgAAAAAAAAAAAAAAAAA8AgAAZHJzL2Uyb0RvYy54bWxQSwECLQAUAAYACAAAACEAWGCzG7oAAAAi&#10;AQAAGQAAAAAAAAAAAAAAAADDBgAAZHJzL19yZWxzL2Uyb0RvYy54bWwucmVsc1BLAQItABQABgAI&#10;AAAAIQD/Hf/a4gAAAAsBAAAPAAAAAAAAAAAAAAAAALQ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3"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">
                <v:imagedata r:id="rId2" o:title="" croptop="4055f" cropbottom="57131f" cropleft="36353f" cropright="28433f"/>
                <v:path arrowok="t"/>
              </v:shape>
              <v:shapetype id="_x0000_t202" coordsize="21600,21600" o:spt="202" path="m,l,21600r21600,l21600,xe">
                <v:stroke joinstyle="miter"/>
                <v:path gradientshapeok="t" o:connecttype="rect"/>
              </v:shapetype>
              <v:shape id="Text Box 7" o:spid="_x0000_s1104"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B3680C" w:rsidRPr="00DE4269" w:rsidRDefault="00B3680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1968500</wp:posOffset>
              </wp:positionH>
              <wp:positionV relativeFrom="paragraph">
                <wp:posOffset>-342900</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80C" w:rsidRDefault="00B3680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3680C" w:rsidRDefault="00B3680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3680C" w:rsidRPr="00275FC6" w:rsidRDefault="00B3680C"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105" type="#_x0000_t202" style="position:absolute;margin-left:155pt;margin-top:-27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" filled="f" stroked="f">
              <v:textbox>
                <w:txbxContent>
                  <w:p w:rsidR="00B3680C" w:rsidRDefault="00B3680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3680C" w:rsidRDefault="00B3680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3680C" w:rsidRPr="00275FC6" w:rsidRDefault="00B3680C" w:rsidP="00040466">
                    <w:pPr>
                      <w:jc w:val="right"/>
                      <w:rPr>
                        <w:rFonts w:ascii="Soberana Titular" w:hAnsi="Soberana Titular" w:cs="Arial"/>
                        <w:color w:val="808080" w:themeColor="background1" w:themeShade="80"/>
                        <w:sz w:val="20"/>
                        <w:szCs w:val="20"/>
                      </w:rPr>
                    </w:pPr>
                  </w:p>
                </w:txbxContent>
              </v:textbox>
            </v:shape>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80C" w:rsidRPr="003527CD" w:rsidRDefault="00B3680C"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4">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13"/>
  </w:num>
  <w:num w:numId="4">
    <w:abstractNumId w:val="7"/>
  </w:num>
  <w:num w:numId="5">
    <w:abstractNumId w:val="10"/>
  </w:num>
  <w:num w:numId="6">
    <w:abstractNumId w:val="18"/>
  </w:num>
  <w:num w:numId="7">
    <w:abstractNumId w:val="16"/>
  </w:num>
  <w:num w:numId="8">
    <w:abstractNumId w:val="14"/>
  </w:num>
  <w:num w:numId="9">
    <w:abstractNumId w:val="6"/>
  </w:num>
  <w:num w:numId="10">
    <w:abstractNumId w:val="3"/>
  </w:num>
  <w:num w:numId="11">
    <w:abstractNumId w:val="0"/>
  </w:num>
  <w:num w:numId="12">
    <w:abstractNumId w:val="5"/>
  </w:num>
  <w:num w:numId="13">
    <w:abstractNumId w:val="17"/>
  </w:num>
  <w:num w:numId="14">
    <w:abstractNumId w:val="15"/>
  </w:num>
  <w:num w:numId="15">
    <w:abstractNumId w:val="9"/>
  </w:num>
  <w:num w:numId="16">
    <w:abstractNumId w:val="2"/>
  </w:num>
  <w:num w:numId="17">
    <w:abstractNumId w:val="8"/>
  </w:num>
  <w:num w:numId="18">
    <w:abstractNumId w:val="1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25C"/>
    <w:rsid w:val="00000FD2"/>
    <w:rsid w:val="00001107"/>
    <w:rsid w:val="000024D1"/>
    <w:rsid w:val="000053D1"/>
    <w:rsid w:val="00006217"/>
    <w:rsid w:val="0001342E"/>
    <w:rsid w:val="000155BC"/>
    <w:rsid w:val="000202A5"/>
    <w:rsid w:val="00021787"/>
    <w:rsid w:val="00024D68"/>
    <w:rsid w:val="00026C0E"/>
    <w:rsid w:val="000271C8"/>
    <w:rsid w:val="00031160"/>
    <w:rsid w:val="00031DC4"/>
    <w:rsid w:val="00037045"/>
    <w:rsid w:val="00040466"/>
    <w:rsid w:val="000417DA"/>
    <w:rsid w:val="00043F64"/>
    <w:rsid w:val="0004567A"/>
    <w:rsid w:val="00045A10"/>
    <w:rsid w:val="0004695D"/>
    <w:rsid w:val="00054C4D"/>
    <w:rsid w:val="00056EDF"/>
    <w:rsid w:val="000574E6"/>
    <w:rsid w:val="00063159"/>
    <w:rsid w:val="000655E4"/>
    <w:rsid w:val="0006610A"/>
    <w:rsid w:val="0006668A"/>
    <w:rsid w:val="0006755E"/>
    <w:rsid w:val="00072BA1"/>
    <w:rsid w:val="0007436A"/>
    <w:rsid w:val="00076E1D"/>
    <w:rsid w:val="0008099F"/>
    <w:rsid w:val="00084D46"/>
    <w:rsid w:val="00090FD9"/>
    <w:rsid w:val="0009604B"/>
    <w:rsid w:val="00097255"/>
    <w:rsid w:val="00097CC3"/>
    <w:rsid w:val="000A00F8"/>
    <w:rsid w:val="000A4699"/>
    <w:rsid w:val="000A4867"/>
    <w:rsid w:val="000A5776"/>
    <w:rsid w:val="000A7AB8"/>
    <w:rsid w:val="000B0311"/>
    <w:rsid w:val="000B54AD"/>
    <w:rsid w:val="000B62E8"/>
    <w:rsid w:val="000B6E5A"/>
    <w:rsid w:val="000D01E9"/>
    <w:rsid w:val="000D4D45"/>
    <w:rsid w:val="000D553D"/>
    <w:rsid w:val="000E0A96"/>
    <w:rsid w:val="000E5C7A"/>
    <w:rsid w:val="000E6692"/>
    <w:rsid w:val="000F0E08"/>
    <w:rsid w:val="000F1B18"/>
    <w:rsid w:val="00100FD7"/>
    <w:rsid w:val="00105410"/>
    <w:rsid w:val="001130E9"/>
    <w:rsid w:val="001156F5"/>
    <w:rsid w:val="00115E5C"/>
    <w:rsid w:val="00115FAF"/>
    <w:rsid w:val="001203B5"/>
    <w:rsid w:val="00120A86"/>
    <w:rsid w:val="00123461"/>
    <w:rsid w:val="001234D1"/>
    <w:rsid w:val="0013011C"/>
    <w:rsid w:val="001312C9"/>
    <w:rsid w:val="00134F21"/>
    <w:rsid w:val="00136A59"/>
    <w:rsid w:val="00136E7D"/>
    <w:rsid w:val="00142035"/>
    <w:rsid w:val="00144A5D"/>
    <w:rsid w:val="0014540D"/>
    <w:rsid w:val="001528B7"/>
    <w:rsid w:val="00161865"/>
    <w:rsid w:val="0016242F"/>
    <w:rsid w:val="001635E1"/>
    <w:rsid w:val="00165BB4"/>
    <w:rsid w:val="001660FE"/>
    <w:rsid w:val="00172B7D"/>
    <w:rsid w:val="00174F47"/>
    <w:rsid w:val="0018603D"/>
    <w:rsid w:val="00193B2D"/>
    <w:rsid w:val="001A3F6A"/>
    <w:rsid w:val="001B13BF"/>
    <w:rsid w:val="001B1B72"/>
    <w:rsid w:val="001B1BBF"/>
    <w:rsid w:val="001B2632"/>
    <w:rsid w:val="001B267D"/>
    <w:rsid w:val="001B4EE5"/>
    <w:rsid w:val="001B51F1"/>
    <w:rsid w:val="001B6F95"/>
    <w:rsid w:val="001B7DDA"/>
    <w:rsid w:val="001C2435"/>
    <w:rsid w:val="001C47EF"/>
    <w:rsid w:val="001C4842"/>
    <w:rsid w:val="001C48E8"/>
    <w:rsid w:val="001C4CB9"/>
    <w:rsid w:val="001C66C1"/>
    <w:rsid w:val="001C6C21"/>
    <w:rsid w:val="001C6FD8"/>
    <w:rsid w:val="001D0747"/>
    <w:rsid w:val="001D3572"/>
    <w:rsid w:val="001E3216"/>
    <w:rsid w:val="001E327A"/>
    <w:rsid w:val="001E46CF"/>
    <w:rsid w:val="001E7072"/>
    <w:rsid w:val="001F0C04"/>
    <w:rsid w:val="001F18C1"/>
    <w:rsid w:val="001F4B7F"/>
    <w:rsid w:val="002023F6"/>
    <w:rsid w:val="00202C27"/>
    <w:rsid w:val="00203AC0"/>
    <w:rsid w:val="00203F37"/>
    <w:rsid w:val="00204C86"/>
    <w:rsid w:val="00212203"/>
    <w:rsid w:val="0022227A"/>
    <w:rsid w:val="00223CE1"/>
    <w:rsid w:val="00227B93"/>
    <w:rsid w:val="00230B71"/>
    <w:rsid w:val="00236748"/>
    <w:rsid w:val="002431DD"/>
    <w:rsid w:val="00245E54"/>
    <w:rsid w:val="00247AD7"/>
    <w:rsid w:val="00251F0D"/>
    <w:rsid w:val="00255476"/>
    <w:rsid w:val="00261B45"/>
    <w:rsid w:val="0026333F"/>
    <w:rsid w:val="00264426"/>
    <w:rsid w:val="002705C0"/>
    <w:rsid w:val="00270EC8"/>
    <w:rsid w:val="00272E20"/>
    <w:rsid w:val="0027627B"/>
    <w:rsid w:val="00280CD3"/>
    <w:rsid w:val="002858C7"/>
    <w:rsid w:val="00287D90"/>
    <w:rsid w:val="00290A24"/>
    <w:rsid w:val="00295FCC"/>
    <w:rsid w:val="002A2013"/>
    <w:rsid w:val="002A70B3"/>
    <w:rsid w:val="002A728F"/>
    <w:rsid w:val="002B0770"/>
    <w:rsid w:val="002B32BF"/>
    <w:rsid w:val="002B4828"/>
    <w:rsid w:val="002B7C62"/>
    <w:rsid w:val="002C0A9F"/>
    <w:rsid w:val="002C479E"/>
    <w:rsid w:val="002C4A76"/>
    <w:rsid w:val="002C4E19"/>
    <w:rsid w:val="002C5ACA"/>
    <w:rsid w:val="002D0278"/>
    <w:rsid w:val="002D2BEE"/>
    <w:rsid w:val="002E52F9"/>
    <w:rsid w:val="002F546C"/>
    <w:rsid w:val="0030292A"/>
    <w:rsid w:val="00302E39"/>
    <w:rsid w:val="00311255"/>
    <w:rsid w:val="00312040"/>
    <w:rsid w:val="0032152C"/>
    <w:rsid w:val="0032384C"/>
    <w:rsid w:val="00323D16"/>
    <w:rsid w:val="00324311"/>
    <w:rsid w:val="00327048"/>
    <w:rsid w:val="00327740"/>
    <w:rsid w:val="00331185"/>
    <w:rsid w:val="00332091"/>
    <w:rsid w:val="0033398C"/>
    <w:rsid w:val="00336B8F"/>
    <w:rsid w:val="00337ECC"/>
    <w:rsid w:val="00351921"/>
    <w:rsid w:val="003527CD"/>
    <w:rsid w:val="00354047"/>
    <w:rsid w:val="0035405F"/>
    <w:rsid w:val="00356170"/>
    <w:rsid w:val="003612CA"/>
    <w:rsid w:val="00365BA0"/>
    <w:rsid w:val="00372F40"/>
    <w:rsid w:val="00374E36"/>
    <w:rsid w:val="00380E8C"/>
    <w:rsid w:val="00380EE2"/>
    <w:rsid w:val="003811EC"/>
    <w:rsid w:val="00382E8F"/>
    <w:rsid w:val="00383BCB"/>
    <w:rsid w:val="00386E53"/>
    <w:rsid w:val="003900E3"/>
    <w:rsid w:val="00390936"/>
    <w:rsid w:val="00393281"/>
    <w:rsid w:val="00393659"/>
    <w:rsid w:val="00396C2B"/>
    <w:rsid w:val="003A0303"/>
    <w:rsid w:val="003A6C39"/>
    <w:rsid w:val="003A7ADE"/>
    <w:rsid w:val="003B1B0C"/>
    <w:rsid w:val="003B55DA"/>
    <w:rsid w:val="003C35FE"/>
    <w:rsid w:val="003C3B3A"/>
    <w:rsid w:val="003C4805"/>
    <w:rsid w:val="003C5C30"/>
    <w:rsid w:val="003D0221"/>
    <w:rsid w:val="003D1331"/>
    <w:rsid w:val="003D2E3D"/>
    <w:rsid w:val="003D5DBF"/>
    <w:rsid w:val="003D6079"/>
    <w:rsid w:val="003E33EF"/>
    <w:rsid w:val="003E3D38"/>
    <w:rsid w:val="003E63CA"/>
    <w:rsid w:val="003E6BD8"/>
    <w:rsid w:val="003E7FD0"/>
    <w:rsid w:val="003F0340"/>
    <w:rsid w:val="003F0EA4"/>
    <w:rsid w:val="003F16E6"/>
    <w:rsid w:val="003F2A03"/>
    <w:rsid w:val="003F6942"/>
    <w:rsid w:val="003F6B56"/>
    <w:rsid w:val="00401AEB"/>
    <w:rsid w:val="0040301B"/>
    <w:rsid w:val="0040746E"/>
    <w:rsid w:val="004076AC"/>
    <w:rsid w:val="0041065F"/>
    <w:rsid w:val="00411B83"/>
    <w:rsid w:val="00415099"/>
    <w:rsid w:val="004213BC"/>
    <w:rsid w:val="00423B40"/>
    <w:rsid w:val="004306DA"/>
    <w:rsid w:val="004311BE"/>
    <w:rsid w:val="004373B9"/>
    <w:rsid w:val="00441E7C"/>
    <w:rsid w:val="0044253C"/>
    <w:rsid w:val="00442A29"/>
    <w:rsid w:val="004466A7"/>
    <w:rsid w:val="00451963"/>
    <w:rsid w:val="00454129"/>
    <w:rsid w:val="00454250"/>
    <w:rsid w:val="00463B0D"/>
    <w:rsid w:val="0046425D"/>
    <w:rsid w:val="004644D4"/>
    <w:rsid w:val="004649FD"/>
    <w:rsid w:val="004714CF"/>
    <w:rsid w:val="00474420"/>
    <w:rsid w:val="00480F7F"/>
    <w:rsid w:val="004842C3"/>
    <w:rsid w:val="00484C0D"/>
    <w:rsid w:val="00487AC2"/>
    <w:rsid w:val="0049279C"/>
    <w:rsid w:val="00493E27"/>
    <w:rsid w:val="00497D8B"/>
    <w:rsid w:val="004A67F1"/>
    <w:rsid w:val="004A7484"/>
    <w:rsid w:val="004B04CF"/>
    <w:rsid w:val="004B1994"/>
    <w:rsid w:val="004B1F00"/>
    <w:rsid w:val="004B2344"/>
    <w:rsid w:val="004B263B"/>
    <w:rsid w:val="004B5686"/>
    <w:rsid w:val="004C0ECA"/>
    <w:rsid w:val="004C1616"/>
    <w:rsid w:val="004C4F16"/>
    <w:rsid w:val="004C5E7B"/>
    <w:rsid w:val="004D30E1"/>
    <w:rsid w:val="004D3E91"/>
    <w:rsid w:val="004D41B8"/>
    <w:rsid w:val="004E3EA4"/>
    <w:rsid w:val="004F542A"/>
    <w:rsid w:val="004F5641"/>
    <w:rsid w:val="0050183B"/>
    <w:rsid w:val="00502DDD"/>
    <w:rsid w:val="00503454"/>
    <w:rsid w:val="00513E7E"/>
    <w:rsid w:val="00514F2B"/>
    <w:rsid w:val="00516599"/>
    <w:rsid w:val="0052034A"/>
    <w:rsid w:val="00521715"/>
    <w:rsid w:val="00521728"/>
    <w:rsid w:val="00522632"/>
    <w:rsid w:val="00522EF3"/>
    <w:rsid w:val="0052562F"/>
    <w:rsid w:val="0052637F"/>
    <w:rsid w:val="00530DED"/>
    <w:rsid w:val="0053277D"/>
    <w:rsid w:val="005327CE"/>
    <w:rsid w:val="00540418"/>
    <w:rsid w:val="00543F97"/>
    <w:rsid w:val="00545527"/>
    <w:rsid w:val="00550363"/>
    <w:rsid w:val="00553CB3"/>
    <w:rsid w:val="00556D2F"/>
    <w:rsid w:val="0056081A"/>
    <w:rsid w:val="00562D1C"/>
    <w:rsid w:val="00565576"/>
    <w:rsid w:val="00570444"/>
    <w:rsid w:val="005712C2"/>
    <w:rsid w:val="00574266"/>
    <w:rsid w:val="00574570"/>
    <w:rsid w:val="00575EE0"/>
    <w:rsid w:val="005768EA"/>
    <w:rsid w:val="00576C8C"/>
    <w:rsid w:val="00577617"/>
    <w:rsid w:val="00584F08"/>
    <w:rsid w:val="00585D38"/>
    <w:rsid w:val="00587618"/>
    <w:rsid w:val="0059084C"/>
    <w:rsid w:val="00590C01"/>
    <w:rsid w:val="005A3CCB"/>
    <w:rsid w:val="005A53BA"/>
    <w:rsid w:val="005A57AD"/>
    <w:rsid w:val="005B0F75"/>
    <w:rsid w:val="005C02A4"/>
    <w:rsid w:val="005C0F25"/>
    <w:rsid w:val="005C1613"/>
    <w:rsid w:val="005C1E73"/>
    <w:rsid w:val="005C36E3"/>
    <w:rsid w:val="005C4BC3"/>
    <w:rsid w:val="005D3D25"/>
    <w:rsid w:val="005D5223"/>
    <w:rsid w:val="005D568E"/>
    <w:rsid w:val="005E7914"/>
    <w:rsid w:val="005F253A"/>
    <w:rsid w:val="005F3B9E"/>
    <w:rsid w:val="005F52B3"/>
    <w:rsid w:val="005F7D1B"/>
    <w:rsid w:val="00600110"/>
    <w:rsid w:val="00600878"/>
    <w:rsid w:val="00601D73"/>
    <w:rsid w:val="00602E51"/>
    <w:rsid w:val="00603BFE"/>
    <w:rsid w:val="006049C8"/>
    <w:rsid w:val="00605027"/>
    <w:rsid w:val="0060657D"/>
    <w:rsid w:val="006071BA"/>
    <w:rsid w:val="00612203"/>
    <w:rsid w:val="006132FB"/>
    <w:rsid w:val="00622823"/>
    <w:rsid w:val="00623ACB"/>
    <w:rsid w:val="006253D1"/>
    <w:rsid w:val="00632109"/>
    <w:rsid w:val="00632C87"/>
    <w:rsid w:val="006331B3"/>
    <w:rsid w:val="0063488B"/>
    <w:rsid w:val="00637A48"/>
    <w:rsid w:val="0064409F"/>
    <w:rsid w:val="006519BC"/>
    <w:rsid w:val="00651FB7"/>
    <w:rsid w:val="006537A5"/>
    <w:rsid w:val="00653A66"/>
    <w:rsid w:val="0065446E"/>
    <w:rsid w:val="0065525F"/>
    <w:rsid w:val="00655EB2"/>
    <w:rsid w:val="00661A17"/>
    <w:rsid w:val="006653EB"/>
    <w:rsid w:val="0067443A"/>
    <w:rsid w:val="00675B86"/>
    <w:rsid w:val="00677384"/>
    <w:rsid w:val="006774BF"/>
    <w:rsid w:val="006942ED"/>
    <w:rsid w:val="006944EF"/>
    <w:rsid w:val="006A289F"/>
    <w:rsid w:val="006A33FB"/>
    <w:rsid w:val="006B1FE7"/>
    <w:rsid w:val="006C2C92"/>
    <w:rsid w:val="006C54B8"/>
    <w:rsid w:val="006D2166"/>
    <w:rsid w:val="006D3DF1"/>
    <w:rsid w:val="006D5097"/>
    <w:rsid w:val="006D57F4"/>
    <w:rsid w:val="006D5AC5"/>
    <w:rsid w:val="006D7FD8"/>
    <w:rsid w:val="006E2D9E"/>
    <w:rsid w:val="006E77DD"/>
    <w:rsid w:val="006F0CCF"/>
    <w:rsid w:val="006F2058"/>
    <w:rsid w:val="006F23B1"/>
    <w:rsid w:val="006F4379"/>
    <w:rsid w:val="006F453D"/>
    <w:rsid w:val="006F4C3C"/>
    <w:rsid w:val="006F6AC2"/>
    <w:rsid w:val="007004C7"/>
    <w:rsid w:val="007103D4"/>
    <w:rsid w:val="007149DA"/>
    <w:rsid w:val="007156AF"/>
    <w:rsid w:val="00721EA3"/>
    <w:rsid w:val="007277F5"/>
    <w:rsid w:val="0073056A"/>
    <w:rsid w:val="007314A9"/>
    <w:rsid w:val="00731CA2"/>
    <w:rsid w:val="00734272"/>
    <w:rsid w:val="0073581C"/>
    <w:rsid w:val="00736F40"/>
    <w:rsid w:val="007375D6"/>
    <w:rsid w:val="00741943"/>
    <w:rsid w:val="007420CD"/>
    <w:rsid w:val="007439D3"/>
    <w:rsid w:val="00757C3E"/>
    <w:rsid w:val="00764D64"/>
    <w:rsid w:val="007676C4"/>
    <w:rsid w:val="007723AF"/>
    <w:rsid w:val="00773A43"/>
    <w:rsid w:val="00773EBC"/>
    <w:rsid w:val="007769DF"/>
    <w:rsid w:val="00776BBF"/>
    <w:rsid w:val="007818C3"/>
    <w:rsid w:val="00782910"/>
    <w:rsid w:val="00786193"/>
    <w:rsid w:val="0079158C"/>
    <w:rsid w:val="00794967"/>
    <w:rsid w:val="0079582C"/>
    <w:rsid w:val="00796CB0"/>
    <w:rsid w:val="007972C6"/>
    <w:rsid w:val="007A1F12"/>
    <w:rsid w:val="007A799B"/>
    <w:rsid w:val="007B2FE4"/>
    <w:rsid w:val="007B72F6"/>
    <w:rsid w:val="007B7847"/>
    <w:rsid w:val="007C12A7"/>
    <w:rsid w:val="007C5324"/>
    <w:rsid w:val="007C590E"/>
    <w:rsid w:val="007C7BD7"/>
    <w:rsid w:val="007D1332"/>
    <w:rsid w:val="007D4702"/>
    <w:rsid w:val="007D59DE"/>
    <w:rsid w:val="007D6E9A"/>
    <w:rsid w:val="007D7D18"/>
    <w:rsid w:val="007E6739"/>
    <w:rsid w:val="007E7450"/>
    <w:rsid w:val="007E7A7E"/>
    <w:rsid w:val="007F00B0"/>
    <w:rsid w:val="007F4F8F"/>
    <w:rsid w:val="00800925"/>
    <w:rsid w:val="00800EC0"/>
    <w:rsid w:val="00802736"/>
    <w:rsid w:val="00802B2A"/>
    <w:rsid w:val="00807FF7"/>
    <w:rsid w:val="00810D49"/>
    <w:rsid w:val="00811DAC"/>
    <w:rsid w:val="00817DFF"/>
    <w:rsid w:val="00820352"/>
    <w:rsid w:val="00822CD5"/>
    <w:rsid w:val="00826474"/>
    <w:rsid w:val="008276B2"/>
    <w:rsid w:val="0083223B"/>
    <w:rsid w:val="00832955"/>
    <w:rsid w:val="0083335C"/>
    <w:rsid w:val="00840ED5"/>
    <w:rsid w:val="00844CF2"/>
    <w:rsid w:val="00845952"/>
    <w:rsid w:val="00845EF6"/>
    <w:rsid w:val="00846C3D"/>
    <w:rsid w:val="008470C4"/>
    <w:rsid w:val="0084770A"/>
    <w:rsid w:val="00850642"/>
    <w:rsid w:val="00856CDA"/>
    <w:rsid w:val="008624D8"/>
    <w:rsid w:val="008630BA"/>
    <w:rsid w:val="008643A9"/>
    <w:rsid w:val="00864C50"/>
    <w:rsid w:val="00864FE6"/>
    <w:rsid w:val="008659FD"/>
    <w:rsid w:val="00866F4E"/>
    <w:rsid w:val="00872C30"/>
    <w:rsid w:val="008742BD"/>
    <w:rsid w:val="00876082"/>
    <w:rsid w:val="008805C8"/>
    <w:rsid w:val="00883D58"/>
    <w:rsid w:val="0089054E"/>
    <w:rsid w:val="00894C50"/>
    <w:rsid w:val="00895EF7"/>
    <w:rsid w:val="008966AD"/>
    <w:rsid w:val="00897AB8"/>
    <w:rsid w:val="00897BFB"/>
    <w:rsid w:val="008A1478"/>
    <w:rsid w:val="008A6A9C"/>
    <w:rsid w:val="008A6E02"/>
    <w:rsid w:val="008A6E4D"/>
    <w:rsid w:val="008A793D"/>
    <w:rsid w:val="008A79E4"/>
    <w:rsid w:val="008B0017"/>
    <w:rsid w:val="008B092A"/>
    <w:rsid w:val="008B17FD"/>
    <w:rsid w:val="008B3A8C"/>
    <w:rsid w:val="008B4143"/>
    <w:rsid w:val="008B59D6"/>
    <w:rsid w:val="008B5B85"/>
    <w:rsid w:val="008C155F"/>
    <w:rsid w:val="008C2121"/>
    <w:rsid w:val="008D0B37"/>
    <w:rsid w:val="008D7129"/>
    <w:rsid w:val="008E3652"/>
    <w:rsid w:val="008E3672"/>
    <w:rsid w:val="008E5316"/>
    <w:rsid w:val="008F056B"/>
    <w:rsid w:val="008F0CF5"/>
    <w:rsid w:val="008F45AC"/>
    <w:rsid w:val="008F4EF3"/>
    <w:rsid w:val="008F5430"/>
    <w:rsid w:val="008F6D58"/>
    <w:rsid w:val="008F6EFE"/>
    <w:rsid w:val="008F708E"/>
    <w:rsid w:val="00902118"/>
    <w:rsid w:val="00906016"/>
    <w:rsid w:val="00910949"/>
    <w:rsid w:val="0091195E"/>
    <w:rsid w:val="00913A59"/>
    <w:rsid w:val="0091612C"/>
    <w:rsid w:val="00916652"/>
    <w:rsid w:val="00917A1B"/>
    <w:rsid w:val="00917FE3"/>
    <w:rsid w:val="00920E7A"/>
    <w:rsid w:val="00922515"/>
    <w:rsid w:val="00923D9A"/>
    <w:rsid w:val="009244C1"/>
    <w:rsid w:val="0092487E"/>
    <w:rsid w:val="0092553A"/>
    <w:rsid w:val="00927BA4"/>
    <w:rsid w:val="0093492C"/>
    <w:rsid w:val="009364B7"/>
    <w:rsid w:val="009418D0"/>
    <w:rsid w:val="0095031E"/>
    <w:rsid w:val="00952714"/>
    <w:rsid w:val="00953127"/>
    <w:rsid w:val="00954137"/>
    <w:rsid w:val="00955BF1"/>
    <w:rsid w:val="00957043"/>
    <w:rsid w:val="00957060"/>
    <w:rsid w:val="00960EC6"/>
    <w:rsid w:val="009632A0"/>
    <w:rsid w:val="00964A60"/>
    <w:rsid w:val="0096610B"/>
    <w:rsid w:val="0097113C"/>
    <w:rsid w:val="00974D23"/>
    <w:rsid w:val="00975CBF"/>
    <w:rsid w:val="00980D38"/>
    <w:rsid w:val="00986365"/>
    <w:rsid w:val="009869E9"/>
    <w:rsid w:val="00986BC3"/>
    <w:rsid w:val="00987EEE"/>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6E8E"/>
    <w:rsid w:val="009C74FB"/>
    <w:rsid w:val="009D20E7"/>
    <w:rsid w:val="009D5D4C"/>
    <w:rsid w:val="009E51F8"/>
    <w:rsid w:val="009F23C4"/>
    <w:rsid w:val="009F270C"/>
    <w:rsid w:val="00A018A3"/>
    <w:rsid w:val="00A01B1B"/>
    <w:rsid w:val="00A02E76"/>
    <w:rsid w:val="00A06D66"/>
    <w:rsid w:val="00A073BF"/>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06AF"/>
    <w:rsid w:val="00A52E61"/>
    <w:rsid w:val="00A54D75"/>
    <w:rsid w:val="00A65407"/>
    <w:rsid w:val="00A70107"/>
    <w:rsid w:val="00A72713"/>
    <w:rsid w:val="00A74CAF"/>
    <w:rsid w:val="00A764EF"/>
    <w:rsid w:val="00A8050B"/>
    <w:rsid w:val="00A8077E"/>
    <w:rsid w:val="00A8166B"/>
    <w:rsid w:val="00A85EE5"/>
    <w:rsid w:val="00A90E13"/>
    <w:rsid w:val="00A9143E"/>
    <w:rsid w:val="00A94BD0"/>
    <w:rsid w:val="00A95577"/>
    <w:rsid w:val="00A97E66"/>
    <w:rsid w:val="00AA3279"/>
    <w:rsid w:val="00AB2062"/>
    <w:rsid w:val="00AB3613"/>
    <w:rsid w:val="00AC2372"/>
    <w:rsid w:val="00AC2CB6"/>
    <w:rsid w:val="00AD27C1"/>
    <w:rsid w:val="00AD4F95"/>
    <w:rsid w:val="00AE30F7"/>
    <w:rsid w:val="00AE32DD"/>
    <w:rsid w:val="00AF4311"/>
    <w:rsid w:val="00AF4DBC"/>
    <w:rsid w:val="00AF68D1"/>
    <w:rsid w:val="00B006FD"/>
    <w:rsid w:val="00B0402E"/>
    <w:rsid w:val="00B04DFA"/>
    <w:rsid w:val="00B06D4E"/>
    <w:rsid w:val="00B10DA4"/>
    <w:rsid w:val="00B11CB7"/>
    <w:rsid w:val="00B146E2"/>
    <w:rsid w:val="00B14AB7"/>
    <w:rsid w:val="00B22704"/>
    <w:rsid w:val="00B22AC4"/>
    <w:rsid w:val="00B23F18"/>
    <w:rsid w:val="00B3680C"/>
    <w:rsid w:val="00B36F4E"/>
    <w:rsid w:val="00B37C20"/>
    <w:rsid w:val="00B41E9F"/>
    <w:rsid w:val="00B42449"/>
    <w:rsid w:val="00B50783"/>
    <w:rsid w:val="00B5253D"/>
    <w:rsid w:val="00B611B8"/>
    <w:rsid w:val="00B67BC6"/>
    <w:rsid w:val="00B73EB9"/>
    <w:rsid w:val="00B83E59"/>
    <w:rsid w:val="00B849EE"/>
    <w:rsid w:val="00B84D02"/>
    <w:rsid w:val="00B870E0"/>
    <w:rsid w:val="00B87589"/>
    <w:rsid w:val="00B95032"/>
    <w:rsid w:val="00BA0268"/>
    <w:rsid w:val="00BA1AD8"/>
    <w:rsid w:val="00BA1ADB"/>
    <w:rsid w:val="00BA26B4"/>
    <w:rsid w:val="00BA2940"/>
    <w:rsid w:val="00BA3B1D"/>
    <w:rsid w:val="00BA58E7"/>
    <w:rsid w:val="00BA7B26"/>
    <w:rsid w:val="00BB327F"/>
    <w:rsid w:val="00BB3832"/>
    <w:rsid w:val="00BC6745"/>
    <w:rsid w:val="00BD0913"/>
    <w:rsid w:val="00BD1AAF"/>
    <w:rsid w:val="00BD248B"/>
    <w:rsid w:val="00BD2A8B"/>
    <w:rsid w:val="00BD3E4E"/>
    <w:rsid w:val="00BD5837"/>
    <w:rsid w:val="00BD7BBB"/>
    <w:rsid w:val="00BE43B1"/>
    <w:rsid w:val="00BE5D56"/>
    <w:rsid w:val="00BF11E1"/>
    <w:rsid w:val="00C00590"/>
    <w:rsid w:val="00C013A1"/>
    <w:rsid w:val="00C01580"/>
    <w:rsid w:val="00C105A6"/>
    <w:rsid w:val="00C10C63"/>
    <w:rsid w:val="00C1279C"/>
    <w:rsid w:val="00C14867"/>
    <w:rsid w:val="00C16E53"/>
    <w:rsid w:val="00C17841"/>
    <w:rsid w:val="00C27323"/>
    <w:rsid w:val="00C30B88"/>
    <w:rsid w:val="00C346B4"/>
    <w:rsid w:val="00C411EA"/>
    <w:rsid w:val="00C431B4"/>
    <w:rsid w:val="00C4471C"/>
    <w:rsid w:val="00C458D3"/>
    <w:rsid w:val="00C502CF"/>
    <w:rsid w:val="00C50527"/>
    <w:rsid w:val="00C509E2"/>
    <w:rsid w:val="00C5304F"/>
    <w:rsid w:val="00C5373A"/>
    <w:rsid w:val="00C60544"/>
    <w:rsid w:val="00C6076C"/>
    <w:rsid w:val="00C60DEB"/>
    <w:rsid w:val="00C629E1"/>
    <w:rsid w:val="00C63175"/>
    <w:rsid w:val="00C63CF1"/>
    <w:rsid w:val="00C64634"/>
    <w:rsid w:val="00C651E7"/>
    <w:rsid w:val="00C66322"/>
    <w:rsid w:val="00C6715B"/>
    <w:rsid w:val="00C71D1F"/>
    <w:rsid w:val="00C74C79"/>
    <w:rsid w:val="00C7680C"/>
    <w:rsid w:val="00C81A32"/>
    <w:rsid w:val="00C81B7E"/>
    <w:rsid w:val="00C86C59"/>
    <w:rsid w:val="00C91C5A"/>
    <w:rsid w:val="00C92668"/>
    <w:rsid w:val="00C97083"/>
    <w:rsid w:val="00C97412"/>
    <w:rsid w:val="00CA24BE"/>
    <w:rsid w:val="00CA2A37"/>
    <w:rsid w:val="00CA37AE"/>
    <w:rsid w:val="00CA5CDF"/>
    <w:rsid w:val="00CA631E"/>
    <w:rsid w:val="00CA7A99"/>
    <w:rsid w:val="00CB1A6E"/>
    <w:rsid w:val="00CB1D42"/>
    <w:rsid w:val="00CB45AD"/>
    <w:rsid w:val="00CC30F9"/>
    <w:rsid w:val="00CC378C"/>
    <w:rsid w:val="00CC4BA1"/>
    <w:rsid w:val="00CC58DC"/>
    <w:rsid w:val="00CC6001"/>
    <w:rsid w:val="00CC6ACD"/>
    <w:rsid w:val="00CD299E"/>
    <w:rsid w:val="00CD656B"/>
    <w:rsid w:val="00CD6D9A"/>
    <w:rsid w:val="00CD7F3F"/>
    <w:rsid w:val="00CE038F"/>
    <w:rsid w:val="00CE45FC"/>
    <w:rsid w:val="00CE5C1A"/>
    <w:rsid w:val="00CF2D36"/>
    <w:rsid w:val="00D00E92"/>
    <w:rsid w:val="00D055EC"/>
    <w:rsid w:val="00D11F33"/>
    <w:rsid w:val="00D14208"/>
    <w:rsid w:val="00D1757C"/>
    <w:rsid w:val="00D234B6"/>
    <w:rsid w:val="00D237C3"/>
    <w:rsid w:val="00D254F0"/>
    <w:rsid w:val="00D34D7A"/>
    <w:rsid w:val="00D351EE"/>
    <w:rsid w:val="00D35411"/>
    <w:rsid w:val="00D3669D"/>
    <w:rsid w:val="00D43342"/>
    <w:rsid w:val="00D4394E"/>
    <w:rsid w:val="00D44728"/>
    <w:rsid w:val="00D45237"/>
    <w:rsid w:val="00D52FF5"/>
    <w:rsid w:val="00D55E41"/>
    <w:rsid w:val="00D56088"/>
    <w:rsid w:val="00D562FF"/>
    <w:rsid w:val="00D62468"/>
    <w:rsid w:val="00D628F8"/>
    <w:rsid w:val="00D66910"/>
    <w:rsid w:val="00D6706B"/>
    <w:rsid w:val="00D700D5"/>
    <w:rsid w:val="00D71A33"/>
    <w:rsid w:val="00D73B4D"/>
    <w:rsid w:val="00D7657E"/>
    <w:rsid w:val="00D844B8"/>
    <w:rsid w:val="00D8596D"/>
    <w:rsid w:val="00D92473"/>
    <w:rsid w:val="00DA1B01"/>
    <w:rsid w:val="00DA334F"/>
    <w:rsid w:val="00DA6BE0"/>
    <w:rsid w:val="00DB3AF6"/>
    <w:rsid w:val="00DB4C18"/>
    <w:rsid w:val="00DB53FB"/>
    <w:rsid w:val="00DC4EE2"/>
    <w:rsid w:val="00DD22DD"/>
    <w:rsid w:val="00DD2474"/>
    <w:rsid w:val="00DD6C54"/>
    <w:rsid w:val="00DD6DC0"/>
    <w:rsid w:val="00DD6FB4"/>
    <w:rsid w:val="00DE2F50"/>
    <w:rsid w:val="00DE4269"/>
    <w:rsid w:val="00DE5274"/>
    <w:rsid w:val="00DE621F"/>
    <w:rsid w:val="00DE62C8"/>
    <w:rsid w:val="00DE6B8B"/>
    <w:rsid w:val="00DF0216"/>
    <w:rsid w:val="00DF2160"/>
    <w:rsid w:val="00DF386E"/>
    <w:rsid w:val="00DF56C9"/>
    <w:rsid w:val="00DF6AC4"/>
    <w:rsid w:val="00E004F0"/>
    <w:rsid w:val="00E007EC"/>
    <w:rsid w:val="00E01158"/>
    <w:rsid w:val="00E0449B"/>
    <w:rsid w:val="00E04E64"/>
    <w:rsid w:val="00E1077F"/>
    <w:rsid w:val="00E119AC"/>
    <w:rsid w:val="00E2421E"/>
    <w:rsid w:val="00E25A1C"/>
    <w:rsid w:val="00E30318"/>
    <w:rsid w:val="00E32708"/>
    <w:rsid w:val="00E363BC"/>
    <w:rsid w:val="00E37034"/>
    <w:rsid w:val="00E37782"/>
    <w:rsid w:val="00E44022"/>
    <w:rsid w:val="00E442EC"/>
    <w:rsid w:val="00E545B2"/>
    <w:rsid w:val="00E651B5"/>
    <w:rsid w:val="00E70E56"/>
    <w:rsid w:val="00E75CE5"/>
    <w:rsid w:val="00E768E8"/>
    <w:rsid w:val="00E8055E"/>
    <w:rsid w:val="00E82195"/>
    <w:rsid w:val="00E83362"/>
    <w:rsid w:val="00E87962"/>
    <w:rsid w:val="00E90D36"/>
    <w:rsid w:val="00E913D9"/>
    <w:rsid w:val="00E91553"/>
    <w:rsid w:val="00E94AAC"/>
    <w:rsid w:val="00EA186A"/>
    <w:rsid w:val="00EA434A"/>
    <w:rsid w:val="00EA5418"/>
    <w:rsid w:val="00EA5AD0"/>
    <w:rsid w:val="00EA6BE9"/>
    <w:rsid w:val="00EB07DC"/>
    <w:rsid w:val="00EB3D8F"/>
    <w:rsid w:val="00EC1EBD"/>
    <w:rsid w:val="00EC56A4"/>
    <w:rsid w:val="00EC5C3D"/>
    <w:rsid w:val="00EC61A6"/>
    <w:rsid w:val="00EC7901"/>
    <w:rsid w:val="00ED0858"/>
    <w:rsid w:val="00ED319C"/>
    <w:rsid w:val="00ED518E"/>
    <w:rsid w:val="00ED6126"/>
    <w:rsid w:val="00ED6894"/>
    <w:rsid w:val="00ED79E2"/>
    <w:rsid w:val="00EE04FF"/>
    <w:rsid w:val="00EE0F4C"/>
    <w:rsid w:val="00EE2F63"/>
    <w:rsid w:val="00EE46FB"/>
    <w:rsid w:val="00EF62F8"/>
    <w:rsid w:val="00F011BD"/>
    <w:rsid w:val="00F016BA"/>
    <w:rsid w:val="00F01B31"/>
    <w:rsid w:val="00F16A95"/>
    <w:rsid w:val="00F177C0"/>
    <w:rsid w:val="00F17C0D"/>
    <w:rsid w:val="00F20F31"/>
    <w:rsid w:val="00F2612E"/>
    <w:rsid w:val="00F30A85"/>
    <w:rsid w:val="00F32EC8"/>
    <w:rsid w:val="00F34C98"/>
    <w:rsid w:val="00F364E9"/>
    <w:rsid w:val="00F40A84"/>
    <w:rsid w:val="00F424B7"/>
    <w:rsid w:val="00F53A3B"/>
    <w:rsid w:val="00F54856"/>
    <w:rsid w:val="00F54920"/>
    <w:rsid w:val="00F56F0F"/>
    <w:rsid w:val="00F5748D"/>
    <w:rsid w:val="00F600C9"/>
    <w:rsid w:val="00F6319C"/>
    <w:rsid w:val="00F6438A"/>
    <w:rsid w:val="00F70304"/>
    <w:rsid w:val="00F72CE6"/>
    <w:rsid w:val="00F755D0"/>
    <w:rsid w:val="00F77058"/>
    <w:rsid w:val="00F775B3"/>
    <w:rsid w:val="00F8125E"/>
    <w:rsid w:val="00F82E07"/>
    <w:rsid w:val="00F8797F"/>
    <w:rsid w:val="00F9019F"/>
    <w:rsid w:val="00F94878"/>
    <w:rsid w:val="00F95FC8"/>
    <w:rsid w:val="00FA56B5"/>
    <w:rsid w:val="00FA7A93"/>
    <w:rsid w:val="00FB1010"/>
    <w:rsid w:val="00FB1547"/>
    <w:rsid w:val="00FB1A7D"/>
    <w:rsid w:val="00FB1D4B"/>
    <w:rsid w:val="00FB4770"/>
    <w:rsid w:val="00FB6E0E"/>
    <w:rsid w:val="00FC07F4"/>
    <w:rsid w:val="00FC23D9"/>
    <w:rsid w:val="00FC2997"/>
    <w:rsid w:val="00FC3802"/>
    <w:rsid w:val="00FD5A63"/>
    <w:rsid w:val="00FD5FC8"/>
    <w:rsid w:val="00FE0968"/>
    <w:rsid w:val="00FE1848"/>
    <w:rsid w:val="00FE4810"/>
    <w:rsid w:val="00FE6B37"/>
    <w:rsid w:val="00FE7EF5"/>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es.wikipedia.org/wiki/Hidalgo_%28M%C3%A9xico%29" TargetMode="External"/><Relationship Id="rId21" Type="http://schemas.openxmlformats.org/officeDocument/2006/relationships/package" Target="embeddings/Hoja_de_c_lculo_de_Microsoft_Excel7.xlsx"/><Relationship Id="rId34" Type="http://schemas.openxmlformats.org/officeDocument/2006/relationships/hyperlink" Target="http://es.wikipedia.org/wiki/M%C3%A9xico"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hyperlink" Target="http://es.wikipedia.org/wiki/Puebla"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png"/><Relationship Id="rId36" Type="http://schemas.openxmlformats.org/officeDocument/2006/relationships/hyperlink" Target="http://es.wikipedia.org/wiki/Antonio_de_Mendoza" TargetMode="Externa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3.png"/><Relationship Id="rId35" Type="http://schemas.openxmlformats.org/officeDocument/2006/relationships/hyperlink" Target="http://es.wikipedia.org/wiki/Nueva_Espa%C3%B1a" TargetMode="External"/><Relationship Id="rId43"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hyperlink" Target="http://es.wikipedia.org/wiki/Organizaci%C3%B3n_territorial_de_M%C3%A9xico" TargetMode="External"/><Relationship Id="rId38" Type="http://schemas.openxmlformats.org/officeDocument/2006/relationships/hyperlink" Target="http://es.wikipedia.org/wiki/Estado_de_M%C3%A9xico" TargetMode="External"/><Relationship Id="rId20" Type="http://schemas.openxmlformats.org/officeDocument/2006/relationships/image" Target="media/image7.emf"/><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41872-269B-4A0E-85DF-72DCEB0EC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9456</Words>
  <Characters>52012</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61346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Windows User</cp:lastModifiedBy>
  <cp:revision>3</cp:revision>
  <cp:lastPrinted>2019-07-10T20:43:00Z</cp:lastPrinted>
  <dcterms:created xsi:type="dcterms:W3CDTF">2019-07-24T23:47:00Z</dcterms:created>
  <dcterms:modified xsi:type="dcterms:W3CDTF">2019-07-25T00:02:00Z</dcterms:modified>
</cp:coreProperties>
</file>