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3C" w:rsidRDefault="00E141E1"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9.75pt;margin-top:15.75pt;width:748.75pt;height:447.85pt;z-index:251659264">
            <v:imagedata r:id="rId8" o:title=""/>
            <w10:wrap type="square" side="right"/>
          </v:shape>
          <o:OLEObject Type="Embed" ProgID="Excel.Sheet.12" ShapeID="_x0000_s1032" DrawAspect="Content" ObjectID="_1617709927" r:id="rId9"/>
        </w:object>
      </w:r>
      <w:r w:rsidR="00104013">
        <w:br w:type="textWrapping" w:clear="all"/>
      </w:r>
      <w:bookmarkStart w:id="0" w:name="_MON_1470805999"/>
      <w:bookmarkEnd w:id="0"/>
      <w:r w:rsidR="00AC343E">
        <w:object w:dxaOrig="25131" w:dyaOrig="18908">
          <v:shape id="_x0000_i1025" type="#_x0000_t75" style="width:703.5pt;height:460.5pt" o:ole="">
            <v:imagedata r:id="rId10" o:title=""/>
          </v:shape>
          <o:OLEObject Type="Embed" ProgID="Excel.Sheet.12" ShapeID="_x0000_i1025" DrawAspect="Content" ObjectID="_1617709921" r:id="rId11"/>
        </w:object>
      </w:r>
    </w:p>
    <w:p w:rsidR="003E40E0" w:rsidRDefault="003E40E0" w:rsidP="00CE7892"/>
    <w:bookmarkStart w:id="1" w:name="_MON_1470806992"/>
    <w:bookmarkEnd w:id="1"/>
    <w:p w:rsidR="00372F40" w:rsidRDefault="004F7C1C" w:rsidP="003E7FD0">
      <w:pPr>
        <w:jc w:val="center"/>
      </w:pPr>
      <w:r>
        <w:object w:dxaOrig="21974" w:dyaOrig="15462">
          <v:shape id="_x0000_i1026" type="#_x0000_t75" style="width:678pt;height:416.25pt" o:ole="">
            <v:imagedata r:id="rId12" o:title=""/>
          </v:shape>
          <o:OLEObject Type="Embed" ProgID="Excel.Sheet.12" ShapeID="_x0000_i1026" DrawAspect="Content" ObjectID="_1617709922" r:id="rId13"/>
        </w:object>
      </w:r>
    </w:p>
    <w:bookmarkStart w:id="2" w:name="_MON_1470807348"/>
    <w:bookmarkEnd w:id="2"/>
    <w:p w:rsidR="00372F40" w:rsidRDefault="004F7C1C" w:rsidP="008E3652">
      <w:pPr>
        <w:jc w:val="center"/>
      </w:pPr>
      <w:r>
        <w:object w:dxaOrig="17696" w:dyaOrig="12389">
          <v:shape id="_x0000_i1027" type="#_x0000_t75" style="width:669pt;height:450.75pt" o:ole="">
            <v:imagedata r:id="rId14" o:title=""/>
          </v:shape>
          <o:OLEObject Type="Embed" ProgID="Excel.Sheet.12" ShapeID="_x0000_i1027" DrawAspect="Content" ObjectID="_1617709923" r:id="rId15"/>
        </w:object>
      </w:r>
    </w:p>
    <w:bookmarkStart w:id="3" w:name="_MON_1470809138"/>
    <w:bookmarkEnd w:id="3"/>
    <w:p w:rsidR="00372F40" w:rsidRDefault="004F7C1C" w:rsidP="00522632">
      <w:pPr>
        <w:jc w:val="center"/>
      </w:pPr>
      <w:r>
        <w:object w:dxaOrig="17789" w:dyaOrig="12235">
          <v:shape id="_x0000_i1028" type="#_x0000_t75" style="width:660pt;height:431.25pt" o:ole="">
            <v:imagedata r:id="rId16" o:title=""/>
          </v:shape>
          <o:OLEObject Type="Embed" ProgID="Excel.Sheet.12" ShapeID="_x0000_i1028" DrawAspect="Content" ObjectID="_1617709924" r:id="rId17"/>
        </w:object>
      </w:r>
    </w:p>
    <w:p w:rsidR="00372F40" w:rsidRDefault="00372F40" w:rsidP="002A70B3">
      <w:pPr>
        <w:tabs>
          <w:tab w:val="left" w:pos="2430"/>
        </w:tabs>
      </w:pPr>
    </w:p>
    <w:bookmarkStart w:id="4" w:name="_MON_1470814596"/>
    <w:bookmarkEnd w:id="4"/>
    <w:p w:rsidR="00372F40" w:rsidRDefault="004F7C1C" w:rsidP="00254A8B">
      <w:pPr>
        <w:tabs>
          <w:tab w:val="left" w:pos="2430"/>
        </w:tabs>
        <w:jc w:val="center"/>
      </w:pPr>
      <w:r>
        <w:object w:dxaOrig="19498" w:dyaOrig="12948">
          <v:shape id="_x0000_i1029" type="#_x0000_t75" style="width:714pt;height:471.75pt" o:ole="">
            <v:imagedata r:id="rId18" o:title=""/>
          </v:shape>
          <o:OLEObject Type="Embed" ProgID="Excel.Sheet.12" ShapeID="_x0000_i1029" DrawAspect="Content" ObjectID="_1617709925" r:id="rId19"/>
        </w:object>
      </w:r>
      <w:bookmarkStart w:id="5" w:name="_MON_1470810366"/>
      <w:bookmarkEnd w:id="5"/>
      <w:r w:rsidR="00C36BBD">
        <w:object w:dxaOrig="25898" w:dyaOrig="16661">
          <v:shape id="_x0000_i1030" type="#_x0000_t75" style="width:687.75pt;height:444.75pt" o:ole="">
            <v:imagedata r:id="rId20" o:title=""/>
          </v:shape>
          <o:OLEObject Type="Embed" ProgID="Excel.Sheet.12" ShapeID="_x0000_i1030" DrawAspect="Content" ObjectID="_1617709926" r:id="rId21"/>
        </w:object>
      </w:r>
    </w:p>
    <w:p w:rsidR="0013656E" w:rsidRDefault="0013656E" w:rsidP="00254A8B">
      <w:pPr>
        <w:tabs>
          <w:tab w:val="left" w:pos="2430"/>
        </w:tabs>
        <w:jc w:val="center"/>
      </w:pPr>
    </w:p>
    <w:p w:rsidR="0013656E" w:rsidRPr="00463DC9" w:rsidRDefault="0013656E" w:rsidP="0013656E">
      <w:pPr>
        <w:jc w:val="center"/>
        <w:rPr>
          <w:rFonts w:ascii="Arial" w:hAnsi="Arial" w:cs="Arial"/>
          <w:sz w:val="18"/>
          <w:szCs w:val="18"/>
        </w:rPr>
      </w:pPr>
      <w:r w:rsidRPr="00463DC9">
        <w:rPr>
          <w:rFonts w:ascii="Arial" w:hAnsi="Arial" w:cs="Arial"/>
          <w:sz w:val="18"/>
          <w:szCs w:val="18"/>
        </w:rPr>
        <w:t>Informe de Pasivos Contingentes</w:t>
      </w:r>
    </w:p>
    <w:p w:rsidR="0013656E" w:rsidRPr="00463DC9" w:rsidRDefault="0013656E" w:rsidP="0013656E">
      <w:pPr>
        <w:rPr>
          <w:rFonts w:ascii="Arial" w:hAnsi="Arial" w:cs="Arial"/>
          <w:sz w:val="18"/>
          <w:szCs w:val="18"/>
        </w:rPr>
      </w:pPr>
    </w:p>
    <w:p w:rsidR="0013656E" w:rsidRPr="00B61512" w:rsidRDefault="0013656E" w:rsidP="0013656E">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31 de marzo de 2019</w:t>
      </w:r>
      <w:r w:rsidRPr="00B61512">
        <w:rPr>
          <w:rFonts w:ascii="Arial" w:hAnsi="Arial" w:cs="Arial"/>
          <w:sz w:val="18"/>
          <w:szCs w:val="18"/>
        </w:rPr>
        <w:t>.</w:t>
      </w:r>
    </w:p>
    <w:p w:rsidR="0013656E" w:rsidRDefault="0013656E" w:rsidP="0013656E">
      <w:pPr>
        <w:jc w:val="center"/>
        <w:rPr>
          <w:rFonts w:ascii="Arial" w:hAnsi="Arial" w:cs="Arial"/>
          <w:sz w:val="18"/>
          <w:szCs w:val="18"/>
        </w:rPr>
      </w:pPr>
    </w:p>
    <w:p w:rsidR="0013656E" w:rsidRPr="00B61512" w:rsidRDefault="0013656E" w:rsidP="0013656E">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13656E" w:rsidRPr="00764E9A" w:rsidRDefault="0013656E" w:rsidP="0013656E">
      <w:pPr>
        <w:spacing w:line="360" w:lineRule="auto"/>
        <w:jc w:val="both"/>
        <w:rPr>
          <w:rFonts w:ascii="Arial" w:hAnsi="Arial" w:cs="Arial"/>
          <w:b/>
          <w:sz w:val="18"/>
          <w:szCs w:val="18"/>
        </w:rPr>
      </w:pPr>
    </w:p>
    <w:p w:rsidR="0013656E" w:rsidRDefault="0013656E" w:rsidP="0013656E">
      <w:pPr>
        <w:tabs>
          <w:tab w:val="left" w:pos="4590"/>
        </w:tabs>
        <w:spacing w:line="360" w:lineRule="auto"/>
        <w:jc w:val="both"/>
        <w:rPr>
          <w:rFonts w:ascii="Arial" w:hAnsi="Arial" w:cs="Arial"/>
          <w:sz w:val="18"/>
          <w:szCs w:val="18"/>
        </w:rPr>
      </w:pPr>
      <w:r>
        <w:rPr>
          <w:rFonts w:ascii="Arial" w:hAnsi="Arial" w:cs="Arial"/>
          <w:sz w:val="18"/>
          <w:szCs w:val="18"/>
        </w:rPr>
        <w:tab/>
      </w:r>
    </w:p>
    <w:p w:rsidR="0013656E" w:rsidRDefault="0013656E" w:rsidP="0013656E">
      <w:pPr>
        <w:spacing w:line="360" w:lineRule="auto"/>
        <w:jc w:val="both"/>
        <w:rPr>
          <w:rFonts w:ascii="Arial" w:hAnsi="Arial" w:cs="Arial"/>
          <w:sz w:val="18"/>
          <w:szCs w:val="18"/>
        </w:rPr>
      </w:pPr>
    </w:p>
    <w:p w:rsidR="0013656E" w:rsidRDefault="0013656E" w:rsidP="0013656E">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13656E" w:rsidRDefault="0013656E" w:rsidP="0013656E">
      <w:pPr>
        <w:spacing w:line="240" w:lineRule="auto"/>
        <w:jc w:val="both"/>
        <w:rPr>
          <w:rFonts w:ascii="Arial" w:hAnsi="Arial" w:cs="Arial"/>
          <w:sz w:val="18"/>
          <w:szCs w:val="18"/>
        </w:rPr>
      </w:pPr>
      <w:r>
        <w:rPr>
          <w:rFonts w:ascii="Arial" w:hAnsi="Arial" w:cs="Arial"/>
          <w:sz w:val="18"/>
          <w:szCs w:val="18"/>
        </w:rPr>
        <w:t xml:space="preserve">                                                          Lic. Omar Fdo. Saucedo Macías Valadez                       Lic. Roberto Carlos Moran Pérez</w:t>
      </w:r>
    </w:p>
    <w:p w:rsidR="0013656E" w:rsidRDefault="0013656E" w:rsidP="0013656E">
      <w:pPr>
        <w:spacing w:line="240" w:lineRule="auto"/>
        <w:ind w:left="2829" w:firstLine="709"/>
        <w:jc w:val="both"/>
        <w:rPr>
          <w:rFonts w:ascii="Arial" w:hAnsi="Arial" w:cs="Arial"/>
          <w:color w:val="FF0000"/>
          <w:sz w:val="18"/>
          <w:szCs w:val="18"/>
        </w:rPr>
      </w:pPr>
      <w:r>
        <w:rPr>
          <w:rFonts w:ascii="Arial" w:hAnsi="Arial" w:cs="Arial"/>
          <w:sz w:val="18"/>
          <w:szCs w:val="18"/>
        </w:rPr>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p>
    <w:p w:rsidR="0013656E" w:rsidRPr="0075249B" w:rsidRDefault="0013656E" w:rsidP="0013656E">
      <w:pPr>
        <w:pStyle w:val="Texto"/>
        <w:spacing w:after="0" w:line="240" w:lineRule="exact"/>
        <w:jc w:val="center"/>
        <w:rPr>
          <w:rFonts w:ascii="Soberana Sans Light" w:hAnsi="Soberana Sans Light"/>
          <w:b/>
          <w:sz w:val="22"/>
          <w:szCs w:val="22"/>
          <w:lang w:val="es-MX"/>
        </w:rPr>
      </w:pPr>
    </w:p>
    <w:p w:rsidR="0013656E" w:rsidRDefault="0013656E" w:rsidP="0013656E">
      <w:pPr>
        <w:rPr>
          <w:rFonts w:ascii="Soberana Sans Light" w:eastAsia="Times New Roman" w:hAnsi="Soberana Sans Light" w:cs="Arial"/>
          <w:b/>
          <w:lang w:val="es-ES" w:eastAsia="es-ES"/>
        </w:rPr>
      </w:pPr>
      <w:r>
        <w:rPr>
          <w:rFonts w:ascii="Soberana Sans Light" w:hAnsi="Soberana Sans Light"/>
          <w:b/>
        </w:rPr>
        <w:br w:type="page"/>
      </w:r>
    </w:p>
    <w:p w:rsidR="0013656E" w:rsidRDefault="0013656E" w:rsidP="0013656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13656E" w:rsidRDefault="0013656E" w:rsidP="0013656E">
      <w:pPr>
        <w:pStyle w:val="Texto"/>
        <w:spacing w:after="0" w:line="240" w:lineRule="exact"/>
        <w:jc w:val="center"/>
        <w:rPr>
          <w:rFonts w:ascii="Soberana Sans Light" w:hAnsi="Soberana Sans Light"/>
          <w:b/>
          <w:sz w:val="22"/>
          <w:szCs w:val="22"/>
        </w:rPr>
      </w:pPr>
    </w:p>
    <w:p w:rsidR="0013656E" w:rsidRDefault="0013656E" w:rsidP="0013656E">
      <w:pPr>
        <w:pStyle w:val="Texto"/>
        <w:spacing w:after="0" w:line="240" w:lineRule="exact"/>
        <w:jc w:val="center"/>
        <w:rPr>
          <w:rFonts w:ascii="Soberana Sans Light" w:hAnsi="Soberana Sans Light"/>
          <w:b/>
          <w:sz w:val="22"/>
          <w:szCs w:val="22"/>
        </w:rPr>
      </w:pPr>
    </w:p>
    <w:p w:rsidR="0013656E" w:rsidRPr="00540418" w:rsidRDefault="0013656E" w:rsidP="0013656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13656E" w:rsidRPr="00F9095E" w:rsidRDefault="0013656E" w:rsidP="0013656E">
      <w:pPr>
        <w:pStyle w:val="INCISO"/>
        <w:spacing w:after="0" w:line="240" w:lineRule="exact"/>
        <w:ind w:left="648"/>
        <w:rPr>
          <w:b/>
          <w:smallCaps/>
        </w:rPr>
      </w:pPr>
      <w:r w:rsidRPr="00F9095E">
        <w:rPr>
          <w:b/>
          <w:smallCaps/>
        </w:rPr>
        <w:t>I)</w:t>
      </w:r>
      <w:r w:rsidRPr="00F9095E">
        <w:rPr>
          <w:b/>
          <w:smallCaps/>
        </w:rPr>
        <w:tab/>
        <w:t>Notas al Estado de Situación Financiera</w:t>
      </w:r>
    </w:p>
    <w:p w:rsidR="0013656E" w:rsidRPr="00F9095E" w:rsidRDefault="0013656E" w:rsidP="0013656E">
      <w:pPr>
        <w:pStyle w:val="Texto"/>
        <w:spacing w:after="0" w:line="240" w:lineRule="exact"/>
        <w:rPr>
          <w:b/>
          <w:szCs w:val="18"/>
          <w:lang w:val="es-MX"/>
        </w:rPr>
      </w:pPr>
    </w:p>
    <w:p w:rsidR="0013656E" w:rsidRPr="00F9095E" w:rsidRDefault="0013656E" w:rsidP="0013656E">
      <w:pPr>
        <w:pStyle w:val="Texto"/>
        <w:spacing w:after="0" w:line="360" w:lineRule="auto"/>
        <w:rPr>
          <w:b/>
          <w:szCs w:val="18"/>
          <w:lang w:val="es-MX"/>
        </w:rPr>
      </w:pPr>
      <w:r w:rsidRPr="00F9095E">
        <w:rPr>
          <w:b/>
          <w:szCs w:val="18"/>
          <w:lang w:val="es-MX"/>
        </w:rPr>
        <w:t>Activo</w:t>
      </w:r>
    </w:p>
    <w:p w:rsidR="0013656E" w:rsidRPr="00F9095E" w:rsidRDefault="0013656E" w:rsidP="0013656E">
      <w:pPr>
        <w:pStyle w:val="Texto"/>
        <w:spacing w:after="0" w:line="360" w:lineRule="auto"/>
        <w:ind w:firstLine="706"/>
        <w:rPr>
          <w:b/>
          <w:szCs w:val="18"/>
          <w:lang w:val="es-MX"/>
        </w:rPr>
      </w:pPr>
      <w:r w:rsidRPr="00F9095E">
        <w:rPr>
          <w:b/>
          <w:szCs w:val="18"/>
          <w:lang w:val="es-MX"/>
        </w:rPr>
        <w:t>Efectivo y Equivalentes</w:t>
      </w:r>
    </w:p>
    <w:p w:rsidR="0013656E" w:rsidRDefault="0013656E" w:rsidP="0013656E">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13656E" w:rsidRDefault="0013656E" w:rsidP="0013656E">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13656E" w:rsidRPr="00E81FA6" w:rsidTr="00134FDB">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13656E" w:rsidRPr="00E81FA6" w:rsidRDefault="0013656E" w:rsidP="00134FDB">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13656E" w:rsidRPr="00E81FA6" w:rsidRDefault="0013656E" w:rsidP="00134FDB">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13656E" w:rsidRPr="00E81FA6" w:rsidRDefault="0013656E" w:rsidP="00134FDB">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13656E" w:rsidRPr="00E81FA6" w:rsidTr="00134FDB">
        <w:trPr>
          <w:trHeight w:val="255"/>
        </w:trPr>
        <w:tc>
          <w:tcPr>
            <w:tcW w:w="1800" w:type="dxa"/>
            <w:vMerge/>
            <w:tcBorders>
              <w:top w:val="nil"/>
              <w:left w:val="nil"/>
              <w:bottom w:val="nil"/>
              <w:right w:val="nil"/>
            </w:tcBorders>
            <w:shd w:val="clear" w:color="auto" w:fill="632423" w:themeFill="accent2" w:themeFillShade="80"/>
            <w:vAlign w:val="center"/>
            <w:hideMark/>
          </w:tcPr>
          <w:p w:rsidR="0013656E" w:rsidRPr="00E81FA6" w:rsidRDefault="0013656E" w:rsidP="00134FDB">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13656E" w:rsidRPr="00E81FA6" w:rsidRDefault="0013656E" w:rsidP="00134FDB">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13656E" w:rsidRPr="00E81FA6" w:rsidRDefault="0013656E" w:rsidP="00134FDB">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13656E" w:rsidRPr="00E81FA6" w:rsidRDefault="0013656E" w:rsidP="00134FDB">
            <w:pPr>
              <w:spacing w:after="0" w:line="240" w:lineRule="auto"/>
              <w:rPr>
                <w:rFonts w:ascii="Arial" w:eastAsia="Times New Roman" w:hAnsi="Arial" w:cs="Arial"/>
                <w:b/>
                <w:bCs/>
                <w:color w:val="FFFFFF"/>
                <w:sz w:val="18"/>
                <w:szCs w:val="18"/>
                <w:lang w:eastAsia="es-MX"/>
              </w:rPr>
            </w:pPr>
          </w:p>
        </w:tc>
      </w:tr>
      <w:tr w:rsidR="0013656E" w:rsidRPr="00E81FA6" w:rsidTr="00134FDB">
        <w:trPr>
          <w:trHeight w:val="150"/>
        </w:trPr>
        <w:tc>
          <w:tcPr>
            <w:tcW w:w="1800" w:type="dxa"/>
            <w:vMerge/>
            <w:tcBorders>
              <w:top w:val="nil"/>
              <w:left w:val="nil"/>
              <w:bottom w:val="nil"/>
              <w:right w:val="nil"/>
            </w:tcBorders>
            <w:shd w:val="clear" w:color="auto" w:fill="632423" w:themeFill="accent2" w:themeFillShade="80"/>
            <w:vAlign w:val="center"/>
            <w:hideMark/>
          </w:tcPr>
          <w:p w:rsidR="0013656E" w:rsidRPr="00E81FA6" w:rsidRDefault="0013656E" w:rsidP="00134FDB">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13656E" w:rsidRPr="00E81FA6" w:rsidRDefault="0013656E" w:rsidP="00134FDB">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13656E" w:rsidRPr="00E81FA6" w:rsidRDefault="0013656E" w:rsidP="00134FDB">
            <w:pPr>
              <w:spacing w:after="0" w:line="240" w:lineRule="auto"/>
              <w:rPr>
                <w:rFonts w:ascii="Arial" w:eastAsia="Times New Roman" w:hAnsi="Arial" w:cs="Arial"/>
                <w:b/>
                <w:bCs/>
                <w:color w:val="FFFFFF"/>
                <w:sz w:val="18"/>
                <w:szCs w:val="18"/>
                <w:lang w:eastAsia="es-MX"/>
              </w:rPr>
            </w:pP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right"/>
              <w:rPr>
                <w:rFonts w:ascii="Arial" w:eastAsia="Times New Roman" w:hAnsi="Arial" w:cs="Arial"/>
                <w:sz w:val="18"/>
                <w:szCs w:val="18"/>
                <w:lang w:eastAsia="es-MX"/>
              </w:rPr>
            </w:pP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5,366,834</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3,382,746</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56,251,234</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35,115,916</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44,055</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26,640,080</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p>
          <w:p w:rsidR="0013656E"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41,066,800</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right"/>
              <w:rPr>
                <w:rFonts w:ascii="Arial" w:eastAsia="Times New Roman" w:hAnsi="Arial" w:cs="Arial"/>
                <w:sz w:val="18"/>
                <w:szCs w:val="18"/>
                <w:lang w:eastAsia="es-MX"/>
              </w:rPr>
            </w:pP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5,506,987</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C47B36" w:rsidRDefault="0013656E" w:rsidP="00134FDB">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13656E" w:rsidRPr="00E81FA6" w:rsidTr="00134FDB">
        <w:trPr>
          <w:trHeight w:val="375"/>
        </w:trPr>
        <w:tc>
          <w:tcPr>
            <w:tcW w:w="180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13656E" w:rsidRPr="00E81FA6" w:rsidRDefault="0013656E" w:rsidP="00134FDB">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173,374,652</w:t>
            </w:r>
          </w:p>
        </w:tc>
      </w:tr>
    </w:tbl>
    <w:p w:rsidR="0013656E" w:rsidRDefault="0013656E" w:rsidP="0013656E">
      <w:pPr>
        <w:pStyle w:val="ROMANOS"/>
        <w:spacing w:after="0" w:line="360" w:lineRule="auto"/>
        <w:ind w:left="724" w:firstLine="0"/>
        <w:rPr>
          <w:lang w:val="es-MX"/>
        </w:rPr>
      </w:pPr>
      <w:r>
        <w:rPr>
          <w:lang w:val="es-MX"/>
        </w:rPr>
        <w:br w:type="textWrapping" w:clear="all"/>
      </w:r>
    </w:p>
    <w:p w:rsidR="0013656E" w:rsidRPr="005F2903" w:rsidRDefault="0013656E" w:rsidP="0013656E">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1</w:t>
      </w:r>
      <w:r w:rsidRPr="005F2903">
        <w:rPr>
          <w:rFonts w:ascii="Arial" w:hAnsi="Arial" w:cs="Arial"/>
          <w:sz w:val="18"/>
          <w:szCs w:val="18"/>
        </w:rPr>
        <w:t xml:space="preserve"> de </w:t>
      </w:r>
      <w:r>
        <w:rPr>
          <w:rFonts w:ascii="Arial" w:hAnsi="Arial" w:cs="Arial"/>
          <w:sz w:val="18"/>
          <w:szCs w:val="18"/>
        </w:rPr>
        <w:t>marzo</w:t>
      </w:r>
      <w:r w:rsidRPr="005F2903">
        <w:rPr>
          <w:rFonts w:ascii="Arial" w:hAnsi="Arial" w:cs="Arial"/>
          <w:sz w:val="18"/>
          <w:szCs w:val="18"/>
        </w:rPr>
        <w:t xml:space="preserve"> 201</w:t>
      </w:r>
      <w:r>
        <w:rPr>
          <w:rFonts w:ascii="Arial" w:hAnsi="Arial" w:cs="Arial"/>
          <w:sz w:val="18"/>
          <w:szCs w:val="18"/>
        </w:rPr>
        <w:t>9</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13656E" w:rsidRDefault="0013656E" w:rsidP="0013656E">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13656E" w:rsidRPr="00F9095E" w:rsidRDefault="0013656E" w:rsidP="0013656E">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Se considera como activo circulante el monto de los créditos verdes otorgados y como activo no circulante los créditos rojos e hipotecarios del nuevo esquema crediticio, así como los que se encuentran en proceso de recuperación del esquema anterior.</w:t>
      </w:r>
    </w:p>
    <w:p w:rsidR="0013656E" w:rsidRDefault="0013656E" w:rsidP="0013656E">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13656E" w:rsidRPr="00F9095E" w:rsidRDefault="0013656E" w:rsidP="0013656E">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13656E" w:rsidRPr="00EF640D" w:rsidTr="00134FDB">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13656E" w:rsidRPr="00EF640D" w:rsidRDefault="0013656E" w:rsidP="00134FDB">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13656E" w:rsidRPr="00EF640D" w:rsidRDefault="0013656E" w:rsidP="00134FDB">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13656E" w:rsidRPr="00EF640D" w:rsidTr="00134FDB">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13656E" w:rsidRPr="00EF640D" w:rsidRDefault="0013656E" w:rsidP="00134FDB">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13656E" w:rsidRPr="00EF640D" w:rsidRDefault="0013656E" w:rsidP="00134FDB">
            <w:pPr>
              <w:spacing w:after="0" w:line="240" w:lineRule="auto"/>
              <w:rPr>
                <w:rFonts w:ascii="Arial" w:eastAsia="Times New Roman" w:hAnsi="Arial" w:cs="Arial"/>
                <w:b/>
                <w:bCs/>
                <w:color w:val="FFFFFF"/>
                <w:sz w:val="18"/>
                <w:szCs w:val="18"/>
                <w:lang w:eastAsia="es-MX"/>
              </w:rPr>
            </w:pPr>
          </w:p>
        </w:tc>
      </w:tr>
      <w:tr w:rsidR="0013656E" w:rsidRPr="00EF640D" w:rsidTr="00134FDB">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13656E" w:rsidRPr="00EF640D" w:rsidRDefault="0013656E" w:rsidP="00134FDB">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13656E" w:rsidRPr="00EF640D" w:rsidRDefault="0013656E" w:rsidP="00134FDB">
            <w:pPr>
              <w:spacing w:after="0" w:line="240" w:lineRule="auto"/>
              <w:rPr>
                <w:rFonts w:ascii="Arial" w:eastAsia="Times New Roman" w:hAnsi="Arial" w:cs="Arial"/>
                <w:b/>
                <w:bCs/>
                <w:color w:val="FFFFFF"/>
                <w:sz w:val="18"/>
                <w:szCs w:val="18"/>
                <w:lang w:eastAsia="es-MX"/>
              </w:rPr>
            </w:pPr>
          </w:p>
        </w:tc>
      </w:tr>
      <w:tr w:rsidR="0013656E" w:rsidRPr="00EF640D" w:rsidTr="00134FDB">
        <w:trPr>
          <w:trHeight w:val="375"/>
          <w:jc w:val="center"/>
        </w:trPr>
        <w:tc>
          <w:tcPr>
            <w:tcW w:w="5284" w:type="dxa"/>
            <w:gridSpan w:val="2"/>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B93B80" w:rsidRDefault="0013656E" w:rsidP="00134FD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12,645,558.28</w:t>
            </w:r>
          </w:p>
        </w:tc>
      </w:tr>
      <w:tr w:rsidR="0013656E" w:rsidRPr="00EF640D" w:rsidTr="00134FDB">
        <w:trPr>
          <w:trHeight w:val="225"/>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206BD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14,274,482.42</w:t>
            </w:r>
          </w:p>
        </w:tc>
      </w:tr>
      <w:tr w:rsidR="0013656E" w:rsidRPr="000A04B1"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41118B"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-1,628,923.14</w:t>
            </w:r>
          </w:p>
        </w:tc>
      </w:tr>
      <w:tr w:rsidR="0013656E" w:rsidRPr="00EF640D" w:rsidTr="00134FDB">
        <w:trPr>
          <w:trHeight w:val="240"/>
          <w:jc w:val="center"/>
        </w:trPr>
        <w:tc>
          <w:tcPr>
            <w:tcW w:w="5284" w:type="dxa"/>
            <w:gridSpan w:val="2"/>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p>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B93B80" w:rsidRDefault="0013656E" w:rsidP="00134FD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99,340,195.79</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104,560,017.63</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125,160,100.08</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-24,596,136.38</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10,309,223.18</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-6,322,000.05</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8,830.80</w:t>
            </w:r>
          </w:p>
        </w:tc>
      </w:tr>
      <w:tr w:rsidR="0013656E" w:rsidRPr="00EF640D"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p>
        </w:tc>
      </w:tr>
      <w:tr w:rsidR="0013656E" w:rsidRPr="008845FF" w:rsidTr="00134FDB">
        <w:trPr>
          <w:trHeight w:val="240"/>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Default="0013656E" w:rsidP="00134FDB">
            <w:pPr>
              <w:spacing w:after="0" w:line="240" w:lineRule="auto"/>
              <w:jc w:val="right"/>
              <w:rPr>
                <w:rFonts w:ascii="Arial" w:eastAsia="Times New Roman" w:hAnsi="Arial" w:cs="Arial"/>
                <w:sz w:val="18"/>
                <w:szCs w:val="18"/>
                <w:lang w:eastAsia="es-MX"/>
              </w:rPr>
            </w:pPr>
          </w:p>
        </w:tc>
      </w:tr>
      <w:tr w:rsidR="0013656E" w:rsidRPr="00EF640D" w:rsidTr="00134FDB">
        <w:trPr>
          <w:trHeight w:val="375"/>
          <w:jc w:val="center"/>
        </w:trPr>
        <w:tc>
          <w:tcPr>
            <w:tcW w:w="1061"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13656E" w:rsidRPr="00EF640D" w:rsidRDefault="0013656E" w:rsidP="00134FDB">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13656E" w:rsidRPr="00193B81" w:rsidRDefault="0013656E" w:rsidP="00134FDB">
            <w:pPr>
              <w:spacing w:after="0" w:line="240" w:lineRule="auto"/>
              <w:jc w:val="right"/>
              <w:rPr>
                <w:rFonts w:ascii="Arial" w:eastAsia="Times New Roman" w:hAnsi="Arial" w:cs="Arial"/>
                <w:b/>
                <w:sz w:val="18"/>
                <w:szCs w:val="18"/>
                <w:lang w:eastAsia="es-MX"/>
              </w:rPr>
            </w:pPr>
          </w:p>
        </w:tc>
      </w:tr>
    </w:tbl>
    <w:p w:rsidR="0013656E" w:rsidRPr="00F9095E" w:rsidRDefault="0013656E" w:rsidP="0013656E">
      <w:pPr>
        <w:pStyle w:val="ROMANOS"/>
        <w:spacing w:after="0" w:line="360" w:lineRule="auto"/>
        <w:ind w:hanging="431"/>
        <w:rPr>
          <w:b/>
          <w:lang w:val="es-MX"/>
        </w:rPr>
      </w:pPr>
      <w:r w:rsidRPr="00F9095E">
        <w:rPr>
          <w:b/>
          <w:lang w:val="es-MX"/>
        </w:rPr>
        <w:tab/>
        <w:t>Bienes Disponibles para su Transformación o Consumo (inventarios)</w:t>
      </w:r>
    </w:p>
    <w:p w:rsidR="0013656E" w:rsidRPr="003828DA" w:rsidRDefault="0013656E" w:rsidP="0013656E">
      <w:pPr>
        <w:pStyle w:val="ROMANOS"/>
        <w:spacing w:after="0" w:line="360" w:lineRule="auto"/>
        <w:ind w:hanging="431"/>
        <w:rPr>
          <w:lang w:val="es-MX"/>
        </w:rPr>
      </w:pPr>
      <w:r w:rsidRPr="00F9095E">
        <w:rPr>
          <w:lang w:val="es-MX"/>
        </w:rPr>
        <w:t>4.</w:t>
      </w:r>
      <w:r w:rsidRPr="00F9095E">
        <w:rPr>
          <w:lang w:val="es-MX"/>
        </w:rPr>
        <w:tab/>
      </w:r>
      <w:r>
        <w:rPr>
          <w:lang w:val="es-MX"/>
        </w:rPr>
        <w:t>No aplica.</w:t>
      </w:r>
    </w:p>
    <w:p w:rsidR="0013656E" w:rsidRDefault="0013656E" w:rsidP="0013656E">
      <w:pPr>
        <w:pStyle w:val="ROMANOS"/>
        <w:spacing w:after="0" w:line="360" w:lineRule="auto"/>
        <w:ind w:hanging="431"/>
        <w:rPr>
          <w:b/>
          <w:lang w:val="es-MX"/>
        </w:rPr>
      </w:pPr>
    </w:p>
    <w:p w:rsidR="0013656E" w:rsidRDefault="0013656E" w:rsidP="0013656E">
      <w:pPr>
        <w:pStyle w:val="ROMANOS"/>
        <w:spacing w:after="0" w:line="360" w:lineRule="auto"/>
        <w:ind w:hanging="431"/>
        <w:rPr>
          <w:b/>
          <w:lang w:val="es-MX"/>
        </w:rPr>
      </w:pPr>
    </w:p>
    <w:p w:rsidR="0013656E" w:rsidRDefault="0013656E" w:rsidP="0013656E">
      <w:pPr>
        <w:pStyle w:val="ROMANOS"/>
        <w:spacing w:after="0" w:line="360" w:lineRule="auto"/>
        <w:ind w:hanging="431"/>
        <w:rPr>
          <w:b/>
          <w:lang w:val="es-MX"/>
        </w:rPr>
      </w:pPr>
    </w:p>
    <w:p w:rsidR="0013656E" w:rsidRDefault="0013656E" w:rsidP="0013656E">
      <w:pPr>
        <w:pStyle w:val="ROMANOS"/>
        <w:spacing w:after="0" w:line="360" w:lineRule="auto"/>
        <w:ind w:hanging="431"/>
        <w:rPr>
          <w:b/>
          <w:lang w:val="es-MX"/>
        </w:rPr>
      </w:pPr>
    </w:p>
    <w:p w:rsidR="0013656E" w:rsidRPr="00F9095E" w:rsidRDefault="0013656E" w:rsidP="0013656E">
      <w:pPr>
        <w:pStyle w:val="ROMANOS"/>
        <w:spacing w:after="0" w:line="360" w:lineRule="auto"/>
        <w:ind w:hanging="431"/>
        <w:rPr>
          <w:b/>
          <w:lang w:val="es-MX"/>
        </w:rPr>
      </w:pPr>
      <w:r w:rsidRPr="00F9095E">
        <w:rPr>
          <w:b/>
          <w:lang w:val="es-MX"/>
        </w:rPr>
        <w:lastRenderedPageBreak/>
        <w:t>Inversiones Financieras</w:t>
      </w:r>
    </w:p>
    <w:p w:rsidR="0013656E" w:rsidRPr="00F9095E" w:rsidRDefault="0013656E" w:rsidP="0013656E">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13656E" w:rsidTr="00134F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13656E" w:rsidRPr="006063C3" w:rsidRDefault="0013656E" w:rsidP="00134FDB">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13656E" w:rsidRPr="006063C3" w:rsidRDefault="0013656E" w:rsidP="00134FDB">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13656E" w:rsidRPr="006063C3" w:rsidRDefault="0013656E" w:rsidP="00134FDB">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13656E" w:rsidTr="00134FD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13656E" w:rsidRPr="009A3B29" w:rsidRDefault="0013656E" w:rsidP="00134FDB">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13656E" w:rsidRPr="009A3B29" w:rsidRDefault="0013656E" w:rsidP="00134FDB">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13656E" w:rsidRPr="009A3B29" w:rsidRDefault="0013656E" w:rsidP="00134FD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13656E" w:rsidTr="00134FD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13656E" w:rsidRPr="009A3B29" w:rsidRDefault="0013656E" w:rsidP="00134FDB">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13656E" w:rsidRPr="009A3B29" w:rsidRDefault="0013656E" w:rsidP="00134F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13656E" w:rsidRPr="009A3B29" w:rsidRDefault="0013656E" w:rsidP="00134FD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13656E" w:rsidTr="00134FD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13656E" w:rsidRPr="009A3B29" w:rsidRDefault="0013656E" w:rsidP="00134FDB">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13656E" w:rsidRPr="009A3B29" w:rsidRDefault="0013656E" w:rsidP="00134F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13656E" w:rsidRPr="009A3B29" w:rsidRDefault="0013656E" w:rsidP="00134FD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13656E" w:rsidTr="00134FD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13656E" w:rsidRPr="009A3B29" w:rsidRDefault="0013656E" w:rsidP="00134FDB">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13656E" w:rsidRPr="009A3B29" w:rsidRDefault="0013656E" w:rsidP="00134F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13656E" w:rsidRPr="009A3B29" w:rsidRDefault="0013656E" w:rsidP="00134FD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13656E" w:rsidTr="00134FDB">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13656E" w:rsidRPr="00960692" w:rsidRDefault="0013656E" w:rsidP="00134FDB">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13656E" w:rsidRPr="009A3B29" w:rsidRDefault="0013656E" w:rsidP="00134F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13656E" w:rsidRDefault="0013656E" w:rsidP="00134FDB">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13656E" w:rsidRPr="00F9095E" w:rsidRDefault="0013656E" w:rsidP="0013656E">
      <w:pPr>
        <w:pStyle w:val="ROMANOS"/>
        <w:spacing w:after="0" w:line="360" w:lineRule="auto"/>
        <w:ind w:hanging="431"/>
        <w:rPr>
          <w:lang w:val="es-MX"/>
        </w:rPr>
      </w:pPr>
    </w:p>
    <w:p w:rsidR="0013656E" w:rsidRDefault="0013656E" w:rsidP="0013656E">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13656E" w:rsidRDefault="0013656E" w:rsidP="0013656E">
      <w:pPr>
        <w:pStyle w:val="ROMANOS"/>
        <w:spacing w:after="0" w:line="360" w:lineRule="auto"/>
        <w:ind w:hanging="431"/>
        <w:rPr>
          <w:b/>
          <w:lang w:val="es-MX"/>
        </w:rPr>
      </w:pPr>
      <w:r w:rsidRPr="00F9095E">
        <w:rPr>
          <w:b/>
          <w:lang w:val="es-MX"/>
        </w:rPr>
        <w:tab/>
      </w:r>
    </w:p>
    <w:p w:rsidR="0013656E" w:rsidRPr="00F9095E" w:rsidRDefault="0013656E" w:rsidP="0013656E">
      <w:pPr>
        <w:pStyle w:val="ROMANOS"/>
        <w:spacing w:after="0" w:line="360" w:lineRule="auto"/>
        <w:ind w:hanging="431"/>
        <w:rPr>
          <w:b/>
          <w:lang w:val="es-MX"/>
        </w:rPr>
      </w:pPr>
      <w:r w:rsidRPr="00F9095E">
        <w:rPr>
          <w:b/>
          <w:lang w:val="es-MX"/>
        </w:rPr>
        <w:t>Bienes Muebles, Inmuebles e Intangibles</w:t>
      </w:r>
    </w:p>
    <w:p w:rsidR="0013656E" w:rsidRDefault="0013656E" w:rsidP="0013656E">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$ 32,178.808.00</w:t>
      </w:r>
    </w:p>
    <w:p w:rsidR="0013656E" w:rsidRDefault="0013656E" w:rsidP="0013656E">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13656E" w:rsidRDefault="0013656E" w:rsidP="0013656E">
      <w:pPr>
        <w:pStyle w:val="ROMANOS"/>
        <w:spacing w:after="0" w:line="360" w:lineRule="auto"/>
        <w:ind w:hanging="431"/>
        <w:rPr>
          <w:b/>
          <w:lang w:val="es-MX"/>
        </w:rPr>
      </w:pPr>
      <w:r w:rsidRPr="00F9095E">
        <w:rPr>
          <w:b/>
          <w:lang w:val="es-MX"/>
        </w:rPr>
        <w:tab/>
      </w:r>
    </w:p>
    <w:p w:rsidR="0013656E" w:rsidRPr="00F9095E" w:rsidRDefault="0013656E" w:rsidP="0013656E">
      <w:pPr>
        <w:pStyle w:val="ROMANOS"/>
        <w:spacing w:after="0" w:line="360" w:lineRule="auto"/>
        <w:ind w:hanging="431"/>
        <w:rPr>
          <w:b/>
          <w:lang w:val="es-MX"/>
        </w:rPr>
      </w:pPr>
      <w:r w:rsidRPr="00F9095E">
        <w:rPr>
          <w:b/>
          <w:lang w:val="es-MX"/>
        </w:rPr>
        <w:t>Estimaciones y Deterioros</w:t>
      </w:r>
    </w:p>
    <w:p w:rsidR="0013656E" w:rsidRDefault="0013656E" w:rsidP="0013656E">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13656E" w:rsidRDefault="0013656E" w:rsidP="0013656E">
      <w:pPr>
        <w:pStyle w:val="ROMANOS"/>
        <w:spacing w:after="0" w:line="360" w:lineRule="auto"/>
        <w:ind w:hanging="431"/>
        <w:rPr>
          <w:lang w:val="es-MX"/>
        </w:rPr>
      </w:pPr>
    </w:p>
    <w:p w:rsidR="0013656E" w:rsidRDefault="0013656E" w:rsidP="0013656E">
      <w:pPr>
        <w:pStyle w:val="ROMANOS"/>
        <w:spacing w:after="0" w:line="360" w:lineRule="auto"/>
        <w:ind w:hanging="431"/>
        <w:rPr>
          <w:lang w:val="es-MX"/>
        </w:rPr>
      </w:pPr>
    </w:p>
    <w:p w:rsidR="0013656E" w:rsidRDefault="0013656E" w:rsidP="0013656E">
      <w:pPr>
        <w:pStyle w:val="ROMANOS"/>
        <w:spacing w:after="0" w:line="360" w:lineRule="auto"/>
        <w:ind w:hanging="431"/>
        <w:rPr>
          <w:lang w:val="es-MX"/>
        </w:rPr>
      </w:pPr>
    </w:p>
    <w:p w:rsidR="0013656E" w:rsidRPr="00F9095E" w:rsidRDefault="0013656E" w:rsidP="0013656E">
      <w:pPr>
        <w:pStyle w:val="ROMANOS"/>
        <w:spacing w:after="0" w:line="360" w:lineRule="auto"/>
        <w:ind w:left="0" w:firstLine="0"/>
        <w:rPr>
          <w:b/>
          <w:lang w:val="es-MX"/>
        </w:rPr>
      </w:pPr>
      <w:r w:rsidRPr="00F9095E">
        <w:rPr>
          <w:b/>
          <w:lang w:val="es-MX"/>
        </w:rPr>
        <w:t>Pasivo</w:t>
      </w:r>
    </w:p>
    <w:p w:rsidR="0013656E" w:rsidRDefault="0013656E" w:rsidP="0013656E">
      <w:pPr>
        <w:pStyle w:val="ROMANOS"/>
        <w:numPr>
          <w:ilvl w:val="0"/>
          <w:numId w:val="6"/>
        </w:numPr>
        <w:spacing w:after="0" w:line="240" w:lineRule="exact"/>
        <w:rPr>
          <w:lang w:val="es-MX"/>
        </w:rPr>
      </w:pPr>
      <w:r>
        <w:rPr>
          <w:lang w:val="es-MX"/>
        </w:rPr>
        <w:t>Cuentas por pagar a corto plazo</w:t>
      </w:r>
      <w:r w:rsidRPr="00F9095E">
        <w:rPr>
          <w:lang w:val="es-MX"/>
        </w:rPr>
        <w:t>.</w:t>
      </w:r>
    </w:p>
    <w:p w:rsidR="0013656E" w:rsidRDefault="0013656E" w:rsidP="0013656E">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13656E" w:rsidRPr="00BE1A97" w:rsidTr="00134FDB">
        <w:trPr>
          <w:trHeight w:val="241"/>
          <w:jc w:val="center"/>
        </w:trPr>
        <w:tc>
          <w:tcPr>
            <w:tcW w:w="3830" w:type="dxa"/>
            <w:vMerge w:val="restart"/>
            <w:shd w:val="clear" w:color="auto" w:fill="632423" w:themeFill="accent2" w:themeFillShade="80"/>
            <w:noWrap/>
            <w:vAlign w:val="center"/>
            <w:hideMark/>
          </w:tcPr>
          <w:p w:rsidR="0013656E" w:rsidRPr="00BE1A97" w:rsidRDefault="0013656E" w:rsidP="00134FDB">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13656E" w:rsidRPr="00BE1A97" w:rsidRDefault="0013656E" w:rsidP="00134FDB">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13656E" w:rsidRPr="00BE1A97" w:rsidRDefault="0013656E" w:rsidP="00134FDB">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13656E" w:rsidRPr="00BE1A97" w:rsidTr="00134FDB">
        <w:trPr>
          <w:trHeight w:val="503"/>
          <w:jc w:val="center"/>
        </w:trPr>
        <w:tc>
          <w:tcPr>
            <w:tcW w:w="3830" w:type="dxa"/>
            <w:vMerge/>
            <w:shd w:val="clear" w:color="auto" w:fill="632423" w:themeFill="accent2" w:themeFillShade="80"/>
            <w:vAlign w:val="center"/>
            <w:hideMark/>
          </w:tcPr>
          <w:p w:rsidR="0013656E" w:rsidRPr="00BE1A97" w:rsidRDefault="0013656E" w:rsidP="00134FDB">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13656E" w:rsidRPr="00BE1A97" w:rsidRDefault="0013656E" w:rsidP="00134FDB">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13656E" w:rsidRPr="00BE1A97" w:rsidRDefault="0013656E" w:rsidP="00134FDB">
            <w:pPr>
              <w:spacing w:after="0" w:line="240" w:lineRule="auto"/>
              <w:rPr>
                <w:rFonts w:ascii="Arial" w:eastAsia="Times New Roman" w:hAnsi="Arial" w:cs="Arial"/>
                <w:b/>
                <w:bCs/>
                <w:color w:val="FFFFFF"/>
                <w:sz w:val="18"/>
                <w:szCs w:val="18"/>
                <w:lang w:eastAsia="es-MX"/>
              </w:rPr>
            </w:pPr>
          </w:p>
        </w:tc>
      </w:tr>
      <w:tr w:rsidR="0013656E" w:rsidRPr="00BE1A97" w:rsidTr="00134FDB">
        <w:trPr>
          <w:trHeight w:val="108"/>
          <w:jc w:val="center"/>
        </w:trPr>
        <w:tc>
          <w:tcPr>
            <w:tcW w:w="3830" w:type="dxa"/>
            <w:vMerge/>
            <w:shd w:val="clear" w:color="auto" w:fill="632423" w:themeFill="accent2" w:themeFillShade="80"/>
            <w:vAlign w:val="center"/>
            <w:hideMark/>
          </w:tcPr>
          <w:p w:rsidR="0013656E" w:rsidRPr="00BE1A97" w:rsidRDefault="0013656E" w:rsidP="00134FDB">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13656E" w:rsidRPr="00BE1A97" w:rsidRDefault="0013656E" w:rsidP="00134FDB">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13656E" w:rsidRPr="00BE1A97" w:rsidRDefault="0013656E" w:rsidP="00134FDB">
            <w:pPr>
              <w:spacing w:after="0" w:line="240" w:lineRule="auto"/>
              <w:rPr>
                <w:rFonts w:ascii="Arial" w:eastAsia="Times New Roman" w:hAnsi="Arial" w:cs="Arial"/>
                <w:b/>
                <w:bCs/>
                <w:color w:val="FFFFFF"/>
                <w:sz w:val="18"/>
                <w:szCs w:val="18"/>
                <w:lang w:eastAsia="es-MX"/>
              </w:rPr>
            </w:pPr>
          </w:p>
        </w:tc>
      </w:tr>
      <w:tr w:rsidR="0013656E" w:rsidRPr="00BE1A97" w:rsidTr="00134FDB">
        <w:trPr>
          <w:trHeight w:val="503"/>
          <w:jc w:val="center"/>
        </w:trPr>
        <w:tc>
          <w:tcPr>
            <w:tcW w:w="3830" w:type="dxa"/>
            <w:shd w:val="clear" w:color="auto" w:fill="auto"/>
            <w:noWrap/>
            <w:vAlign w:val="bottom"/>
            <w:hideMark/>
          </w:tcPr>
          <w:p w:rsidR="0013656E" w:rsidRDefault="0013656E" w:rsidP="00134FDB">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465" w:type="dxa"/>
            <w:shd w:val="clear" w:color="auto" w:fill="auto"/>
            <w:noWrap/>
            <w:vAlign w:val="bottom"/>
            <w:hideMark/>
          </w:tcPr>
          <w:p w:rsidR="0013656E" w:rsidRDefault="0013656E" w:rsidP="00134FDB">
            <w:pPr>
              <w:jc w:val="right"/>
              <w:rPr>
                <w:rFonts w:ascii="Arial" w:hAnsi="Arial" w:cs="Arial"/>
                <w:sz w:val="16"/>
                <w:szCs w:val="16"/>
                <w:lang w:eastAsia="es-MX"/>
              </w:rPr>
            </w:pPr>
            <w:r>
              <w:rPr>
                <w:rFonts w:ascii="Arial" w:hAnsi="Arial" w:cs="Arial"/>
                <w:sz w:val="16"/>
                <w:szCs w:val="16"/>
                <w:lang w:eastAsia="es-MX"/>
              </w:rPr>
              <w:t>0</w:t>
            </w:r>
          </w:p>
        </w:tc>
      </w:tr>
      <w:tr w:rsidR="0013656E" w:rsidRPr="00BE1A97" w:rsidTr="00134FDB">
        <w:trPr>
          <w:trHeight w:val="503"/>
          <w:jc w:val="center"/>
        </w:trPr>
        <w:tc>
          <w:tcPr>
            <w:tcW w:w="3830" w:type="dxa"/>
            <w:shd w:val="clear" w:color="auto" w:fill="auto"/>
            <w:noWrap/>
            <w:vAlign w:val="bottom"/>
            <w:hideMark/>
          </w:tcPr>
          <w:p w:rsidR="0013656E" w:rsidRDefault="0013656E" w:rsidP="00134FDB">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46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153,357</w:t>
            </w:r>
          </w:p>
        </w:tc>
      </w:tr>
      <w:tr w:rsidR="0013656E" w:rsidRPr="00BE1A97" w:rsidTr="00134FDB">
        <w:trPr>
          <w:trHeight w:val="503"/>
          <w:jc w:val="center"/>
        </w:trPr>
        <w:tc>
          <w:tcPr>
            <w:tcW w:w="3830" w:type="dxa"/>
            <w:shd w:val="clear" w:color="auto" w:fill="auto"/>
            <w:noWrap/>
            <w:vAlign w:val="bottom"/>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46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102,640</w:t>
            </w:r>
          </w:p>
        </w:tc>
      </w:tr>
      <w:tr w:rsidR="0013656E" w:rsidRPr="00BE1A97" w:rsidTr="00134FDB">
        <w:trPr>
          <w:trHeight w:val="503"/>
          <w:jc w:val="center"/>
        </w:trPr>
        <w:tc>
          <w:tcPr>
            <w:tcW w:w="3830" w:type="dxa"/>
            <w:shd w:val="clear" w:color="auto" w:fill="auto"/>
            <w:noWrap/>
            <w:vAlign w:val="bottom"/>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46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80,215</w:t>
            </w:r>
          </w:p>
        </w:tc>
      </w:tr>
      <w:tr w:rsidR="0013656E" w:rsidRPr="00BE1A97" w:rsidTr="00134FDB">
        <w:trPr>
          <w:trHeight w:val="503"/>
          <w:jc w:val="center"/>
        </w:trPr>
        <w:tc>
          <w:tcPr>
            <w:tcW w:w="3830" w:type="dxa"/>
            <w:shd w:val="clear" w:color="auto" w:fill="auto"/>
            <w:noWrap/>
            <w:vAlign w:val="bottom"/>
            <w:hideMark/>
          </w:tcPr>
          <w:p w:rsidR="0013656E" w:rsidRDefault="0013656E" w:rsidP="00134FDB">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465" w:type="dxa"/>
            <w:shd w:val="clear" w:color="auto" w:fill="auto"/>
            <w:noWrap/>
            <w:vAlign w:val="bottom"/>
            <w:hideMark/>
          </w:tcPr>
          <w:p w:rsidR="0013656E" w:rsidRDefault="0013656E" w:rsidP="00134FDB">
            <w:pPr>
              <w:jc w:val="right"/>
              <w:rPr>
                <w:rFonts w:ascii="Arial" w:hAnsi="Arial" w:cs="Arial"/>
                <w:sz w:val="16"/>
                <w:szCs w:val="16"/>
                <w:lang w:eastAsia="es-MX"/>
              </w:rPr>
            </w:pPr>
            <w:r>
              <w:rPr>
                <w:rFonts w:ascii="Arial" w:hAnsi="Arial" w:cs="Arial"/>
                <w:sz w:val="16"/>
                <w:szCs w:val="16"/>
                <w:lang w:eastAsia="es-MX"/>
              </w:rPr>
              <w:t>5,198</w:t>
            </w:r>
          </w:p>
        </w:tc>
      </w:tr>
      <w:tr w:rsidR="0013656E" w:rsidRPr="00BE1A97" w:rsidTr="00134FDB">
        <w:trPr>
          <w:trHeight w:val="503"/>
          <w:jc w:val="center"/>
        </w:trPr>
        <w:tc>
          <w:tcPr>
            <w:tcW w:w="3830" w:type="dxa"/>
            <w:shd w:val="clear" w:color="auto" w:fill="auto"/>
            <w:noWrap/>
            <w:vAlign w:val="bottom"/>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46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1,179</w:t>
            </w:r>
          </w:p>
        </w:tc>
      </w:tr>
      <w:tr w:rsidR="0013656E" w:rsidRPr="00BE1A97" w:rsidTr="00134FDB">
        <w:trPr>
          <w:trHeight w:val="503"/>
          <w:jc w:val="center"/>
        </w:trPr>
        <w:tc>
          <w:tcPr>
            <w:tcW w:w="3830" w:type="dxa"/>
            <w:shd w:val="clear" w:color="auto" w:fill="auto"/>
            <w:noWrap/>
            <w:vAlign w:val="bottom"/>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13656E" w:rsidRPr="0049787D" w:rsidRDefault="0013656E" w:rsidP="00134FDB">
            <w:pPr>
              <w:rPr>
                <w:rFonts w:ascii="Arial" w:hAnsi="Arial" w:cs="Arial"/>
                <w:b/>
                <w:bCs/>
                <w:i/>
                <w:iCs/>
                <w:sz w:val="16"/>
                <w:szCs w:val="16"/>
                <w:lang w:eastAsia="es-MX"/>
              </w:rPr>
            </w:pPr>
          </w:p>
        </w:tc>
        <w:tc>
          <w:tcPr>
            <w:tcW w:w="246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16,047</w:t>
            </w:r>
          </w:p>
        </w:tc>
      </w:tr>
      <w:tr w:rsidR="0013656E" w:rsidRPr="00BE1A97" w:rsidTr="00134FDB">
        <w:trPr>
          <w:trHeight w:val="503"/>
          <w:jc w:val="center"/>
        </w:trPr>
        <w:tc>
          <w:tcPr>
            <w:tcW w:w="383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515" w:type="dxa"/>
            <w:shd w:val="clear" w:color="auto" w:fill="auto"/>
            <w:noWrap/>
            <w:vAlign w:val="bottom"/>
            <w:hideMark/>
          </w:tcPr>
          <w:p w:rsidR="0013656E" w:rsidRPr="0049787D" w:rsidRDefault="0013656E" w:rsidP="00134FDB">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13656E" w:rsidRPr="0049787D" w:rsidRDefault="0013656E" w:rsidP="00134FDB">
            <w:pPr>
              <w:jc w:val="right"/>
              <w:rPr>
                <w:rFonts w:ascii="Arial" w:hAnsi="Arial" w:cs="Arial"/>
                <w:b/>
                <w:sz w:val="16"/>
                <w:szCs w:val="16"/>
                <w:lang w:eastAsia="es-MX"/>
              </w:rPr>
            </w:pPr>
            <w:r>
              <w:rPr>
                <w:rFonts w:ascii="Arial" w:hAnsi="Arial" w:cs="Arial"/>
                <w:b/>
                <w:sz w:val="16"/>
                <w:szCs w:val="16"/>
                <w:lang w:eastAsia="es-MX"/>
              </w:rPr>
              <w:t>255,998</w:t>
            </w:r>
          </w:p>
        </w:tc>
      </w:tr>
    </w:tbl>
    <w:p w:rsidR="0013656E" w:rsidRDefault="0013656E" w:rsidP="0013656E">
      <w:pPr>
        <w:pStyle w:val="ROMANOS"/>
        <w:numPr>
          <w:ilvl w:val="0"/>
          <w:numId w:val="6"/>
        </w:numPr>
        <w:spacing w:after="0" w:line="240" w:lineRule="exact"/>
        <w:rPr>
          <w:lang w:val="es-MX"/>
        </w:rPr>
      </w:pPr>
      <w:r>
        <w:rPr>
          <w:lang w:val="es-MX"/>
        </w:rPr>
        <w:t xml:space="preserve">Documentos por pagar a corto plazo  </w:t>
      </w:r>
    </w:p>
    <w:p w:rsidR="0013656E" w:rsidRDefault="0013656E" w:rsidP="0013656E">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13656E" w:rsidRPr="00CC0FAD" w:rsidTr="00134FDB">
        <w:trPr>
          <w:trHeight w:val="228"/>
          <w:jc w:val="center"/>
        </w:trPr>
        <w:tc>
          <w:tcPr>
            <w:tcW w:w="3143" w:type="dxa"/>
            <w:vMerge w:val="restart"/>
            <w:shd w:val="clear" w:color="auto" w:fill="632423" w:themeFill="accent2" w:themeFillShade="80"/>
            <w:noWrap/>
            <w:vAlign w:val="center"/>
            <w:hideMark/>
          </w:tcPr>
          <w:p w:rsidR="0013656E" w:rsidRPr="00CC0FAD" w:rsidRDefault="0013656E" w:rsidP="00134FDB">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13656E" w:rsidRPr="00CC0FAD" w:rsidRDefault="0013656E" w:rsidP="00134FDB">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13656E" w:rsidRPr="00CC0FAD" w:rsidRDefault="0013656E" w:rsidP="00134FDB">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13656E" w:rsidRPr="00CC0FAD" w:rsidTr="00134FDB">
        <w:trPr>
          <w:trHeight w:val="475"/>
          <w:jc w:val="center"/>
        </w:trPr>
        <w:tc>
          <w:tcPr>
            <w:tcW w:w="3143" w:type="dxa"/>
            <w:vMerge/>
            <w:shd w:val="clear" w:color="auto" w:fill="632423" w:themeFill="accent2" w:themeFillShade="80"/>
            <w:vAlign w:val="center"/>
            <w:hideMark/>
          </w:tcPr>
          <w:p w:rsidR="0013656E" w:rsidRPr="00CC0FAD" w:rsidRDefault="0013656E" w:rsidP="00134FDB">
            <w:pPr>
              <w:pStyle w:val="Sinespaciado"/>
              <w:rPr>
                <w:rFonts w:ascii="Arial" w:hAnsi="Arial" w:cs="Arial"/>
                <w:sz w:val="16"/>
                <w:szCs w:val="16"/>
                <w:lang w:eastAsia="es-MX"/>
              </w:rPr>
            </w:pPr>
          </w:p>
        </w:tc>
        <w:tc>
          <w:tcPr>
            <w:tcW w:w="486" w:type="dxa"/>
            <w:shd w:val="clear" w:color="auto" w:fill="auto"/>
            <w:noWrap/>
            <w:vAlign w:val="bottom"/>
            <w:hideMark/>
          </w:tcPr>
          <w:p w:rsidR="0013656E" w:rsidRPr="00CC0FAD" w:rsidRDefault="0013656E" w:rsidP="00134FDB">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13656E" w:rsidRPr="00CC0FAD" w:rsidRDefault="0013656E" w:rsidP="00134FDB">
            <w:pPr>
              <w:pStyle w:val="Sinespaciado"/>
              <w:rPr>
                <w:rFonts w:ascii="Arial" w:hAnsi="Arial" w:cs="Arial"/>
                <w:sz w:val="16"/>
                <w:szCs w:val="16"/>
                <w:lang w:eastAsia="es-MX"/>
              </w:rPr>
            </w:pPr>
          </w:p>
        </w:tc>
      </w:tr>
      <w:tr w:rsidR="0013656E" w:rsidRPr="00CC0FAD" w:rsidTr="00134FDB">
        <w:trPr>
          <w:trHeight w:val="171"/>
          <w:jc w:val="center"/>
        </w:trPr>
        <w:tc>
          <w:tcPr>
            <w:tcW w:w="3143" w:type="dxa"/>
            <w:vMerge/>
            <w:shd w:val="clear" w:color="auto" w:fill="632423" w:themeFill="accent2" w:themeFillShade="80"/>
            <w:vAlign w:val="center"/>
            <w:hideMark/>
          </w:tcPr>
          <w:p w:rsidR="0013656E" w:rsidRPr="00CC0FAD" w:rsidRDefault="0013656E" w:rsidP="00134FDB">
            <w:pPr>
              <w:pStyle w:val="Sinespaciado"/>
              <w:rPr>
                <w:rFonts w:ascii="Arial" w:hAnsi="Arial" w:cs="Arial"/>
                <w:sz w:val="16"/>
                <w:szCs w:val="16"/>
                <w:lang w:eastAsia="es-MX"/>
              </w:rPr>
            </w:pPr>
          </w:p>
        </w:tc>
        <w:tc>
          <w:tcPr>
            <w:tcW w:w="486" w:type="dxa"/>
            <w:shd w:val="clear" w:color="auto" w:fill="auto"/>
            <w:noWrap/>
            <w:vAlign w:val="bottom"/>
            <w:hideMark/>
          </w:tcPr>
          <w:p w:rsidR="0013656E" w:rsidRPr="00CC0FAD" w:rsidRDefault="0013656E" w:rsidP="00134FDB">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13656E" w:rsidRPr="00CC0FAD" w:rsidRDefault="0013656E" w:rsidP="00134FDB">
            <w:pPr>
              <w:pStyle w:val="Sinespaciado"/>
              <w:rPr>
                <w:rFonts w:ascii="Arial" w:hAnsi="Arial" w:cs="Arial"/>
                <w:sz w:val="16"/>
                <w:szCs w:val="16"/>
                <w:lang w:eastAsia="es-MX"/>
              </w:rPr>
            </w:pPr>
          </w:p>
        </w:tc>
      </w:tr>
      <w:tr w:rsidR="0013656E" w:rsidRPr="00CC0FAD" w:rsidTr="00134FDB">
        <w:trPr>
          <w:trHeight w:val="475"/>
          <w:jc w:val="center"/>
        </w:trPr>
        <w:tc>
          <w:tcPr>
            <w:tcW w:w="3143" w:type="dxa"/>
            <w:shd w:val="clear" w:color="auto" w:fill="auto"/>
            <w:noWrap/>
            <w:vAlign w:val="bottom"/>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50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408,058.23</w:t>
            </w:r>
          </w:p>
        </w:tc>
      </w:tr>
      <w:tr w:rsidR="0013656E" w:rsidRPr="00CC0FAD" w:rsidTr="00134FDB">
        <w:trPr>
          <w:trHeight w:val="475"/>
          <w:jc w:val="center"/>
        </w:trPr>
        <w:tc>
          <w:tcPr>
            <w:tcW w:w="3143" w:type="dxa"/>
            <w:shd w:val="clear" w:color="auto" w:fill="auto"/>
            <w:noWrap/>
            <w:vAlign w:val="bottom"/>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50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127,229.23</w:t>
            </w:r>
          </w:p>
        </w:tc>
      </w:tr>
      <w:tr w:rsidR="0013656E" w:rsidRPr="00CC0FAD" w:rsidTr="00134FDB">
        <w:trPr>
          <w:trHeight w:val="475"/>
          <w:jc w:val="center"/>
        </w:trPr>
        <w:tc>
          <w:tcPr>
            <w:tcW w:w="3143" w:type="dxa"/>
            <w:shd w:val="clear" w:color="auto" w:fill="auto"/>
            <w:noWrap/>
            <w:vAlign w:val="bottom"/>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505"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130,327.82</w:t>
            </w:r>
          </w:p>
        </w:tc>
      </w:tr>
      <w:tr w:rsidR="0013656E" w:rsidRPr="00CC0FAD" w:rsidTr="00134FDB">
        <w:trPr>
          <w:trHeight w:val="475"/>
          <w:jc w:val="center"/>
        </w:trPr>
        <w:tc>
          <w:tcPr>
            <w:tcW w:w="3143" w:type="dxa"/>
            <w:shd w:val="clear" w:color="auto" w:fill="auto"/>
            <w:noWrap/>
            <w:vAlign w:val="bottom"/>
            <w:hideMark/>
          </w:tcPr>
          <w:p w:rsidR="0013656E" w:rsidRDefault="0013656E" w:rsidP="00134FDB">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505" w:type="dxa"/>
            <w:shd w:val="clear" w:color="auto" w:fill="auto"/>
            <w:noWrap/>
            <w:vAlign w:val="bottom"/>
            <w:hideMark/>
          </w:tcPr>
          <w:p w:rsidR="0013656E" w:rsidRPr="00923E71" w:rsidRDefault="0013656E" w:rsidP="00134FDB">
            <w:pPr>
              <w:jc w:val="right"/>
              <w:rPr>
                <w:rFonts w:ascii="Arial" w:hAnsi="Arial" w:cs="Arial"/>
                <w:b/>
                <w:sz w:val="16"/>
                <w:szCs w:val="16"/>
                <w:lang w:eastAsia="es-MX"/>
              </w:rPr>
            </w:pPr>
            <w:r>
              <w:rPr>
                <w:rFonts w:ascii="Arial" w:hAnsi="Arial" w:cs="Arial"/>
                <w:b/>
                <w:sz w:val="16"/>
                <w:szCs w:val="16"/>
                <w:lang w:eastAsia="es-MX"/>
              </w:rPr>
              <w:t>665,615.28</w:t>
            </w:r>
          </w:p>
        </w:tc>
      </w:tr>
      <w:tr w:rsidR="0013656E" w:rsidRPr="00CC0FAD" w:rsidTr="00134FDB">
        <w:trPr>
          <w:trHeight w:val="475"/>
          <w:jc w:val="center"/>
        </w:trPr>
        <w:tc>
          <w:tcPr>
            <w:tcW w:w="3143" w:type="dxa"/>
            <w:shd w:val="clear" w:color="auto" w:fill="auto"/>
            <w:noWrap/>
            <w:vAlign w:val="bottom"/>
            <w:hideMark/>
          </w:tcPr>
          <w:p w:rsidR="0013656E" w:rsidRDefault="0013656E" w:rsidP="00134FDB">
            <w:pPr>
              <w:rPr>
                <w:rFonts w:ascii="Arial" w:hAnsi="Arial" w:cs="Arial"/>
                <w:sz w:val="16"/>
                <w:szCs w:val="16"/>
                <w:lang w:eastAsia="es-MX"/>
              </w:rPr>
            </w:pPr>
          </w:p>
        </w:tc>
        <w:tc>
          <w:tcPr>
            <w:tcW w:w="48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505" w:type="dxa"/>
            <w:shd w:val="clear" w:color="auto" w:fill="auto"/>
            <w:noWrap/>
            <w:vAlign w:val="bottom"/>
            <w:hideMark/>
          </w:tcPr>
          <w:p w:rsidR="0013656E" w:rsidRDefault="0013656E" w:rsidP="00134FDB">
            <w:pPr>
              <w:jc w:val="right"/>
              <w:rPr>
                <w:rFonts w:ascii="Arial" w:hAnsi="Arial" w:cs="Arial"/>
                <w:b/>
                <w:sz w:val="16"/>
                <w:szCs w:val="16"/>
                <w:lang w:eastAsia="es-MX"/>
              </w:rPr>
            </w:pPr>
          </w:p>
        </w:tc>
      </w:tr>
    </w:tbl>
    <w:p w:rsidR="0013656E" w:rsidRPr="008E1530" w:rsidRDefault="0013656E" w:rsidP="0013656E">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13656E" w:rsidRPr="00174955" w:rsidTr="00134FDB">
        <w:trPr>
          <w:trHeight w:val="180"/>
          <w:jc w:val="center"/>
        </w:trPr>
        <w:tc>
          <w:tcPr>
            <w:tcW w:w="3076" w:type="dxa"/>
            <w:vMerge w:val="restart"/>
            <w:shd w:val="clear" w:color="auto" w:fill="632423" w:themeFill="accent2" w:themeFillShade="80"/>
            <w:noWrap/>
            <w:vAlign w:val="center"/>
            <w:hideMark/>
          </w:tcPr>
          <w:p w:rsidR="0013656E" w:rsidRPr="00174955" w:rsidRDefault="0013656E" w:rsidP="00134FDB">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13656E" w:rsidRPr="00174955" w:rsidRDefault="0013656E" w:rsidP="00134FDB">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13656E" w:rsidRPr="00174955" w:rsidRDefault="0013656E" w:rsidP="00134FDB">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13656E" w:rsidRPr="00174955" w:rsidTr="00134FDB">
        <w:trPr>
          <w:trHeight w:val="375"/>
          <w:jc w:val="center"/>
        </w:trPr>
        <w:tc>
          <w:tcPr>
            <w:tcW w:w="3076"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13656E" w:rsidRPr="00174955" w:rsidRDefault="0013656E" w:rsidP="00134FDB">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r>
      <w:tr w:rsidR="0013656E" w:rsidRPr="00174955" w:rsidTr="00134FDB">
        <w:trPr>
          <w:trHeight w:val="135"/>
          <w:jc w:val="center"/>
        </w:trPr>
        <w:tc>
          <w:tcPr>
            <w:tcW w:w="3076"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13656E" w:rsidRPr="00174955" w:rsidRDefault="0013656E" w:rsidP="00134FDB">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r>
      <w:tr w:rsidR="0013656E" w:rsidRPr="00174955" w:rsidTr="00134FDB">
        <w:trPr>
          <w:trHeight w:val="375"/>
          <w:jc w:val="center"/>
        </w:trPr>
        <w:tc>
          <w:tcPr>
            <w:tcW w:w="3076" w:type="dxa"/>
            <w:shd w:val="clear" w:color="auto" w:fill="auto"/>
            <w:noWrap/>
            <w:vAlign w:val="center"/>
            <w:hideMark/>
          </w:tcPr>
          <w:p w:rsidR="0013656E" w:rsidRDefault="0013656E" w:rsidP="00134FDB">
            <w:pPr>
              <w:rPr>
                <w:rFonts w:ascii="Arial" w:hAnsi="Arial" w:cs="Arial"/>
                <w:sz w:val="16"/>
                <w:szCs w:val="16"/>
                <w:lang w:eastAsia="es-MX"/>
              </w:rPr>
            </w:pPr>
            <w:r>
              <w:rPr>
                <w:rFonts w:ascii="Arial" w:hAnsi="Arial" w:cs="Arial"/>
                <w:sz w:val="16"/>
                <w:szCs w:val="16"/>
                <w:lang w:eastAsia="es-MX"/>
              </w:rPr>
              <w:t>2179-1  Otras provisiones a corto plazo</w:t>
            </w:r>
          </w:p>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9,299.31</w:t>
            </w:r>
          </w:p>
        </w:tc>
      </w:tr>
      <w:tr w:rsidR="0013656E" w:rsidRPr="00174955" w:rsidTr="00134FDB">
        <w:trPr>
          <w:trHeight w:val="375"/>
          <w:jc w:val="center"/>
        </w:trPr>
        <w:tc>
          <w:tcPr>
            <w:tcW w:w="3076" w:type="dxa"/>
            <w:shd w:val="clear" w:color="auto" w:fill="auto"/>
            <w:noWrap/>
            <w:vAlign w:val="center"/>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Default="0013656E" w:rsidP="00134FDB">
            <w:pPr>
              <w:jc w:val="right"/>
              <w:rPr>
                <w:rFonts w:ascii="Arial" w:hAnsi="Arial" w:cs="Arial"/>
                <w:sz w:val="16"/>
                <w:szCs w:val="16"/>
                <w:lang w:eastAsia="es-MX"/>
              </w:rPr>
            </w:pPr>
            <w:r>
              <w:rPr>
                <w:rFonts w:ascii="Arial" w:hAnsi="Arial" w:cs="Arial"/>
                <w:sz w:val="16"/>
                <w:szCs w:val="16"/>
                <w:lang w:eastAsia="es-MX"/>
              </w:rPr>
              <w:t>-9299.20</w:t>
            </w:r>
          </w:p>
        </w:tc>
      </w:tr>
      <w:tr w:rsidR="0013656E" w:rsidRPr="00174955" w:rsidTr="00134FDB">
        <w:trPr>
          <w:trHeight w:val="375"/>
          <w:jc w:val="center"/>
        </w:trPr>
        <w:tc>
          <w:tcPr>
            <w:tcW w:w="3076" w:type="dxa"/>
            <w:shd w:val="clear" w:color="auto" w:fill="auto"/>
            <w:noWrap/>
            <w:vAlign w:val="center"/>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1,057,340.18</w:t>
            </w:r>
          </w:p>
        </w:tc>
      </w:tr>
      <w:tr w:rsidR="0013656E" w:rsidRPr="00174955" w:rsidTr="00134FDB">
        <w:trPr>
          <w:trHeight w:val="375"/>
          <w:jc w:val="center"/>
        </w:trPr>
        <w:tc>
          <w:tcPr>
            <w:tcW w:w="3076" w:type="dxa"/>
            <w:shd w:val="clear" w:color="auto" w:fill="auto"/>
            <w:noWrap/>
            <w:vAlign w:val="center"/>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23,495.69</w:t>
            </w:r>
          </w:p>
        </w:tc>
      </w:tr>
      <w:tr w:rsidR="0013656E" w:rsidRPr="00174955" w:rsidTr="00134FDB">
        <w:trPr>
          <w:trHeight w:val="375"/>
          <w:jc w:val="center"/>
        </w:trPr>
        <w:tc>
          <w:tcPr>
            <w:tcW w:w="3076" w:type="dxa"/>
            <w:shd w:val="clear" w:color="auto" w:fill="auto"/>
            <w:noWrap/>
            <w:vAlign w:val="center"/>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-23,495.69</w:t>
            </w:r>
          </w:p>
        </w:tc>
      </w:tr>
      <w:tr w:rsidR="0013656E" w:rsidRPr="00174955" w:rsidTr="00134FDB">
        <w:trPr>
          <w:trHeight w:val="375"/>
          <w:jc w:val="center"/>
        </w:trPr>
        <w:tc>
          <w:tcPr>
            <w:tcW w:w="3076" w:type="dxa"/>
            <w:shd w:val="clear" w:color="auto" w:fill="auto"/>
            <w:noWrap/>
            <w:vAlign w:val="center"/>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Pr="0049787D" w:rsidRDefault="0013656E" w:rsidP="00134FDB">
            <w:pPr>
              <w:jc w:val="right"/>
              <w:rPr>
                <w:rFonts w:ascii="Arial" w:hAnsi="Arial" w:cs="Arial"/>
                <w:b/>
                <w:sz w:val="16"/>
                <w:szCs w:val="16"/>
                <w:lang w:eastAsia="es-MX"/>
              </w:rPr>
            </w:pPr>
            <w:r>
              <w:rPr>
                <w:rFonts w:ascii="Arial" w:hAnsi="Arial" w:cs="Arial"/>
                <w:b/>
                <w:sz w:val="16"/>
                <w:szCs w:val="16"/>
                <w:lang w:eastAsia="es-MX"/>
              </w:rPr>
              <w:t>0</w:t>
            </w:r>
          </w:p>
        </w:tc>
      </w:tr>
      <w:tr w:rsidR="0013656E" w:rsidRPr="00174955" w:rsidTr="00134FDB">
        <w:trPr>
          <w:trHeight w:val="375"/>
          <w:jc w:val="center"/>
        </w:trPr>
        <w:tc>
          <w:tcPr>
            <w:tcW w:w="3076" w:type="dxa"/>
            <w:shd w:val="clear" w:color="auto" w:fill="auto"/>
            <w:noWrap/>
            <w:vAlign w:val="center"/>
            <w:hideMark/>
          </w:tcPr>
          <w:p w:rsidR="0013656E" w:rsidRPr="0049787D" w:rsidRDefault="0013656E" w:rsidP="00134FDB">
            <w:pPr>
              <w:rPr>
                <w:rFonts w:ascii="Arial" w:hAnsi="Arial" w:cs="Arial"/>
                <w:sz w:val="16"/>
                <w:szCs w:val="16"/>
                <w:lang w:eastAsia="es-MX"/>
              </w:rPr>
            </w:pPr>
          </w:p>
        </w:tc>
        <w:tc>
          <w:tcPr>
            <w:tcW w:w="316"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611" w:type="dxa"/>
            <w:shd w:val="clear" w:color="auto" w:fill="auto"/>
            <w:noWrap/>
            <w:vAlign w:val="bottom"/>
            <w:hideMark/>
          </w:tcPr>
          <w:p w:rsidR="0013656E" w:rsidRDefault="0013656E" w:rsidP="00134FDB">
            <w:pPr>
              <w:jc w:val="right"/>
              <w:rPr>
                <w:rFonts w:ascii="Arial" w:hAnsi="Arial" w:cs="Arial"/>
                <w:b/>
                <w:sz w:val="16"/>
                <w:szCs w:val="16"/>
                <w:lang w:eastAsia="es-MX"/>
              </w:rPr>
            </w:pPr>
          </w:p>
        </w:tc>
      </w:tr>
    </w:tbl>
    <w:p w:rsidR="0013656E" w:rsidRDefault="0013656E" w:rsidP="0013656E">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13656E" w:rsidRDefault="0013656E" w:rsidP="0013656E">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13656E" w:rsidRPr="00174955" w:rsidTr="00134FDB">
        <w:trPr>
          <w:trHeight w:val="180"/>
        </w:trPr>
        <w:tc>
          <w:tcPr>
            <w:tcW w:w="5603" w:type="dxa"/>
            <w:vMerge w:val="restart"/>
            <w:shd w:val="clear" w:color="auto" w:fill="632423" w:themeFill="accent2" w:themeFillShade="80"/>
            <w:noWrap/>
            <w:vAlign w:val="center"/>
            <w:hideMark/>
          </w:tcPr>
          <w:p w:rsidR="0013656E" w:rsidRPr="00174955" w:rsidRDefault="0013656E" w:rsidP="00134FDB">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13656E" w:rsidRPr="00174955" w:rsidRDefault="0013656E" w:rsidP="00134FDB">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13656E" w:rsidRPr="00174955" w:rsidRDefault="0013656E" w:rsidP="00134FDB">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9pt;margin-top:8.15pt;width:201.45pt;height:18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" filled="f" strokecolor="black [3213]">
                  <v:textbox>
                    <w:txbxContent>
                      <w:p w:rsidR="0013656E" w:rsidRDefault="0013656E" w:rsidP="0013656E">
                        <w:pPr>
                          <w:pStyle w:val="ROMANOS"/>
                          <w:spacing w:after="0" w:line="240" w:lineRule="exact"/>
                          <w:jc w:val="left"/>
                          <w:rPr>
                            <w:lang w:val="es-MX"/>
                          </w:rPr>
                        </w:pPr>
                        <w:r>
                          <w:rPr>
                            <w:lang w:val="es-MX"/>
                          </w:rPr>
                          <w:t xml:space="preserve">Recurso integrado de la siguiente forma: </w:t>
                        </w:r>
                      </w:p>
                      <w:p w:rsidR="0013656E" w:rsidRDefault="0013656E" w:rsidP="0013656E">
                        <w:pPr>
                          <w:pStyle w:val="ROMANOS"/>
                          <w:spacing w:after="0" w:line="240" w:lineRule="exact"/>
                          <w:jc w:val="left"/>
                          <w:rPr>
                            <w:lang w:val="es-MX"/>
                          </w:rPr>
                        </w:pPr>
                        <w:r>
                          <w:rPr>
                            <w:lang w:val="es-MX"/>
                          </w:rPr>
                          <w:t>1) Ejercicio 2013, 70 millones;</w:t>
                        </w:r>
                      </w:p>
                      <w:p w:rsidR="0013656E" w:rsidRDefault="0013656E" w:rsidP="0013656E">
                        <w:pPr>
                          <w:pStyle w:val="ROMANOS"/>
                          <w:spacing w:after="0" w:line="240" w:lineRule="exact"/>
                          <w:jc w:val="left"/>
                          <w:rPr>
                            <w:lang w:val="es-MX"/>
                          </w:rPr>
                        </w:pPr>
                        <w:r>
                          <w:rPr>
                            <w:lang w:val="es-MX"/>
                          </w:rPr>
                          <w:t>2) Ejercicio 2014, 21 millones;</w:t>
                        </w:r>
                      </w:p>
                      <w:p w:rsidR="0013656E" w:rsidRDefault="0013656E" w:rsidP="0013656E">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13656E" w:rsidRDefault="0013656E" w:rsidP="0013656E">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13656E" w:rsidRDefault="0013656E" w:rsidP="0013656E">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13656E" w:rsidRPr="006E32C3" w:rsidRDefault="0013656E" w:rsidP="0013656E"/>
                    </w:txbxContent>
                  </v:textbox>
                </v:shape>
              </w:pict>
            </w:r>
            <w:r w:rsidRPr="00174955">
              <w:rPr>
                <w:rFonts w:ascii="Arial" w:eastAsia="Times New Roman" w:hAnsi="Arial" w:cs="Arial"/>
                <w:b/>
                <w:bCs/>
                <w:color w:val="FFFFFF"/>
                <w:sz w:val="18"/>
                <w:szCs w:val="18"/>
                <w:lang w:eastAsia="es-MX"/>
              </w:rPr>
              <w:t>IMPORTE</w:t>
            </w:r>
          </w:p>
        </w:tc>
      </w:tr>
      <w:tr w:rsidR="0013656E" w:rsidRPr="00174955" w:rsidTr="00134FDB">
        <w:trPr>
          <w:trHeight w:val="375"/>
        </w:trPr>
        <w:tc>
          <w:tcPr>
            <w:tcW w:w="5603"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13656E" w:rsidRPr="00174955" w:rsidRDefault="0013656E" w:rsidP="00134FDB">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r>
      <w:tr w:rsidR="0013656E" w:rsidRPr="00174955" w:rsidTr="00134FDB">
        <w:trPr>
          <w:trHeight w:val="135"/>
        </w:trPr>
        <w:tc>
          <w:tcPr>
            <w:tcW w:w="5603"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13656E" w:rsidRPr="00174955" w:rsidRDefault="0013656E" w:rsidP="00134FDB">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13656E" w:rsidRPr="00174955" w:rsidRDefault="0013656E" w:rsidP="00134FDB">
            <w:pPr>
              <w:spacing w:after="0" w:line="240" w:lineRule="auto"/>
              <w:rPr>
                <w:rFonts w:ascii="Arial" w:eastAsia="Times New Roman" w:hAnsi="Arial" w:cs="Arial"/>
                <w:b/>
                <w:bCs/>
                <w:color w:val="FFFFFF"/>
                <w:sz w:val="18"/>
                <w:szCs w:val="18"/>
                <w:lang w:eastAsia="es-MX"/>
              </w:rPr>
            </w:pP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-18,150.18</w:t>
            </w: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Pr="0049787D" w:rsidRDefault="0013656E" w:rsidP="00134FDB">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115,000,000</w:t>
            </w: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59,566,189.09</w:t>
            </w: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Pr="0049787D" w:rsidRDefault="0013656E" w:rsidP="00134FDB">
            <w:pPr>
              <w:jc w:val="right"/>
              <w:rPr>
                <w:rFonts w:ascii="Arial" w:hAnsi="Arial" w:cs="Arial"/>
                <w:sz w:val="16"/>
                <w:szCs w:val="16"/>
                <w:lang w:eastAsia="es-MX"/>
              </w:rPr>
            </w:pPr>
            <w:r>
              <w:rPr>
                <w:rFonts w:ascii="Arial" w:hAnsi="Arial" w:cs="Arial"/>
                <w:sz w:val="16"/>
                <w:szCs w:val="16"/>
                <w:lang w:eastAsia="es-MX"/>
              </w:rPr>
              <w:t>25,638,640.69</w:t>
            </w: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Default="0013656E" w:rsidP="00134FDB">
            <w:pPr>
              <w:jc w:val="right"/>
              <w:rPr>
                <w:rFonts w:ascii="Arial" w:hAnsi="Arial" w:cs="Arial"/>
                <w:sz w:val="16"/>
                <w:szCs w:val="16"/>
                <w:lang w:eastAsia="es-MX"/>
              </w:rPr>
            </w:pPr>
            <w:r>
              <w:rPr>
                <w:rFonts w:ascii="Arial" w:hAnsi="Arial" w:cs="Arial"/>
                <w:sz w:val="16"/>
                <w:szCs w:val="16"/>
                <w:lang w:eastAsia="es-MX"/>
              </w:rPr>
              <w:t>25,517,486.64</w:t>
            </w: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Default="0013656E" w:rsidP="00134FDB">
            <w:pPr>
              <w:jc w:val="right"/>
              <w:rPr>
                <w:rFonts w:ascii="Arial" w:hAnsi="Arial" w:cs="Arial"/>
                <w:sz w:val="16"/>
                <w:szCs w:val="16"/>
                <w:lang w:eastAsia="es-MX"/>
              </w:rPr>
            </w:pPr>
            <w:r>
              <w:rPr>
                <w:rFonts w:ascii="Arial" w:hAnsi="Arial" w:cs="Arial"/>
                <w:sz w:val="16"/>
                <w:szCs w:val="16"/>
                <w:lang w:eastAsia="es-MX"/>
              </w:rPr>
              <w:t>121,154.05</w:t>
            </w:r>
          </w:p>
        </w:tc>
      </w:tr>
      <w:tr w:rsidR="0013656E" w:rsidRPr="00174955" w:rsidTr="00134FDB">
        <w:trPr>
          <w:trHeight w:val="375"/>
        </w:trPr>
        <w:tc>
          <w:tcPr>
            <w:tcW w:w="5603" w:type="dxa"/>
            <w:shd w:val="clear" w:color="auto" w:fill="auto"/>
            <w:noWrap/>
            <w:vAlign w:val="center"/>
            <w:hideMark/>
          </w:tcPr>
          <w:p w:rsidR="0013656E" w:rsidRPr="0049787D" w:rsidRDefault="0013656E" w:rsidP="00134FDB">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13656E" w:rsidRPr="0049787D" w:rsidRDefault="0013656E" w:rsidP="00134FDB">
            <w:pPr>
              <w:rPr>
                <w:rFonts w:ascii="Arial" w:hAnsi="Arial" w:cs="Arial"/>
                <w:sz w:val="16"/>
                <w:szCs w:val="16"/>
                <w:lang w:eastAsia="es-MX"/>
              </w:rPr>
            </w:pPr>
          </w:p>
        </w:tc>
        <w:tc>
          <w:tcPr>
            <w:tcW w:w="2398" w:type="dxa"/>
            <w:shd w:val="clear" w:color="auto" w:fill="auto"/>
            <w:noWrap/>
            <w:vAlign w:val="center"/>
            <w:hideMark/>
          </w:tcPr>
          <w:p w:rsidR="0013656E" w:rsidRPr="0049787D" w:rsidRDefault="0013656E" w:rsidP="00134FDB">
            <w:pPr>
              <w:jc w:val="right"/>
              <w:rPr>
                <w:rFonts w:ascii="Arial" w:hAnsi="Arial" w:cs="Arial"/>
                <w:b/>
                <w:sz w:val="16"/>
                <w:szCs w:val="16"/>
                <w:lang w:eastAsia="es-MX"/>
              </w:rPr>
            </w:pPr>
            <w:r>
              <w:rPr>
                <w:rFonts w:ascii="Arial" w:hAnsi="Arial" w:cs="Arial"/>
                <w:b/>
                <w:sz w:val="16"/>
                <w:szCs w:val="16"/>
                <w:lang w:eastAsia="es-MX"/>
              </w:rPr>
              <w:t>200,186,679.60</w:t>
            </w:r>
          </w:p>
        </w:tc>
      </w:tr>
    </w:tbl>
    <w:p w:rsidR="0013656E" w:rsidRDefault="0013656E" w:rsidP="0013656E">
      <w:pPr>
        <w:pStyle w:val="ROMANOS"/>
        <w:spacing w:after="0" w:line="240" w:lineRule="exact"/>
        <w:ind w:left="723" w:firstLine="0"/>
        <w:rPr>
          <w:lang w:val="es-MX"/>
        </w:rPr>
      </w:pPr>
    </w:p>
    <w:p w:rsidR="0013656E" w:rsidRDefault="0013656E" w:rsidP="0013656E">
      <w:pPr>
        <w:pStyle w:val="ROMANOS"/>
        <w:spacing w:after="0" w:line="240" w:lineRule="exact"/>
        <w:rPr>
          <w:lang w:val="es-MX"/>
        </w:rPr>
      </w:pPr>
    </w:p>
    <w:p w:rsidR="0013656E" w:rsidRPr="00F9095E" w:rsidRDefault="0013656E" w:rsidP="0013656E">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13656E" w:rsidRPr="00F9095E" w:rsidRDefault="0013656E" w:rsidP="0013656E">
      <w:pPr>
        <w:pStyle w:val="INCISO"/>
        <w:spacing w:after="0" w:line="240" w:lineRule="exact"/>
        <w:ind w:left="360"/>
        <w:rPr>
          <w:b/>
          <w:smallCaps/>
        </w:rPr>
      </w:pPr>
    </w:p>
    <w:p w:rsidR="0013656E" w:rsidRPr="00F9095E" w:rsidRDefault="0013656E" w:rsidP="0013656E">
      <w:pPr>
        <w:pStyle w:val="ROMANOS"/>
        <w:spacing w:after="0" w:line="240" w:lineRule="exact"/>
        <w:rPr>
          <w:b/>
          <w:lang w:val="es-MX"/>
        </w:rPr>
      </w:pPr>
      <w:r w:rsidRPr="00F9095E">
        <w:rPr>
          <w:b/>
          <w:lang w:val="es-MX"/>
        </w:rPr>
        <w:t>Ingresos de Gestión</w:t>
      </w:r>
    </w:p>
    <w:p w:rsidR="0013656E" w:rsidRDefault="0013656E" w:rsidP="0013656E">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13656E" w:rsidRDefault="0013656E" w:rsidP="0013656E">
      <w:pPr>
        <w:pStyle w:val="ROMANOS"/>
        <w:spacing w:after="0" w:line="240" w:lineRule="exact"/>
        <w:ind w:left="648" w:firstLine="0"/>
        <w:rPr>
          <w:lang w:val="es-MX"/>
        </w:rPr>
      </w:pPr>
    </w:p>
    <w:p w:rsidR="0013656E" w:rsidRPr="00103909" w:rsidRDefault="0013656E" w:rsidP="0013656E">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13656E" w:rsidRPr="00517988" w:rsidRDefault="0013656E" w:rsidP="0013656E">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13656E" w:rsidRPr="00517988" w:rsidRDefault="0013656E" w:rsidP="0013656E">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13656E" w:rsidRDefault="0013656E" w:rsidP="0013656E">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13656E" w:rsidRPr="00F9095E" w:rsidRDefault="0013656E" w:rsidP="0013656E">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13656E" w:rsidRDefault="0013656E" w:rsidP="0013656E">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13656E" w:rsidRPr="00517988" w:rsidRDefault="0013656E" w:rsidP="0013656E">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13656E" w:rsidRPr="00F9095E" w:rsidRDefault="0013656E" w:rsidP="0013656E">
      <w:pPr>
        <w:pStyle w:val="ROMANOS"/>
        <w:spacing w:after="0" w:line="240" w:lineRule="exact"/>
        <w:rPr>
          <w:b/>
          <w:lang w:val="es-MX"/>
        </w:rPr>
      </w:pPr>
      <w:r w:rsidRPr="00F9095E">
        <w:rPr>
          <w:b/>
          <w:lang w:val="es-MX"/>
        </w:rPr>
        <w:t>Gastos y Otras Pérdidas:</w:t>
      </w:r>
    </w:p>
    <w:p w:rsidR="0013656E" w:rsidRDefault="0013656E" w:rsidP="0013656E">
      <w:pPr>
        <w:pStyle w:val="ROMANOS"/>
        <w:numPr>
          <w:ilvl w:val="0"/>
          <w:numId w:val="1"/>
        </w:numPr>
        <w:spacing w:after="0" w:line="240" w:lineRule="exact"/>
        <w:rPr>
          <w:lang w:val="es-MX"/>
        </w:rPr>
      </w:pPr>
      <w:r>
        <w:rPr>
          <w:lang w:val="es-MX"/>
        </w:rPr>
        <w:t>El comportamiento del gasto de acuerdo al Clasificador por Objeto del Gasto al 31 de marzo de 2019 fue el siguiente:</w:t>
      </w:r>
    </w:p>
    <w:p w:rsidR="0013656E" w:rsidRPr="00F9095E" w:rsidRDefault="0013656E" w:rsidP="0013656E">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13656E" w:rsidRPr="007B0956" w:rsidTr="00134FDB">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13656E" w:rsidRPr="007B0956" w:rsidRDefault="0013656E" w:rsidP="00134FDB">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13656E" w:rsidRPr="007B0956" w:rsidRDefault="0013656E" w:rsidP="00134FDB">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13656E" w:rsidRPr="007B0956" w:rsidRDefault="0013656E" w:rsidP="00134FDB">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13656E" w:rsidRPr="007B0956" w:rsidTr="00134FDB">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13656E" w:rsidRPr="007B0956" w:rsidRDefault="0013656E" w:rsidP="00134FD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13656E" w:rsidRPr="007B0956" w:rsidRDefault="0013656E" w:rsidP="00134FD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13656E" w:rsidRPr="007B0956" w:rsidRDefault="0013656E" w:rsidP="00134FDB">
            <w:pPr>
              <w:spacing w:after="0" w:line="240" w:lineRule="auto"/>
              <w:rPr>
                <w:rFonts w:ascii="Arial" w:eastAsia="Times New Roman" w:hAnsi="Arial" w:cs="Arial"/>
                <w:b/>
                <w:bCs/>
                <w:color w:val="FFFFFF"/>
                <w:sz w:val="18"/>
                <w:szCs w:val="18"/>
                <w:lang w:eastAsia="es-MX"/>
              </w:rPr>
            </w:pPr>
          </w:p>
        </w:tc>
      </w:tr>
      <w:tr w:rsidR="0013656E" w:rsidRPr="007B0956" w:rsidTr="00134FDB">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13656E" w:rsidRPr="007B0956" w:rsidRDefault="0013656E" w:rsidP="00134FD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13656E" w:rsidRPr="007B0956" w:rsidRDefault="0013656E" w:rsidP="00134FDB">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13656E" w:rsidRPr="007B0956" w:rsidRDefault="0013656E" w:rsidP="00134FDB">
            <w:pPr>
              <w:spacing w:after="0" w:line="240" w:lineRule="auto"/>
              <w:rPr>
                <w:rFonts w:ascii="Arial" w:eastAsia="Times New Roman" w:hAnsi="Arial" w:cs="Arial"/>
                <w:b/>
                <w:bCs/>
                <w:color w:val="FFFFFF"/>
                <w:sz w:val="18"/>
                <w:szCs w:val="18"/>
                <w:lang w:eastAsia="es-MX"/>
              </w:rPr>
            </w:pP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2,133,566</w:t>
            </w: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84,069</w:t>
            </w: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207,984</w:t>
            </w: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CA2F8A"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78,533,928</w:t>
            </w: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308,601,747</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3656E" w:rsidRPr="007B0956" w:rsidTr="00134FDB">
        <w:trPr>
          <w:trHeight w:val="328"/>
          <w:jc w:val="center"/>
        </w:trPr>
        <w:tc>
          <w:tcPr>
            <w:tcW w:w="2550" w:type="dxa"/>
            <w:gridSpan w:val="2"/>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3656E" w:rsidRPr="007B0956" w:rsidTr="00134FDB">
        <w:trPr>
          <w:trHeight w:val="328"/>
          <w:jc w:val="center"/>
        </w:trPr>
        <w:tc>
          <w:tcPr>
            <w:tcW w:w="1275"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13656E" w:rsidRPr="00510FE5" w:rsidRDefault="0013656E" w:rsidP="00134FDB">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3656E" w:rsidRPr="007B0956" w:rsidRDefault="0013656E" w:rsidP="00134FDB">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3656E" w:rsidRPr="000F30A9" w:rsidRDefault="0013656E" w:rsidP="00134FD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80,959,547</w:t>
            </w:r>
          </w:p>
        </w:tc>
      </w:tr>
    </w:tbl>
    <w:p w:rsidR="0013656E" w:rsidRDefault="0013656E" w:rsidP="0013656E">
      <w:pPr>
        <w:pStyle w:val="INCISO"/>
        <w:spacing w:after="0" w:line="360" w:lineRule="auto"/>
        <w:ind w:left="0" w:firstLine="0"/>
        <w:rPr>
          <w:b/>
          <w:smallCaps/>
        </w:rPr>
      </w:pPr>
    </w:p>
    <w:p w:rsidR="0013656E" w:rsidRDefault="0013656E" w:rsidP="0013656E">
      <w:pPr>
        <w:pStyle w:val="INCISO"/>
        <w:spacing w:after="0" w:line="360" w:lineRule="auto"/>
        <w:ind w:left="0" w:firstLine="0"/>
        <w:rPr>
          <w:b/>
          <w:smallCaps/>
        </w:rPr>
      </w:pPr>
    </w:p>
    <w:p w:rsidR="0013656E" w:rsidRDefault="0013656E" w:rsidP="0013656E">
      <w:pPr>
        <w:pStyle w:val="INCISO"/>
        <w:spacing w:after="0" w:line="360" w:lineRule="auto"/>
        <w:ind w:left="0" w:firstLine="0"/>
        <w:rPr>
          <w:b/>
          <w:smallCaps/>
        </w:rPr>
      </w:pPr>
    </w:p>
    <w:p w:rsidR="0013656E" w:rsidRPr="00DD4A00" w:rsidRDefault="0013656E" w:rsidP="0013656E">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13656E" w:rsidRPr="00633FC9" w:rsidRDefault="0013656E" w:rsidP="0013656E">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marzo del 2019, es de </w:t>
      </w:r>
      <w:r w:rsidRPr="00A60D50">
        <w:rPr>
          <w:lang w:val="es-MX"/>
        </w:rPr>
        <w:t xml:space="preserve">$ </w:t>
      </w:r>
      <w:r>
        <w:rPr>
          <w:lang w:val="es-MX"/>
        </w:rPr>
        <w:t>34,215,043.00</w:t>
      </w:r>
    </w:p>
    <w:p w:rsidR="0013656E" w:rsidRPr="0080532B" w:rsidRDefault="0013656E" w:rsidP="0013656E">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marzo del 2019, es de $ 109,155,820.00</w:t>
      </w:r>
    </w:p>
    <w:p w:rsidR="0013656E" w:rsidRDefault="0013656E" w:rsidP="0013656E">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marzo del 2019, asciende a </w:t>
      </w:r>
      <w:r w:rsidRPr="00A60D50">
        <w:rPr>
          <w:lang w:val="es-MX"/>
        </w:rPr>
        <w:t>$</w:t>
      </w:r>
      <w:r>
        <w:rPr>
          <w:lang w:val="es-MX"/>
        </w:rPr>
        <w:t xml:space="preserve"> -20,568,188.00</w:t>
      </w:r>
    </w:p>
    <w:p w:rsidR="0013656E" w:rsidRPr="0080532B" w:rsidRDefault="0013656E" w:rsidP="0013656E">
      <w:pPr>
        <w:pStyle w:val="ROMANOS"/>
        <w:spacing w:after="0" w:line="360" w:lineRule="auto"/>
        <w:rPr>
          <w:lang w:val="es-MX"/>
        </w:rPr>
      </w:pPr>
      <w:r>
        <w:rPr>
          <w:lang w:val="es-MX"/>
        </w:rPr>
        <w:t xml:space="preserve">4.     El saldo neto en la Hacienda Pública/Patrimonio al 31 de marzo del 2019 es por un total de </w:t>
      </w:r>
      <w:r w:rsidRPr="00A60D50">
        <w:rPr>
          <w:lang w:val="es-MX"/>
        </w:rPr>
        <w:t xml:space="preserve">$ </w:t>
      </w:r>
      <w:r>
        <w:rPr>
          <w:lang w:val="es-MX"/>
        </w:rPr>
        <w:t>122,802,675.00</w:t>
      </w:r>
    </w:p>
    <w:p w:rsidR="0013656E" w:rsidRPr="00F9095E" w:rsidRDefault="0013656E" w:rsidP="0013656E">
      <w:pPr>
        <w:pStyle w:val="ROMANOS"/>
        <w:spacing w:after="0" w:line="240" w:lineRule="exact"/>
        <w:ind w:left="1008" w:firstLine="0"/>
        <w:rPr>
          <w:lang w:val="es-MX"/>
        </w:rPr>
      </w:pPr>
    </w:p>
    <w:p w:rsidR="0013656E" w:rsidRPr="00F9095E" w:rsidRDefault="0013656E" w:rsidP="0013656E">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13656E" w:rsidRPr="00F9095E" w:rsidRDefault="0013656E" w:rsidP="0013656E">
      <w:pPr>
        <w:pStyle w:val="INCISO"/>
        <w:spacing w:after="0" w:line="240" w:lineRule="exact"/>
        <w:ind w:left="360"/>
        <w:rPr>
          <w:b/>
          <w:smallCaps/>
        </w:rPr>
      </w:pPr>
    </w:p>
    <w:p w:rsidR="0013656E" w:rsidRPr="00F9095E" w:rsidRDefault="0013656E" w:rsidP="0013656E">
      <w:pPr>
        <w:pStyle w:val="ROMANOS"/>
        <w:spacing w:after="0" w:line="360" w:lineRule="auto"/>
        <w:rPr>
          <w:b/>
          <w:lang w:val="es-MX"/>
        </w:rPr>
      </w:pPr>
      <w:r w:rsidRPr="00F9095E">
        <w:rPr>
          <w:b/>
          <w:lang w:val="es-MX"/>
        </w:rPr>
        <w:t>Efectivo y equivalentes</w:t>
      </w:r>
    </w:p>
    <w:p w:rsidR="0013656E" w:rsidRPr="00F9095E" w:rsidRDefault="0013656E" w:rsidP="0013656E">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13656E" w:rsidRPr="00F9095E" w:rsidRDefault="0013656E" w:rsidP="0013656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jc w:val="center"/>
              <w:rPr>
                <w:szCs w:val="18"/>
                <w:lang w:val="es-MX"/>
              </w:rPr>
            </w:pPr>
            <w:r>
              <w:rPr>
                <w:szCs w:val="18"/>
                <w:lang w:val="es-MX"/>
              </w:rPr>
              <w:t>2019</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jc w:val="center"/>
              <w:rPr>
                <w:szCs w:val="18"/>
                <w:lang w:val="es-MX"/>
              </w:rPr>
            </w:pPr>
            <w:r w:rsidRPr="00F9095E">
              <w:rPr>
                <w:szCs w:val="18"/>
                <w:lang w:val="es-MX"/>
              </w:rPr>
              <w:t>201</w:t>
            </w:r>
            <w:r>
              <w:rPr>
                <w:szCs w:val="18"/>
                <w:lang w:val="es-MX"/>
              </w:rPr>
              <w:t>8</w:t>
            </w:r>
          </w:p>
        </w:tc>
      </w:tr>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13656E" w:rsidRPr="00A60D50" w:rsidRDefault="0013656E" w:rsidP="00134FDB">
            <w:pPr>
              <w:pStyle w:val="Texto"/>
              <w:spacing w:after="0" w:line="240" w:lineRule="exact"/>
              <w:ind w:firstLine="0"/>
              <w:jc w:val="center"/>
              <w:rPr>
                <w:szCs w:val="18"/>
                <w:lang w:val="es-MX"/>
              </w:rPr>
            </w:pPr>
            <w:r>
              <w:rPr>
                <w:bCs/>
                <w:szCs w:val="18"/>
                <w:lang w:eastAsia="es-MX"/>
              </w:rPr>
              <w:t>173,374,652</w:t>
            </w:r>
          </w:p>
        </w:tc>
        <w:tc>
          <w:tcPr>
            <w:tcW w:w="144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bCs/>
                <w:szCs w:val="18"/>
                <w:lang w:eastAsia="es-MX"/>
              </w:rPr>
              <w:t>193,369,918</w:t>
            </w:r>
          </w:p>
        </w:tc>
      </w:tr>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4103"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13656E" w:rsidRPr="00A60D50" w:rsidRDefault="0013656E" w:rsidP="00134FDB">
            <w:pPr>
              <w:pStyle w:val="Texto"/>
              <w:spacing w:after="0" w:line="240" w:lineRule="exact"/>
              <w:ind w:firstLine="0"/>
              <w:jc w:val="center"/>
              <w:rPr>
                <w:szCs w:val="18"/>
                <w:lang w:val="es-MX"/>
              </w:rPr>
            </w:pPr>
            <w:r>
              <w:rPr>
                <w:bCs/>
                <w:szCs w:val="18"/>
                <w:lang w:eastAsia="es-MX"/>
              </w:rPr>
              <w:t>173,374,652</w:t>
            </w:r>
          </w:p>
        </w:tc>
        <w:tc>
          <w:tcPr>
            <w:tcW w:w="144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193,369,918</w:t>
            </w:r>
          </w:p>
        </w:tc>
      </w:tr>
    </w:tbl>
    <w:p w:rsidR="0013656E" w:rsidRPr="00F9095E" w:rsidRDefault="0013656E" w:rsidP="0013656E">
      <w:pPr>
        <w:pStyle w:val="Texto"/>
        <w:spacing w:after="0" w:line="240" w:lineRule="exact"/>
        <w:rPr>
          <w:szCs w:val="18"/>
          <w:lang w:val="es-MX"/>
        </w:rPr>
      </w:pPr>
    </w:p>
    <w:p w:rsidR="0013656E" w:rsidRDefault="0013656E" w:rsidP="0013656E">
      <w:pPr>
        <w:pStyle w:val="ROMANOS"/>
        <w:spacing w:after="0" w:line="360" w:lineRule="auto"/>
        <w:ind w:left="288" w:firstLine="0"/>
        <w:rPr>
          <w:lang w:val="es-MX"/>
        </w:rPr>
      </w:pPr>
    </w:p>
    <w:p w:rsidR="0013656E" w:rsidRPr="00F9095E" w:rsidRDefault="0013656E" w:rsidP="0013656E">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jc w:val="center"/>
              <w:rPr>
                <w:szCs w:val="18"/>
                <w:lang w:val="es-MX"/>
              </w:rPr>
            </w:pPr>
            <w:r>
              <w:rPr>
                <w:szCs w:val="18"/>
                <w:lang w:val="es-MX"/>
              </w:rPr>
              <w:t>2019</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jc w:val="center"/>
              <w:rPr>
                <w:szCs w:val="18"/>
                <w:lang w:val="es-MX"/>
              </w:rPr>
            </w:pPr>
            <w:r>
              <w:rPr>
                <w:szCs w:val="18"/>
                <w:lang w:val="es-MX"/>
              </w:rPr>
              <w:t>2018</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3656E" w:rsidRPr="00F9095E" w:rsidRDefault="0013656E" w:rsidP="00134FDB">
            <w:pPr>
              <w:pStyle w:val="Texto"/>
              <w:spacing w:after="0" w:line="240" w:lineRule="exact"/>
              <w:ind w:firstLine="0"/>
              <w:jc w:val="center"/>
              <w:rPr>
                <w:szCs w:val="18"/>
                <w:lang w:val="es-MX"/>
              </w:rPr>
            </w:pPr>
            <w:r>
              <w:rPr>
                <w:szCs w:val="18"/>
                <w:lang w:val="es-MX"/>
              </w:rPr>
              <w:t>2017</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b/>
                <w:szCs w:val="18"/>
                <w:lang w:val="es-MX"/>
              </w:rPr>
            </w:pPr>
            <w:r>
              <w:rPr>
                <w:b/>
                <w:szCs w:val="18"/>
                <w:lang w:val="es-MX"/>
              </w:rPr>
              <w:t>-20,568,188</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b/>
                <w:szCs w:val="18"/>
                <w:lang w:val="es-MX"/>
              </w:rPr>
            </w:pPr>
            <w:r>
              <w:rPr>
                <w:b/>
                <w:szCs w:val="18"/>
                <w:lang w:val="es-MX"/>
              </w:rPr>
              <w:t>-18,564,933</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b/>
                <w:szCs w:val="18"/>
                <w:lang w:val="es-MX"/>
              </w:rPr>
            </w:pPr>
            <w:r>
              <w:rPr>
                <w:b/>
                <w:szCs w:val="18"/>
                <w:lang w:val="es-MX"/>
              </w:rPr>
              <w:t>10,431,258</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5,108,050</w:t>
            </w:r>
          </w:p>
          <w:p w:rsidR="0013656E" w:rsidRDefault="0013656E" w:rsidP="00134FDB">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2,944,488</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11,234,515</w:t>
            </w:r>
          </w:p>
        </w:tc>
      </w:tr>
      <w:tr w:rsidR="0013656E" w:rsidRPr="00F9095E" w:rsidTr="00134FDB">
        <w:trPr>
          <w:cantSplit/>
          <w:jc w:val="center"/>
        </w:trPr>
        <w:tc>
          <w:tcPr>
            <w:tcW w:w="6436"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13656E" w:rsidRDefault="0013656E" w:rsidP="00134FDB">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13656E" w:rsidRPr="00F9095E" w:rsidRDefault="0013656E" w:rsidP="00134FDB">
            <w:pPr>
              <w:pStyle w:val="Texto"/>
              <w:spacing w:after="0" w:line="240" w:lineRule="exact"/>
              <w:ind w:firstLine="0"/>
              <w:jc w:val="center"/>
              <w:rPr>
                <w:szCs w:val="18"/>
                <w:lang w:val="es-MX"/>
              </w:rPr>
            </w:pPr>
            <w:r>
              <w:rPr>
                <w:szCs w:val="18"/>
                <w:lang w:val="es-MX"/>
              </w:rPr>
              <w:t>0</w:t>
            </w:r>
          </w:p>
        </w:tc>
      </w:tr>
    </w:tbl>
    <w:p w:rsidR="0013656E" w:rsidRDefault="0013656E" w:rsidP="0013656E">
      <w:pPr>
        <w:pStyle w:val="Texto"/>
        <w:spacing w:after="0" w:line="240" w:lineRule="exact"/>
        <w:rPr>
          <w:szCs w:val="18"/>
          <w:lang w:val="es-MX"/>
        </w:rPr>
      </w:pPr>
      <w:r>
        <w:rPr>
          <w:noProof/>
          <w:lang w:val="es-MX" w:eastAsia="es-MX"/>
        </w:rPr>
        <w:lastRenderedPageBreak/>
        <w:object w:dxaOrig="1440" w:dyaOrig="1440">
          <v:shape id="_x0000_s1039" type="#_x0000_t75" style="position:absolute;left:0;text-align:left;margin-left:-14.25pt;margin-top:0;width:384pt;height:175.3pt;z-index:251661312;mso-position-horizontal-relative:text;mso-position-vertical-relative:text">
            <v:imagedata r:id="rId22" o:title=""/>
            <w10:wrap type="topAndBottom"/>
          </v:shape>
          <o:OLEObject Type="Embed" ProgID="Excel.Sheet.12" ShapeID="_x0000_s1039" DrawAspect="Content" ObjectID="_1617709928" r:id="rId23"/>
        </w:object>
      </w:r>
      <w:r>
        <w:rPr>
          <w:noProof/>
        </w:rPr>
        <w:object w:dxaOrig="1440" w:dyaOrig="1440">
          <v:shape id="_x0000_s1040" type="#_x0000_t75" style="position:absolute;left:0;text-align:left;margin-left:330.5pt;margin-top:0;width:389.5pt;height:315.7pt;z-index:251662336;mso-position-horizontal-relative:text;mso-position-vertical-relative:text">
            <v:imagedata r:id="rId24" o:title=""/>
            <w10:wrap type="topAndBottom"/>
          </v:shape>
          <o:OLEObject Type="Embed" ProgID="Excel.Sheet.12" ShapeID="_x0000_s1040" DrawAspect="Content" ObjectID="_1617709929" r:id="rId25"/>
        </w:object>
      </w:r>
    </w:p>
    <w:p w:rsidR="0013656E" w:rsidRDefault="0013656E" w:rsidP="0013656E">
      <w:pPr>
        <w:pStyle w:val="INCISO"/>
        <w:spacing w:after="0" w:line="240" w:lineRule="exact"/>
        <w:ind w:left="360"/>
        <w:rPr>
          <w:b/>
          <w:smallCaps/>
        </w:rPr>
      </w:pPr>
    </w:p>
    <w:p w:rsidR="0013656E" w:rsidRDefault="0013656E" w:rsidP="0013656E">
      <w:pPr>
        <w:pStyle w:val="INCISO"/>
        <w:spacing w:after="0" w:line="240" w:lineRule="exact"/>
        <w:ind w:left="360"/>
        <w:rPr>
          <w:b/>
          <w:smallCaps/>
        </w:rPr>
      </w:pPr>
    </w:p>
    <w:p w:rsidR="0013656E" w:rsidRDefault="0013656E" w:rsidP="0013656E">
      <w:pPr>
        <w:pStyle w:val="INCISO"/>
        <w:spacing w:after="0" w:line="240" w:lineRule="exact"/>
        <w:ind w:left="360"/>
        <w:rPr>
          <w:b/>
          <w:smallCaps/>
        </w:rPr>
      </w:pPr>
    </w:p>
    <w:p w:rsidR="0013656E" w:rsidRPr="00F9095E" w:rsidRDefault="0013656E" w:rsidP="0013656E">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13656E" w:rsidRPr="00996EB6" w:rsidRDefault="0013656E" w:rsidP="0013656E">
      <w:pPr>
        <w:pStyle w:val="Texto"/>
        <w:spacing w:after="0" w:line="240" w:lineRule="exact"/>
        <w:ind w:firstLine="0"/>
        <w:rPr>
          <w:szCs w:val="18"/>
        </w:rPr>
      </w:pPr>
    </w:p>
    <w:p w:rsidR="0013656E" w:rsidRDefault="0013656E" w:rsidP="0013656E">
      <w:pPr>
        <w:pStyle w:val="Texto"/>
        <w:spacing w:after="0" w:line="240" w:lineRule="exact"/>
        <w:jc w:val="center"/>
        <w:rPr>
          <w:b/>
          <w:smallCaps/>
          <w:szCs w:val="18"/>
          <w:lang w:val="es-MX"/>
        </w:rPr>
      </w:pPr>
    </w:p>
    <w:p w:rsidR="0013656E" w:rsidRDefault="0013656E" w:rsidP="0013656E">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13656E" w:rsidRDefault="0013656E" w:rsidP="0013656E">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13656E" w:rsidRPr="005978B1" w:rsidRDefault="0013656E" w:rsidP="0013656E">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13656E" w:rsidRPr="00D73B82" w:rsidRDefault="0013656E" w:rsidP="0013656E">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13656E" w:rsidRDefault="0013656E" w:rsidP="0013656E">
      <w:pPr>
        <w:pStyle w:val="Texto"/>
        <w:spacing w:after="0" w:line="240" w:lineRule="exact"/>
        <w:ind w:firstLine="0"/>
        <w:rPr>
          <w:b/>
          <w:szCs w:val="18"/>
        </w:rPr>
      </w:pPr>
    </w:p>
    <w:p w:rsidR="0013656E" w:rsidRDefault="0013656E" w:rsidP="0013656E">
      <w:pPr>
        <w:pStyle w:val="Texto"/>
        <w:spacing w:after="0" w:line="240" w:lineRule="exact"/>
        <w:ind w:firstLine="0"/>
        <w:rPr>
          <w:b/>
          <w:szCs w:val="18"/>
        </w:rPr>
      </w:pPr>
    </w:p>
    <w:p w:rsidR="0013656E" w:rsidRPr="00F9095E" w:rsidRDefault="0013656E" w:rsidP="0013656E">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13656E" w:rsidRPr="00F9095E" w:rsidRDefault="0013656E" w:rsidP="0013656E">
      <w:pPr>
        <w:pStyle w:val="Texto"/>
        <w:spacing w:after="0" w:line="240" w:lineRule="exact"/>
        <w:ind w:firstLine="0"/>
        <w:rPr>
          <w:b/>
          <w:szCs w:val="18"/>
          <w:lang w:val="es-MX"/>
        </w:rPr>
      </w:pPr>
    </w:p>
    <w:p w:rsidR="0013656E" w:rsidRPr="00F9095E" w:rsidRDefault="0013656E" w:rsidP="0013656E">
      <w:pPr>
        <w:pStyle w:val="Texto"/>
        <w:spacing w:after="0" w:line="240" w:lineRule="exact"/>
        <w:ind w:firstLine="0"/>
        <w:rPr>
          <w:b/>
          <w:szCs w:val="18"/>
          <w:lang w:val="es-MX"/>
        </w:rPr>
      </w:pPr>
    </w:p>
    <w:p w:rsidR="0013656E" w:rsidRPr="006D2AC2" w:rsidRDefault="0013656E" w:rsidP="0013656E">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13656E" w:rsidRPr="006D2AC2" w:rsidRDefault="0013656E" w:rsidP="0013656E">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31 de marzo de 2019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13656E" w:rsidRPr="006D2AC2" w:rsidTr="00134F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3656E" w:rsidRPr="006D2AC2" w:rsidRDefault="0013656E" w:rsidP="00134FDB">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13656E" w:rsidRPr="006D2AC2" w:rsidRDefault="0013656E" w:rsidP="00134FDB">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13656E" w:rsidRPr="006D2AC2" w:rsidTr="00134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13656E" w:rsidRPr="006D2AC2" w:rsidRDefault="0013656E" w:rsidP="00134FD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13656E" w:rsidRPr="006D2AC2" w:rsidTr="00134FD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13656E" w:rsidRPr="006D2AC2" w:rsidRDefault="0013656E" w:rsidP="00134FDB">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615,649,147</w:t>
            </w:r>
          </w:p>
        </w:tc>
      </w:tr>
      <w:tr w:rsidR="0013656E" w:rsidRPr="006D2AC2" w:rsidTr="00134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13656E" w:rsidRPr="006D2AC2" w:rsidRDefault="0013656E" w:rsidP="00134FD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13656E" w:rsidRPr="006D2AC2" w:rsidTr="00134FD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13656E" w:rsidRPr="006D2AC2" w:rsidRDefault="0013656E" w:rsidP="00134FD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13656E" w:rsidRPr="006D2AC2" w:rsidRDefault="0013656E" w:rsidP="00134FD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13656E" w:rsidRPr="006D2AC2" w:rsidTr="00134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13656E" w:rsidRPr="006D2AC2" w:rsidRDefault="0013656E" w:rsidP="00134FD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13656E" w:rsidRPr="006D2AC2" w:rsidRDefault="0013656E" w:rsidP="00134FDB">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60,355,271</w:t>
            </w:r>
          </w:p>
        </w:tc>
      </w:tr>
      <w:tr w:rsidR="0013656E" w:rsidRPr="006D2AC2" w:rsidTr="00134FD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p>
        </w:tc>
        <w:tc>
          <w:tcPr>
            <w:tcW w:w="4397" w:type="dxa"/>
          </w:tcPr>
          <w:p w:rsidR="0013656E" w:rsidRPr="006D2AC2" w:rsidRDefault="0013656E" w:rsidP="00134FD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13656E" w:rsidRPr="006D2AC2" w:rsidRDefault="0013656E" w:rsidP="00134FD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3656E" w:rsidRPr="006D2AC2" w:rsidTr="00134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3656E" w:rsidRPr="006D2AC2" w:rsidRDefault="0013656E" w:rsidP="00134FD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13656E" w:rsidRPr="006D2AC2" w:rsidRDefault="0013656E" w:rsidP="00134FD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13656E" w:rsidRPr="006D2AC2" w:rsidTr="00134FD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13656E" w:rsidRPr="006D2AC2" w:rsidRDefault="0013656E" w:rsidP="00134FD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13656E" w:rsidRPr="006D2AC2" w:rsidTr="00134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13656E" w:rsidRPr="006D2AC2" w:rsidRDefault="0013656E" w:rsidP="00134FD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595,080,959</w:t>
            </w:r>
          </w:p>
        </w:tc>
      </w:tr>
      <w:tr w:rsidR="0013656E" w:rsidRPr="006D2AC2" w:rsidTr="00134FD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13656E" w:rsidRPr="006D2AC2" w:rsidRDefault="0013656E" w:rsidP="00134FD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13656E" w:rsidRPr="006D2AC2" w:rsidTr="00134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13656E" w:rsidRPr="006D2AC2" w:rsidRDefault="0013656E" w:rsidP="00134FDB">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13656E" w:rsidRPr="006D2AC2" w:rsidTr="00134FDB">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13656E" w:rsidRPr="006D2AC2" w:rsidRDefault="0013656E" w:rsidP="00134FDB">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13656E" w:rsidRPr="006D2AC2" w:rsidRDefault="0013656E" w:rsidP="00134FDB">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13656E" w:rsidRPr="006D2AC2" w:rsidRDefault="0013656E" w:rsidP="00134FDB">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13656E" w:rsidRDefault="0013656E" w:rsidP="0013656E">
      <w:pPr>
        <w:pStyle w:val="Prrafodelista"/>
        <w:spacing w:line="360" w:lineRule="auto"/>
        <w:ind w:left="1080"/>
      </w:pPr>
    </w:p>
    <w:p w:rsidR="0013656E" w:rsidRPr="00487380" w:rsidRDefault="0013656E" w:rsidP="0013656E">
      <w:pPr>
        <w:spacing w:line="360" w:lineRule="auto"/>
        <w:jc w:val="both"/>
        <w:rPr>
          <w:rFonts w:ascii="Arial" w:hAnsi="Arial" w:cs="Arial"/>
          <w:sz w:val="18"/>
          <w:szCs w:val="18"/>
        </w:rPr>
      </w:pPr>
    </w:p>
    <w:p w:rsidR="0013656E" w:rsidRPr="005978B1" w:rsidRDefault="0013656E" w:rsidP="0013656E">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13656E" w:rsidRDefault="0013656E" w:rsidP="0013656E">
      <w:pPr>
        <w:pStyle w:val="Sinespaciado"/>
        <w:ind w:firstLine="708"/>
        <w:rPr>
          <w:rFonts w:ascii="Arial" w:hAnsi="Arial" w:cs="Arial"/>
          <w:sz w:val="18"/>
          <w:szCs w:val="18"/>
        </w:rPr>
      </w:pPr>
    </w:p>
    <w:p w:rsidR="0013656E" w:rsidRDefault="0013656E" w:rsidP="0013656E">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13656E" w:rsidRPr="005978B1" w:rsidRDefault="0013656E" w:rsidP="0013656E">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13656E" w:rsidRPr="005978B1" w:rsidRDefault="0013656E" w:rsidP="0013656E">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13656E" w:rsidRDefault="0013656E" w:rsidP="0013656E"/>
    <w:p w:rsidR="0013656E" w:rsidRDefault="0013656E" w:rsidP="0013656E"/>
    <w:p w:rsidR="0013656E" w:rsidRPr="00F9095E" w:rsidRDefault="0013656E" w:rsidP="0013656E">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13656E" w:rsidRPr="00F9095E" w:rsidRDefault="0013656E" w:rsidP="0013656E">
      <w:pPr>
        <w:pStyle w:val="Texto"/>
        <w:spacing w:after="0" w:line="240" w:lineRule="exact"/>
        <w:ind w:firstLine="0"/>
        <w:jc w:val="center"/>
        <w:rPr>
          <w:b/>
          <w:szCs w:val="18"/>
          <w:lang w:val="es-MX"/>
        </w:rPr>
      </w:pPr>
    </w:p>
    <w:p w:rsidR="0013656E" w:rsidRPr="00F9095E" w:rsidRDefault="0013656E" w:rsidP="0013656E">
      <w:pPr>
        <w:pStyle w:val="Texto"/>
        <w:spacing w:after="0" w:line="240" w:lineRule="exact"/>
        <w:rPr>
          <w:b/>
          <w:szCs w:val="18"/>
        </w:rPr>
      </w:pPr>
      <w:r w:rsidRPr="00F9095E">
        <w:rPr>
          <w:b/>
          <w:szCs w:val="18"/>
          <w:lang w:val="es-MX"/>
        </w:rPr>
        <w:t>1.</w:t>
      </w:r>
      <w:r w:rsidRPr="00F9095E">
        <w:rPr>
          <w:b/>
          <w:szCs w:val="18"/>
          <w:lang w:val="es-MX"/>
        </w:rPr>
        <w:tab/>
        <w:t>Introducción</w:t>
      </w:r>
    </w:p>
    <w:p w:rsidR="0013656E" w:rsidRDefault="0013656E" w:rsidP="0013656E">
      <w:pPr>
        <w:spacing w:line="360" w:lineRule="auto"/>
        <w:jc w:val="both"/>
        <w:rPr>
          <w:rFonts w:ascii="Arial" w:hAnsi="Arial" w:cs="Arial"/>
          <w:sz w:val="18"/>
          <w:szCs w:val="18"/>
        </w:rPr>
      </w:pP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 xml:space="preserve">del Gobierno del Estado, </w:t>
      </w:r>
      <w:r w:rsidRPr="00A553A9">
        <w:rPr>
          <w:rFonts w:ascii="Arial" w:hAnsi="Arial" w:cs="Arial"/>
          <w:sz w:val="18"/>
          <w:szCs w:val="18"/>
        </w:rPr>
        <w:t xml:space="preserve"> municipios e instituciones descentralizadas, mediante descuentos obligatorios que se hagan sobre los sueldos de los servidores públicos comprendidos en la Ley de referencia.</w:t>
      </w:r>
    </w:p>
    <w:p w:rsidR="0013656E" w:rsidRDefault="0013656E" w:rsidP="0013656E">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13656E" w:rsidRPr="00F9095E" w:rsidRDefault="0013656E" w:rsidP="0013656E">
      <w:pPr>
        <w:pStyle w:val="Texto"/>
        <w:spacing w:after="0" w:line="240" w:lineRule="exact"/>
        <w:rPr>
          <w:b/>
          <w:szCs w:val="18"/>
          <w:lang w:val="es-MX"/>
        </w:rPr>
      </w:pPr>
    </w:p>
    <w:p w:rsidR="0013656E" w:rsidRPr="00F9095E" w:rsidRDefault="0013656E" w:rsidP="0013656E">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hizo</w:t>
      </w:r>
      <w:r w:rsidRPr="00A553A9">
        <w:rPr>
          <w:rFonts w:ascii="Arial" w:hAnsi="Arial" w:cs="Arial"/>
          <w:sz w:val="18"/>
          <w:szCs w:val="18"/>
        </w:rPr>
        <w:t xml:space="preserve"> ne</w:t>
      </w:r>
      <w:r>
        <w:rPr>
          <w:rFonts w:ascii="Arial" w:hAnsi="Arial" w:cs="Arial"/>
          <w:sz w:val="18"/>
          <w:szCs w:val="18"/>
        </w:rPr>
        <w:t xml:space="preserve">cesario la implementación de </w:t>
      </w:r>
      <w:r w:rsidRPr="00A553A9">
        <w:rPr>
          <w:rFonts w:ascii="Arial" w:hAnsi="Arial" w:cs="Arial"/>
          <w:sz w:val="18"/>
          <w:szCs w:val="18"/>
        </w:rPr>
        <w:t xml:space="preserve"> metodología para la determinación de los Momentos Contables de los Egresos y la generación de un nue</w:t>
      </w:r>
      <w:r>
        <w:rPr>
          <w:rFonts w:ascii="Arial" w:hAnsi="Arial" w:cs="Arial"/>
          <w:sz w:val="18"/>
          <w:szCs w:val="18"/>
        </w:rPr>
        <w:t>vo plan de cuentas que contemplo</w:t>
      </w:r>
      <w:r w:rsidRPr="00A553A9">
        <w:rPr>
          <w:rFonts w:ascii="Arial" w:hAnsi="Arial" w:cs="Arial"/>
          <w:sz w:val="18"/>
          <w:szCs w:val="18"/>
        </w:rPr>
        <w:t xml:space="preserve"> todo lo mencionado.</w:t>
      </w:r>
    </w:p>
    <w:p w:rsidR="0013656E" w:rsidRDefault="0013656E" w:rsidP="0013656E">
      <w:pPr>
        <w:pStyle w:val="Texto"/>
        <w:spacing w:after="0" w:line="240" w:lineRule="exact"/>
        <w:rPr>
          <w:b/>
          <w:szCs w:val="18"/>
          <w:lang w:val="es-MX"/>
        </w:rPr>
      </w:pPr>
    </w:p>
    <w:p w:rsidR="0013656E" w:rsidRPr="00F9095E" w:rsidRDefault="0013656E" w:rsidP="0013656E">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13656E" w:rsidRDefault="0013656E" w:rsidP="0013656E">
      <w:pPr>
        <w:spacing w:line="360" w:lineRule="auto"/>
        <w:jc w:val="both"/>
        <w:rPr>
          <w:rFonts w:ascii="Arial" w:hAnsi="Arial" w:cs="Arial"/>
          <w:sz w:val="18"/>
          <w:szCs w:val="18"/>
        </w:rPr>
      </w:pP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13656E" w:rsidRPr="00A553A9" w:rsidRDefault="0013656E" w:rsidP="0013656E">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13656E" w:rsidRPr="00A553A9" w:rsidRDefault="0013656E" w:rsidP="0013656E">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13656E" w:rsidRPr="00A553A9" w:rsidRDefault="0013656E" w:rsidP="0013656E">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13656E" w:rsidRPr="00A553A9" w:rsidRDefault="0013656E" w:rsidP="0013656E">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13656E" w:rsidRPr="00A553A9" w:rsidRDefault="0013656E" w:rsidP="0013656E">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13656E" w:rsidRPr="00A553A9" w:rsidRDefault="0013656E" w:rsidP="0013656E">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13656E" w:rsidRPr="00A553A9" w:rsidRDefault="0013656E" w:rsidP="0013656E">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lastRenderedPageBreak/>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13656E" w:rsidRPr="00A553A9" w:rsidRDefault="0013656E" w:rsidP="0013656E">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13656E" w:rsidRPr="00A553A9" w:rsidRDefault="0013656E" w:rsidP="0013656E">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13656E" w:rsidRDefault="0013656E" w:rsidP="0013656E">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13656E" w:rsidRDefault="0013656E" w:rsidP="0013656E">
      <w:pPr>
        <w:spacing w:line="360" w:lineRule="auto"/>
        <w:jc w:val="both"/>
        <w:rPr>
          <w:rFonts w:ascii="Arial" w:hAnsi="Arial" w:cs="Arial"/>
          <w:sz w:val="18"/>
          <w:szCs w:val="18"/>
        </w:rPr>
      </w:pPr>
    </w:p>
    <w:p w:rsidR="0013656E" w:rsidRDefault="0013656E" w:rsidP="0013656E">
      <w:pPr>
        <w:spacing w:line="360" w:lineRule="auto"/>
        <w:jc w:val="both"/>
        <w:rPr>
          <w:rFonts w:ascii="Arial" w:hAnsi="Arial" w:cs="Arial"/>
          <w:sz w:val="18"/>
          <w:szCs w:val="18"/>
        </w:rPr>
      </w:pPr>
    </w:p>
    <w:p w:rsidR="0013656E" w:rsidRDefault="0013656E" w:rsidP="0013656E">
      <w:pPr>
        <w:pStyle w:val="Texto"/>
        <w:spacing w:after="0" w:line="240" w:lineRule="exact"/>
        <w:rPr>
          <w:b/>
          <w:szCs w:val="18"/>
          <w:lang w:val="es-MX"/>
        </w:rPr>
      </w:pPr>
    </w:p>
    <w:p w:rsidR="0013656E" w:rsidRPr="00F9095E" w:rsidRDefault="0013656E" w:rsidP="0013656E">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13656E" w:rsidRPr="00996EB6" w:rsidRDefault="0013656E" w:rsidP="0013656E">
      <w:pPr>
        <w:pStyle w:val="INCISO"/>
        <w:spacing w:after="0" w:line="240" w:lineRule="exact"/>
        <w:rPr>
          <w:lang w:val="es-MX"/>
        </w:rPr>
      </w:pPr>
    </w:p>
    <w:p w:rsidR="0013656E" w:rsidRDefault="0013656E" w:rsidP="0013656E">
      <w:pPr>
        <w:pStyle w:val="INCISO"/>
        <w:spacing w:after="0" w:line="240" w:lineRule="exact"/>
      </w:pPr>
      <w:r w:rsidRPr="00F9095E">
        <w:lastRenderedPageBreak/>
        <w:t>a)</w:t>
      </w:r>
      <w:r w:rsidRPr="00F9095E">
        <w:tab/>
        <w:t>Objeto social</w:t>
      </w:r>
    </w:p>
    <w:p w:rsidR="0013656E" w:rsidRDefault="0013656E" w:rsidP="0013656E">
      <w:pPr>
        <w:pStyle w:val="INCISO"/>
        <w:spacing w:after="0" w:line="240" w:lineRule="exact"/>
      </w:pPr>
    </w:p>
    <w:p w:rsidR="0013656E" w:rsidRPr="000D484A"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13656E" w:rsidRDefault="0013656E" w:rsidP="0013656E">
      <w:pPr>
        <w:pStyle w:val="INCISO"/>
        <w:spacing w:after="0" w:line="240" w:lineRule="exact"/>
      </w:pPr>
      <w:r w:rsidRPr="00F9095E">
        <w:t>b)</w:t>
      </w:r>
      <w:r w:rsidRPr="00F9095E">
        <w:tab/>
        <w:t>Principal actividad</w:t>
      </w:r>
    </w:p>
    <w:p w:rsidR="0013656E" w:rsidRDefault="0013656E" w:rsidP="0013656E">
      <w:pPr>
        <w:pStyle w:val="INCISO"/>
        <w:spacing w:after="0" w:line="240" w:lineRule="exact"/>
      </w:pPr>
    </w:p>
    <w:p w:rsidR="0013656E" w:rsidRPr="00A553A9"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13656E" w:rsidRPr="00A553A9"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13656E" w:rsidRPr="000D484A"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13656E" w:rsidRPr="000D484A"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13656E" w:rsidRPr="000D484A"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13656E" w:rsidRPr="000D484A"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13656E"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13656E"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13656E" w:rsidRPr="00A553A9"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13656E" w:rsidRDefault="0013656E" w:rsidP="0013656E">
      <w:pPr>
        <w:pStyle w:val="INCISO"/>
        <w:spacing w:after="0" w:line="240" w:lineRule="exact"/>
      </w:pPr>
      <w:r w:rsidRPr="00F9095E">
        <w:t>c)</w:t>
      </w:r>
      <w:r w:rsidRPr="00F9095E">
        <w:tab/>
        <w:t>Ejercicio fiscal</w:t>
      </w:r>
    </w:p>
    <w:p w:rsidR="0013656E" w:rsidRDefault="0013656E" w:rsidP="0013656E">
      <w:pPr>
        <w:pStyle w:val="INCISO"/>
        <w:spacing w:after="0" w:line="240" w:lineRule="exact"/>
      </w:pPr>
    </w:p>
    <w:p w:rsidR="0013656E" w:rsidRPr="00A553A9" w:rsidRDefault="0013656E" w:rsidP="0013656E">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31 de marzo de 2019</w:t>
      </w:r>
      <w:r w:rsidRPr="00A553A9">
        <w:rPr>
          <w:rFonts w:ascii="Arial" w:hAnsi="Arial" w:cs="Arial"/>
          <w:sz w:val="18"/>
          <w:szCs w:val="18"/>
        </w:rPr>
        <w:t>.</w:t>
      </w:r>
    </w:p>
    <w:p w:rsidR="0013656E" w:rsidRDefault="0013656E" w:rsidP="0013656E">
      <w:pPr>
        <w:pStyle w:val="INCISO"/>
        <w:spacing w:after="0" w:line="240" w:lineRule="exact"/>
      </w:pPr>
      <w:r w:rsidRPr="00F9095E">
        <w:t>d)</w:t>
      </w:r>
      <w:r w:rsidRPr="00F9095E">
        <w:tab/>
        <w:t>Régimen jurídico</w:t>
      </w:r>
    </w:p>
    <w:p w:rsidR="0013656E" w:rsidRDefault="0013656E" w:rsidP="0013656E">
      <w:pPr>
        <w:pStyle w:val="INCISO"/>
        <w:spacing w:after="0" w:line="240" w:lineRule="exact"/>
      </w:pPr>
    </w:p>
    <w:p w:rsidR="0013656E" w:rsidRDefault="0013656E" w:rsidP="0013656E">
      <w:pPr>
        <w:pStyle w:val="Prrafodelista"/>
        <w:spacing w:line="360" w:lineRule="auto"/>
        <w:jc w:val="both"/>
        <w:rPr>
          <w:rFonts w:ascii="Arial" w:hAnsi="Arial" w:cs="Arial"/>
          <w:sz w:val="18"/>
          <w:szCs w:val="18"/>
        </w:rPr>
      </w:pPr>
    </w:p>
    <w:p w:rsidR="0013656E" w:rsidRDefault="0013656E" w:rsidP="0013656E">
      <w:pPr>
        <w:pStyle w:val="Prrafodelista"/>
        <w:spacing w:line="360" w:lineRule="auto"/>
        <w:jc w:val="both"/>
        <w:rPr>
          <w:rFonts w:ascii="Arial" w:hAnsi="Arial" w:cs="Arial"/>
          <w:sz w:val="18"/>
          <w:szCs w:val="18"/>
        </w:rPr>
      </w:pPr>
    </w:p>
    <w:p w:rsidR="0013656E" w:rsidRDefault="0013656E" w:rsidP="0013656E">
      <w:pPr>
        <w:pStyle w:val="Prrafodelista"/>
        <w:spacing w:line="360" w:lineRule="auto"/>
        <w:jc w:val="both"/>
        <w:rPr>
          <w:rFonts w:ascii="Arial" w:hAnsi="Arial" w:cs="Arial"/>
          <w:sz w:val="18"/>
          <w:szCs w:val="18"/>
        </w:rPr>
      </w:pPr>
    </w:p>
    <w:p w:rsidR="0013656E" w:rsidRPr="00A553A9"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13656E" w:rsidRDefault="0013656E" w:rsidP="0013656E">
      <w:pPr>
        <w:pStyle w:val="INCISO"/>
        <w:numPr>
          <w:ilvl w:val="0"/>
          <w:numId w:val="9"/>
        </w:numPr>
        <w:spacing w:after="0" w:line="240" w:lineRule="exact"/>
      </w:pPr>
      <w:r w:rsidRPr="00F9095E">
        <w:lastRenderedPageBreak/>
        <w:t>Consideraciones fiscales del ente</w:t>
      </w:r>
    </w:p>
    <w:p w:rsidR="0013656E" w:rsidRDefault="0013656E" w:rsidP="0013656E">
      <w:pPr>
        <w:pStyle w:val="INCISO"/>
        <w:spacing w:after="0" w:line="240" w:lineRule="exact"/>
      </w:pPr>
    </w:p>
    <w:p w:rsidR="0013656E" w:rsidRPr="00A553A9"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13656E" w:rsidRPr="00A553A9" w:rsidRDefault="0013656E" w:rsidP="0013656E">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13656E" w:rsidRPr="00A553A9" w:rsidRDefault="0013656E" w:rsidP="0013656E">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13656E" w:rsidRPr="00A553A9" w:rsidRDefault="0013656E" w:rsidP="0013656E">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13656E" w:rsidRPr="008C5D07" w:rsidRDefault="0013656E" w:rsidP="0013656E">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 w:rsidR="0013656E" w:rsidRDefault="0013656E" w:rsidP="0013656E">
      <w:pPr>
        <w:pStyle w:val="INCISO"/>
        <w:spacing w:after="0" w:line="240" w:lineRule="exact"/>
        <w:ind w:left="0" w:firstLine="0"/>
        <w:rPr>
          <w:b/>
        </w:rPr>
      </w:pPr>
      <w:r>
        <w:rPr>
          <w:rFonts w:asciiTheme="minorHAnsi" w:eastAsiaTheme="minorHAnsi" w:hAnsiTheme="minorHAnsi" w:cstheme="minorBidi"/>
          <w:sz w:val="22"/>
          <w:szCs w:val="22"/>
          <w:lang w:val="es-MX" w:eastAsia="en-US"/>
        </w:rPr>
        <w:t xml:space="preserve">f) </w:t>
      </w:r>
      <w:r w:rsidRPr="00E869A8">
        <w:rPr>
          <w:b/>
        </w:rPr>
        <w:t>Estructura organizacional básic</w:t>
      </w:r>
      <w:r>
        <w:rPr>
          <w:b/>
        </w:rPr>
        <w:t>a</w:t>
      </w:r>
    </w:p>
    <w:p w:rsidR="0013656E" w:rsidRPr="00E869A8" w:rsidRDefault="0013656E" w:rsidP="0013656E">
      <w:pPr>
        <w:pStyle w:val="INCISO"/>
        <w:spacing w:after="0" w:line="240" w:lineRule="exact"/>
        <w:ind w:left="0" w:firstLine="0"/>
        <w:rPr>
          <w:b/>
        </w:rPr>
      </w:pPr>
    </w:p>
    <w:p w:rsidR="0013656E" w:rsidRDefault="0013656E" w:rsidP="0013656E">
      <w:r>
        <w:rPr>
          <w:noProof/>
          <w:lang w:eastAsia="es-MX"/>
        </w:rPr>
        <w:lastRenderedPageBreak/>
        <w:drawing>
          <wp:inline distT="0" distB="0" distL="0" distR="0" wp14:anchorId="1294C998" wp14:editId="71068E61">
            <wp:extent cx="8204060" cy="560070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3903" t="17543" r="15789" b="9265"/>
                    <a:stretch/>
                  </pic:blipFill>
                  <pic:spPr bwMode="auto">
                    <a:xfrm>
                      <a:off x="0" y="0"/>
                      <a:ext cx="8221933" cy="5612901"/>
                    </a:xfrm>
                    <a:prstGeom prst="rect">
                      <a:avLst/>
                    </a:prstGeom>
                    <a:ln>
                      <a:noFill/>
                    </a:ln>
                    <a:extLst>
                      <a:ext uri="{53640926-AAD7-44D8-BBD7-CCE9431645EC}">
                        <a14:shadowObscured xmlns:a14="http://schemas.microsoft.com/office/drawing/2010/main"/>
                      </a:ext>
                    </a:extLst>
                  </pic:spPr>
                </pic:pic>
              </a:graphicData>
            </a:graphic>
          </wp:inline>
        </w:drawing>
      </w:r>
    </w:p>
    <w:p w:rsidR="0013656E" w:rsidRDefault="0013656E" w:rsidP="0013656E"/>
    <w:p w:rsidR="0013656E" w:rsidRDefault="0013656E" w:rsidP="0013656E">
      <w:pPr>
        <w:pStyle w:val="INCISO"/>
        <w:spacing w:after="0" w:line="240" w:lineRule="exact"/>
      </w:pPr>
      <w:r w:rsidRPr="00F9095E">
        <w:lastRenderedPageBreak/>
        <w:t>g)   Fideicomisos, mandatos y análogos de los cuales es fideicomitente o fiduciario</w:t>
      </w:r>
    </w:p>
    <w:p w:rsidR="0013656E" w:rsidRDefault="0013656E" w:rsidP="0013656E">
      <w:pPr>
        <w:pStyle w:val="INCISO"/>
        <w:spacing w:after="0" w:line="240" w:lineRule="exact"/>
      </w:pPr>
    </w:p>
    <w:p w:rsidR="0013656E" w:rsidRDefault="0013656E" w:rsidP="0013656E">
      <w:pPr>
        <w:pStyle w:val="INCISO"/>
        <w:spacing w:after="0" w:line="240" w:lineRule="exact"/>
      </w:pPr>
      <w:r>
        <w:t>No aplica</w:t>
      </w:r>
    </w:p>
    <w:p w:rsidR="0013656E" w:rsidRPr="00F9095E" w:rsidRDefault="0013656E" w:rsidP="0013656E">
      <w:pPr>
        <w:pStyle w:val="INCISO"/>
        <w:spacing w:after="0" w:line="240" w:lineRule="exact"/>
      </w:pPr>
    </w:p>
    <w:p w:rsidR="0013656E" w:rsidRDefault="0013656E" w:rsidP="0013656E">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13656E" w:rsidRDefault="0013656E" w:rsidP="0013656E">
      <w:pPr>
        <w:pStyle w:val="Texto"/>
        <w:spacing w:after="0" w:line="240" w:lineRule="exact"/>
        <w:rPr>
          <w:b/>
          <w:szCs w:val="18"/>
          <w:lang w:val="es-MX"/>
        </w:rPr>
      </w:pPr>
    </w:p>
    <w:p w:rsidR="0013656E" w:rsidRPr="00A553A9" w:rsidRDefault="0013656E" w:rsidP="0013656E">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13656E" w:rsidRPr="00A553A9" w:rsidRDefault="0013656E" w:rsidP="0013656E">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13656E" w:rsidRPr="00A553A9" w:rsidRDefault="0013656E" w:rsidP="0013656E">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13656E" w:rsidRDefault="0013656E" w:rsidP="0013656E">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13656E" w:rsidRPr="00F55CAD" w:rsidRDefault="0013656E" w:rsidP="0013656E">
      <w:pPr>
        <w:pStyle w:val="Texto"/>
        <w:spacing w:after="0" w:line="240" w:lineRule="exact"/>
        <w:rPr>
          <w:b/>
          <w:szCs w:val="18"/>
          <w:lang w:val="es-MX"/>
        </w:rPr>
      </w:pPr>
    </w:p>
    <w:p w:rsidR="0013656E" w:rsidRDefault="0013656E" w:rsidP="0013656E">
      <w:pPr>
        <w:pStyle w:val="INCISO"/>
        <w:numPr>
          <w:ilvl w:val="0"/>
          <w:numId w:val="18"/>
        </w:numPr>
        <w:spacing w:after="0" w:line="360" w:lineRule="auto"/>
        <w:ind w:left="1077"/>
      </w:pPr>
      <w:r w:rsidRPr="00F9095E">
        <w:t xml:space="preserve">Actualización: </w:t>
      </w:r>
    </w:p>
    <w:p w:rsidR="0013656E" w:rsidRDefault="0013656E" w:rsidP="0013656E">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13656E" w:rsidRDefault="0013656E" w:rsidP="0013656E">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13656E" w:rsidRDefault="0013656E" w:rsidP="0013656E">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13656E" w:rsidRDefault="0013656E" w:rsidP="0013656E">
      <w:pPr>
        <w:pStyle w:val="INCISO"/>
        <w:spacing w:after="0" w:line="360" w:lineRule="auto"/>
        <w:ind w:left="1077" w:firstLine="0"/>
      </w:pPr>
    </w:p>
    <w:p w:rsidR="0013656E" w:rsidRPr="00F9095E" w:rsidRDefault="0013656E" w:rsidP="0013656E">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13656E" w:rsidRDefault="0013656E" w:rsidP="0013656E">
      <w:pPr>
        <w:pStyle w:val="INCISO"/>
        <w:spacing w:after="0" w:line="360" w:lineRule="auto"/>
        <w:ind w:left="1077"/>
      </w:pPr>
    </w:p>
    <w:p w:rsidR="0013656E" w:rsidRPr="00F9095E" w:rsidRDefault="0013656E" w:rsidP="0013656E">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13656E" w:rsidRPr="00F9095E" w:rsidRDefault="0013656E" w:rsidP="0013656E">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13656E" w:rsidRDefault="0013656E" w:rsidP="0013656E">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13656E" w:rsidRPr="00F9095E" w:rsidRDefault="0013656E" w:rsidP="0013656E">
      <w:pPr>
        <w:pStyle w:val="INCISO"/>
        <w:spacing w:after="0" w:line="360" w:lineRule="auto"/>
        <w:ind w:left="1077"/>
      </w:pPr>
    </w:p>
    <w:p w:rsidR="0013656E" w:rsidRPr="004336A7" w:rsidRDefault="0013656E" w:rsidP="0013656E">
      <w:pPr>
        <w:pStyle w:val="INCISO"/>
        <w:spacing w:after="0" w:line="360" w:lineRule="auto"/>
        <w:ind w:left="0" w:firstLine="0"/>
      </w:pPr>
      <w:r>
        <w:lastRenderedPageBreak/>
        <w:t xml:space="preserve">     </w:t>
      </w:r>
      <w:r w:rsidRPr="00F9095E">
        <w:rPr>
          <w:b/>
          <w:lang w:val="es-MX"/>
        </w:rPr>
        <w:t>7.</w:t>
      </w:r>
      <w:r w:rsidRPr="00F9095E">
        <w:rPr>
          <w:b/>
          <w:lang w:val="es-MX"/>
        </w:rPr>
        <w:tab/>
        <w:t>Posición en Moneda Extranjera y Protección por Riesgo Cambiario</w:t>
      </w:r>
    </w:p>
    <w:p w:rsidR="0013656E" w:rsidRPr="0000590F" w:rsidRDefault="0013656E" w:rsidP="0013656E">
      <w:pPr>
        <w:pStyle w:val="Texto"/>
        <w:spacing w:after="0" w:line="240" w:lineRule="exact"/>
        <w:ind w:firstLine="708"/>
        <w:rPr>
          <w:b/>
          <w:szCs w:val="18"/>
          <w:lang w:val="es-MX"/>
        </w:rPr>
      </w:pPr>
      <w:r>
        <w:rPr>
          <w:szCs w:val="18"/>
        </w:rPr>
        <w:t>No aplica.</w:t>
      </w:r>
    </w:p>
    <w:p w:rsidR="0013656E" w:rsidRDefault="0013656E" w:rsidP="0013656E">
      <w:pPr>
        <w:pStyle w:val="Texto"/>
        <w:spacing w:after="0" w:line="240" w:lineRule="exact"/>
        <w:rPr>
          <w:szCs w:val="18"/>
        </w:rPr>
      </w:pPr>
    </w:p>
    <w:p w:rsidR="0013656E" w:rsidRPr="00F9095E" w:rsidRDefault="0013656E" w:rsidP="0013656E">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13656E" w:rsidRDefault="0013656E" w:rsidP="0013656E">
      <w:pPr>
        <w:pStyle w:val="INCISO"/>
        <w:spacing w:after="0" w:line="240" w:lineRule="exact"/>
        <w:ind w:left="705" w:firstLine="0"/>
      </w:pPr>
      <w:r>
        <w:t>a) El registro del Activo, se encuentra conciliado con registros contables.</w:t>
      </w:r>
    </w:p>
    <w:p w:rsidR="0013656E" w:rsidRDefault="0013656E" w:rsidP="0013656E">
      <w:pPr>
        <w:pStyle w:val="INCISO"/>
        <w:spacing w:after="0" w:line="240" w:lineRule="exact"/>
        <w:ind w:left="705" w:firstLine="0"/>
      </w:pPr>
    </w:p>
    <w:p w:rsidR="0013656E" w:rsidRPr="00F9095E" w:rsidRDefault="0013656E" w:rsidP="0013656E">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13656E" w:rsidRPr="00F9095E" w:rsidRDefault="0013656E" w:rsidP="0013656E">
      <w:pPr>
        <w:pStyle w:val="Texto"/>
        <w:tabs>
          <w:tab w:val="left" w:pos="12525"/>
        </w:tabs>
        <w:spacing w:after="0" w:line="240" w:lineRule="exact"/>
        <w:ind w:firstLine="708"/>
        <w:rPr>
          <w:szCs w:val="18"/>
        </w:rPr>
      </w:pPr>
      <w:r>
        <w:rPr>
          <w:szCs w:val="18"/>
        </w:rPr>
        <w:t>No aplica.</w:t>
      </w:r>
      <w:r>
        <w:rPr>
          <w:szCs w:val="18"/>
        </w:rPr>
        <w:tab/>
      </w:r>
    </w:p>
    <w:p w:rsidR="0013656E" w:rsidRDefault="0013656E" w:rsidP="0013656E">
      <w:pPr>
        <w:pStyle w:val="Texto"/>
        <w:spacing w:after="0" w:line="240" w:lineRule="exact"/>
        <w:ind w:firstLine="0"/>
        <w:rPr>
          <w:b/>
          <w:szCs w:val="18"/>
          <w:lang w:val="es-MX"/>
        </w:rPr>
      </w:pPr>
    </w:p>
    <w:p w:rsidR="0013656E" w:rsidRPr="00F9095E" w:rsidRDefault="0013656E" w:rsidP="0013656E">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13656E" w:rsidRDefault="0013656E" w:rsidP="0013656E">
      <w:pPr>
        <w:pStyle w:val="INCISO"/>
        <w:spacing w:after="0" w:line="240" w:lineRule="exact"/>
      </w:pPr>
      <w:r w:rsidRPr="00F9095E">
        <w:t>a)</w:t>
      </w:r>
      <w:r w:rsidRPr="00F9095E">
        <w:tab/>
        <w:t>Análisis del c</w:t>
      </w:r>
      <w:r>
        <w:t>omportamiento de las cuotas de aportaciones de seguridad social de la Institución al 31 de marzo de 2019.</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9,757,352.86</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14,636,029.30</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324,710.68</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487,068.16</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1,295,720.89</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1,944,958.20</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8,365,790.63</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12,542,700.07</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3656E" w:rsidRPr="00176502" w:rsidTr="00134FDB">
        <w:trPr>
          <w:trHeight w:val="600"/>
          <w:jc w:val="center"/>
        </w:trPr>
        <w:tc>
          <w:tcPr>
            <w:tcW w:w="1736" w:type="dxa"/>
            <w:tcBorders>
              <w:top w:val="nil"/>
              <w:left w:val="nil"/>
              <w:bottom w:val="nil"/>
              <w:right w:val="nil"/>
            </w:tcBorders>
            <w:shd w:val="clear" w:color="auto" w:fill="auto"/>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1,067,907.29</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1,601,856.66</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1,162,202.54</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2,099,249.44</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249,531.23</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401,164.95</w:t>
            </w:r>
          </w:p>
        </w:tc>
      </w:tr>
      <w:tr w:rsidR="0013656E" w:rsidRPr="00176502" w:rsidTr="00134FDB">
        <w:trPr>
          <w:trHeight w:val="555"/>
          <w:jc w:val="center"/>
        </w:trPr>
        <w:tc>
          <w:tcPr>
            <w:tcW w:w="1736" w:type="dxa"/>
            <w:tcBorders>
              <w:top w:val="nil"/>
              <w:left w:val="nil"/>
              <w:bottom w:val="nil"/>
              <w:right w:val="nil"/>
            </w:tcBorders>
            <w:shd w:val="clear" w:color="auto" w:fill="auto"/>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102,338.99</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153,507.74</w:t>
            </w:r>
          </w:p>
        </w:tc>
      </w:tr>
      <w:tr w:rsidR="0013656E" w:rsidRPr="00176502" w:rsidTr="00134FDB">
        <w:trPr>
          <w:trHeight w:val="375"/>
          <w:jc w:val="center"/>
        </w:trPr>
        <w:tc>
          <w:tcPr>
            <w:tcW w:w="173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54,986.41</w:t>
            </w:r>
          </w:p>
        </w:tc>
        <w:tc>
          <w:tcPr>
            <w:tcW w:w="1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3656E" w:rsidRPr="00176502" w:rsidRDefault="0013656E" w:rsidP="00134FD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82,479,.41</w:t>
            </w:r>
          </w:p>
        </w:tc>
      </w:tr>
    </w:tbl>
    <w:p w:rsidR="0013656E" w:rsidRDefault="0013656E" w:rsidP="0013656E">
      <w:pPr>
        <w:pStyle w:val="INCISO"/>
        <w:spacing w:after="0" w:line="240" w:lineRule="exact"/>
      </w:pPr>
    </w:p>
    <w:p w:rsidR="0013656E" w:rsidRDefault="0013656E" w:rsidP="0013656E">
      <w:pPr>
        <w:pStyle w:val="INCISO"/>
        <w:spacing w:after="0" w:line="240" w:lineRule="exact"/>
      </w:pPr>
      <w:r>
        <w:t>Lo correspondiente al apartado del libro “B” es $ 637,642.39</w:t>
      </w:r>
    </w:p>
    <w:p w:rsidR="0013656E" w:rsidRDefault="0013656E" w:rsidP="0013656E">
      <w:pPr>
        <w:pStyle w:val="INCISO"/>
        <w:spacing w:after="0" w:line="240" w:lineRule="exact"/>
      </w:pPr>
      <w:r>
        <w:t>Y el importe del 6% de jubilados $ 2,092,108.25</w:t>
      </w:r>
    </w:p>
    <w:p w:rsidR="0013656E" w:rsidRPr="00F9095E" w:rsidRDefault="0013656E" w:rsidP="0013656E">
      <w:pPr>
        <w:pStyle w:val="INCISO"/>
        <w:spacing w:after="0" w:line="240" w:lineRule="exact"/>
      </w:pPr>
      <w:r>
        <w:t xml:space="preserve">b).-La proyección de las cuotas de aportaciones de seguridad </w:t>
      </w:r>
      <w:r w:rsidRPr="006926A2">
        <w:t>social para el año 201</w:t>
      </w:r>
      <w:r>
        <w:t>9</w:t>
      </w:r>
      <w:r w:rsidRPr="006926A2">
        <w:t xml:space="preserve"> es de $</w:t>
      </w:r>
      <w:r>
        <w:t xml:space="preserve"> 280,758,816.17</w:t>
      </w:r>
    </w:p>
    <w:p w:rsidR="0013656E" w:rsidRPr="00F9095E" w:rsidRDefault="0013656E" w:rsidP="0013656E">
      <w:pPr>
        <w:pStyle w:val="INCISO"/>
        <w:spacing w:after="0" w:line="240" w:lineRule="exact"/>
        <w:ind w:left="0" w:firstLine="0"/>
      </w:pPr>
    </w:p>
    <w:p w:rsidR="0013656E" w:rsidRPr="00F9095E" w:rsidRDefault="0013656E" w:rsidP="0013656E">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13656E" w:rsidRDefault="0013656E" w:rsidP="0013656E">
      <w:pPr>
        <w:pStyle w:val="INCISO"/>
        <w:spacing w:after="0" w:line="240" w:lineRule="exact"/>
        <w:rPr>
          <w:lang w:val="es-MX"/>
        </w:rPr>
      </w:pPr>
      <w:r>
        <w:rPr>
          <w:lang w:val="es-MX"/>
        </w:rPr>
        <w:t>No aplica</w:t>
      </w:r>
    </w:p>
    <w:p w:rsidR="0013656E" w:rsidRPr="00AF4D71" w:rsidRDefault="0013656E" w:rsidP="0013656E">
      <w:pPr>
        <w:pStyle w:val="INCISO"/>
        <w:spacing w:after="0" w:line="240" w:lineRule="exact"/>
        <w:ind w:left="0" w:firstLine="0"/>
        <w:rPr>
          <w:lang w:val="es-MX"/>
        </w:rPr>
      </w:pPr>
      <w:r>
        <w:rPr>
          <w:lang w:val="es-MX"/>
        </w:rPr>
        <w:lastRenderedPageBreak/>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13656E" w:rsidRDefault="0013656E" w:rsidP="0013656E">
      <w:pPr>
        <w:pStyle w:val="Texto"/>
        <w:spacing w:after="0" w:line="240" w:lineRule="exact"/>
        <w:ind w:firstLine="708"/>
        <w:rPr>
          <w:szCs w:val="18"/>
        </w:rPr>
      </w:pPr>
      <w:r>
        <w:rPr>
          <w:szCs w:val="18"/>
        </w:rPr>
        <w:t>No aplica.</w:t>
      </w:r>
    </w:p>
    <w:p w:rsidR="0013656E" w:rsidRPr="004B64E3" w:rsidRDefault="0013656E" w:rsidP="0013656E">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13656E" w:rsidRDefault="0013656E" w:rsidP="0013656E">
      <w:pPr>
        <w:pStyle w:val="INCISO"/>
        <w:spacing w:after="0" w:line="360" w:lineRule="auto"/>
      </w:pPr>
      <w:r w:rsidRPr="00F9095E">
        <w:t>a)</w:t>
      </w:r>
      <w:r w:rsidRPr="00F9095E">
        <w:tab/>
        <w:t>Principales Políticas de control interno</w:t>
      </w:r>
    </w:p>
    <w:p w:rsidR="0013656E" w:rsidRDefault="0013656E" w:rsidP="0013656E">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13656E" w:rsidRPr="00F9095E" w:rsidRDefault="0013656E" w:rsidP="0013656E">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13656E" w:rsidRDefault="0013656E" w:rsidP="0013656E">
      <w:pPr>
        <w:pStyle w:val="INCISO"/>
        <w:spacing w:after="0" w:line="360" w:lineRule="auto"/>
        <w:ind w:left="1077"/>
      </w:pPr>
      <w:r w:rsidRPr="00F9095E">
        <w:t>b)</w:t>
      </w:r>
      <w:r w:rsidRPr="00F9095E">
        <w:tab/>
        <w:t>Medidas de desempeño financiero, metas y alcance.</w:t>
      </w:r>
    </w:p>
    <w:p w:rsidR="0013656E" w:rsidRPr="00F9095E" w:rsidRDefault="0013656E" w:rsidP="0013656E">
      <w:pPr>
        <w:pStyle w:val="INCISO"/>
        <w:spacing w:after="0" w:line="360" w:lineRule="auto"/>
        <w:ind w:left="1077" w:firstLine="0"/>
      </w:pPr>
      <w:r>
        <w:t>Las medidas de desempeño de metas y su alcance se evalúan por medio de los indicadores diseñados dentro del Apartado Cuarto de este mismo informe.</w:t>
      </w:r>
    </w:p>
    <w:p w:rsidR="0013656E" w:rsidRPr="00F9095E" w:rsidRDefault="0013656E" w:rsidP="0013656E">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13656E" w:rsidRPr="00F9095E" w:rsidRDefault="0013656E" w:rsidP="0013656E">
      <w:pPr>
        <w:pStyle w:val="Texto"/>
        <w:spacing w:after="0" w:line="240" w:lineRule="exact"/>
        <w:ind w:firstLine="708"/>
        <w:rPr>
          <w:szCs w:val="18"/>
          <w:lang w:val="es-MX"/>
        </w:rPr>
      </w:pPr>
      <w:r>
        <w:rPr>
          <w:szCs w:val="18"/>
          <w:lang w:val="es-MX"/>
        </w:rPr>
        <w:t>No aplica.</w:t>
      </w:r>
    </w:p>
    <w:p w:rsidR="0013656E" w:rsidRPr="00F9095E" w:rsidRDefault="0013656E" w:rsidP="0013656E">
      <w:pPr>
        <w:pStyle w:val="Texto"/>
        <w:spacing w:after="0" w:line="240" w:lineRule="exact"/>
        <w:rPr>
          <w:szCs w:val="18"/>
          <w:lang w:val="es-MX"/>
        </w:rPr>
      </w:pPr>
    </w:p>
    <w:p w:rsidR="0013656E" w:rsidRPr="00F9095E" w:rsidRDefault="0013656E" w:rsidP="0013656E">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13656E" w:rsidRPr="00F9095E" w:rsidRDefault="0013656E" w:rsidP="0013656E">
      <w:pPr>
        <w:pStyle w:val="Texto"/>
        <w:spacing w:after="0" w:line="240" w:lineRule="exact"/>
        <w:rPr>
          <w:szCs w:val="18"/>
          <w:lang w:val="es-MX"/>
        </w:rPr>
      </w:pPr>
    </w:p>
    <w:p w:rsidR="0013656E" w:rsidRPr="00F9095E" w:rsidRDefault="0013656E" w:rsidP="0013656E">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13656E" w:rsidRPr="00F9095E" w:rsidRDefault="0013656E" w:rsidP="0013656E">
      <w:pPr>
        <w:pStyle w:val="Texto"/>
        <w:spacing w:after="0" w:line="240" w:lineRule="exact"/>
        <w:ind w:firstLine="708"/>
        <w:rPr>
          <w:szCs w:val="18"/>
        </w:rPr>
      </w:pPr>
      <w:r>
        <w:rPr>
          <w:szCs w:val="18"/>
        </w:rPr>
        <w:t>No existe ningún evento posterior al cierre que afecte los estados financieros presentados.</w:t>
      </w:r>
    </w:p>
    <w:p w:rsidR="0013656E" w:rsidRPr="00F9095E" w:rsidRDefault="0013656E" w:rsidP="0013656E">
      <w:pPr>
        <w:pStyle w:val="Texto"/>
        <w:spacing w:after="0" w:line="240" w:lineRule="exact"/>
        <w:ind w:firstLine="0"/>
        <w:rPr>
          <w:szCs w:val="18"/>
        </w:rPr>
      </w:pPr>
    </w:p>
    <w:p w:rsidR="0013656E" w:rsidRPr="00F9095E" w:rsidRDefault="0013656E" w:rsidP="0013656E">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13656E" w:rsidRDefault="0013656E" w:rsidP="0013656E">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13656E" w:rsidRPr="00F9095E" w:rsidRDefault="0013656E" w:rsidP="0013656E">
      <w:pPr>
        <w:pStyle w:val="Texto"/>
        <w:spacing w:after="0" w:line="240" w:lineRule="exact"/>
        <w:rPr>
          <w:szCs w:val="18"/>
        </w:rPr>
      </w:pPr>
    </w:p>
    <w:p w:rsidR="0013656E" w:rsidRPr="00F9095E" w:rsidRDefault="0013656E" w:rsidP="0013656E">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13656E" w:rsidRDefault="0013656E" w:rsidP="0013656E">
      <w:pPr>
        <w:pStyle w:val="Texto"/>
        <w:spacing w:after="0" w:line="240" w:lineRule="exact"/>
        <w:ind w:left="288" w:firstLine="0"/>
        <w:rPr>
          <w:b/>
          <w:szCs w:val="18"/>
        </w:rPr>
      </w:pPr>
    </w:p>
    <w:p w:rsidR="0013656E" w:rsidRDefault="0013656E" w:rsidP="0013656E">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13656E" w:rsidRDefault="0013656E" w:rsidP="0013656E">
      <w:pPr>
        <w:ind w:firstLine="708"/>
        <w:rPr>
          <w:rFonts w:ascii="Arial" w:hAnsi="Arial" w:cs="Arial"/>
          <w:sz w:val="18"/>
          <w:szCs w:val="18"/>
        </w:rPr>
      </w:pPr>
    </w:p>
    <w:p w:rsidR="0013656E" w:rsidRDefault="0013656E" w:rsidP="0013656E">
      <w:pPr>
        <w:pStyle w:val="Sinespaciado"/>
        <w:rPr>
          <w:rFonts w:ascii="Arial" w:hAnsi="Arial" w:cs="Arial"/>
          <w:sz w:val="18"/>
          <w:szCs w:val="18"/>
        </w:rPr>
      </w:pPr>
    </w:p>
    <w:p w:rsidR="0013656E" w:rsidRDefault="0013656E" w:rsidP="0013656E">
      <w:pPr>
        <w:pStyle w:val="Sinespaciado"/>
        <w:ind w:firstLine="708"/>
        <w:rPr>
          <w:rFonts w:ascii="Arial" w:hAnsi="Arial" w:cs="Arial"/>
          <w:sz w:val="18"/>
          <w:szCs w:val="18"/>
        </w:rPr>
      </w:pPr>
    </w:p>
    <w:p w:rsidR="0013656E" w:rsidRDefault="0013656E" w:rsidP="0013656E">
      <w:pPr>
        <w:pStyle w:val="Sinespaciado"/>
        <w:ind w:firstLine="708"/>
        <w:rPr>
          <w:rFonts w:ascii="Arial" w:hAnsi="Arial" w:cs="Arial"/>
          <w:sz w:val="18"/>
          <w:szCs w:val="18"/>
        </w:rPr>
      </w:pPr>
    </w:p>
    <w:p w:rsidR="0013656E" w:rsidRDefault="0013656E" w:rsidP="0013656E">
      <w:pPr>
        <w:pStyle w:val="Sinespaciado"/>
        <w:ind w:firstLine="708"/>
        <w:rPr>
          <w:rFonts w:ascii="Arial" w:hAnsi="Arial" w:cs="Arial"/>
          <w:sz w:val="18"/>
          <w:szCs w:val="18"/>
        </w:rPr>
      </w:pPr>
    </w:p>
    <w:p w:rsidR="0013656E" w:rsidRDefault="0013656E" w:rsidP="0013656E">
      <w:pPr>
        <w:pStyle w:val="Sinespaciado"/>
        <w:ind w:firstLine="708"/>
        <w:rPr>
          <w:rFonts w:ascii="Arial" w:hAnsi="Arial" w:cs="Arial"/>
          <w:sz w:val="18"/>
          <w:szCs w:val="18"/>
        </w:rPr>
      </w:pPr>
      <w:r>
        <w:rPr>
          <w:noProof/>
        </w:rPr>
        <w:pict>
          <v:shape id="AutoShape 124" o:spid="_x0000_s1052" type="#_x0000_t32" style="position:absolute;left:0;text-align:left;margin-left:96pt;margin-top:8.95pt;width:174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51" type="#_x0000_t32" style="position:absolute;left:0;text-align:left;margin-left:479.25pt;margin-top:9.7pt;width:161.2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13656E" w:rsidRPr="005978B1" w:rsidRDefault="0013656E" w:rsidP="0013656E">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13656E" w:rsidRDefault="0013656E" w:rsidP="0013656E">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w:t>
      </w:r>
      <w:r>
        <w:rPr>
          <w:rFonts w:ascii="Arial" w:hAnsi="Arial" w:cs="Arial"/>
          <w:sz w:val="18"/>
          <w:szCs w:val="18"/>
        </w:rPr>
        <w:t>tor General</w:t>
      </w:r>
      <w:bookmarkStart w:id="6" w:name="_GoBack"/>
      <w:bookmarkEnd w:id="6"/>
    </w:p>
    <w:sectPr w:rsidR="0013656E"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E1" w:rsidRDefault="00E141E1" w:rsidP="00EA5418">
      <w:pPr>
        <w:spacing w:after="0" w:line="240" w:lineRule="auto"/>
      </w:pPr>
      <w:r>
        <w:separator/>
      </w:r>
    </w:p>
  </w:endnote>
  <w:endnote w:type="continuationSeparator" w:id="0">
    <w:p w:rsidR="00E141E1" w:rsidRDefault="00E141E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E141E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23623" w:rsidRPr="0013011C">
          <w:rPr>
            <w:rFonts w:ascii="Soberana Sans Light" w:hAnsi="Soberana Sans Light"/>
          </w:rPr>
          <w:fldChar w:fldCharType="begin"/>
        </w:r>
        <w:r w:rsidR="0013011C" w:rsidRPr="0013011C">
          <w:rPr>
            <w:rFonts w:ascii="Soberana Sans Light" w:hAnsi="Soberana Sans Light"/>
          </w:rPr>
          <w:instrText>PAGE   \* MERGEFORMAT</w:instrText>
        </w:r>
        <w:r w:rsidR="00623623" w:rsidRPr="0013011C">
          <w:rPr>
            <w:rFonts w:ascii="Soberana Sans Light" w:hAnsi="Soberana Sans Light"/>
          </w:rPr>
          <w:fldChar w:fldCharType="separate"/>
        </w:r>
        <w:r w:rsidR="0013656E" w:rsidRPr="0013656E">
          <w:rPr>
            <w:rFonts w:ascii="Soberana Sans Light" w:hAnsi="Soberana Sans Light"/>
            <w:noProof/>
            <w:lang w:val="es-ES"/>
          </w:rPr>
          <w:t>26</w:t>
        </w:r>
        <w:r w:rsidR="0062362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E141E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623623" w:rsidRPr="008E3652">
          <w:rPr>
            <w:rFonts w:ascii="Soberana Sans Light" w:hAnsi="Soberana Sans Light"/>
          </w:rPr>
          <w:fldChar w:fldCharType="begin"/>
        </w:r>
        <w:r w:rsidR="008E3652" w:rsidRPr="008E3652">
          <w:rPr>
            <w:rFonts w:ascii="Soberana Sans Light" w:hAnsi="Soberana Sans Light"/>
          </w:rPr>
          <w:instrText>PAGE   \* MERGEFORMAT</w:instrText>
        </w:r>
        <w:r w:rsidR="00623623" w:rsidRPr="008E3652">
          <w:rPr>
            <w:rFonts w:ascii="Soberana Sans Light" w:hAnsi="Soberana Sans Light"/>
          </w:rPr>
          <w:fldChar w:fldCharType="separate"/>
        </w:r>
        <w:r w:rsidR="0013656E" w:rsidRPr="0013656E">
          <w:rPr>
            <w:rFonts w:ascii="Soberana Sans Light" w:hAnsi="Soberana Sans Light"/>
            <w:noProof/>
            <w:lang w:val="es-ES"/>
          </w:rPr>
          <w:t>25</w:t>
        </w:r>
        <w:r w:rsidR="0062362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E1" w:rsidRDefault="00E141E1" w:rsidP="00EA5418">
      <w:pPr>
        <w:spacing w:after="0" w:line="240" w:lineRule="auto"/>
      </w:pPr>
      <w:r>
        <w:separator/>
      </w:r>
    </w:p>
  </w:footnote>
  <w:footnote w:type="continuationSeparator" w:id="0">
    <w:p w:rsidR="00E141E1" w:rsidRDefault="00E141E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E141E1">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A6ABA">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E141E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124EF"/>
    <w:rsid w:val="000248AE"/>
    <w:rsid w:val="000252C2"/>
    <w:rsid w:val="000253F2"/>
    <w:rsid w:val="00026F2D"/>
    <w:rsid w:val="00036991"/>
    <w:rsid w:val="00040466"/>
    <w:rsid w:val="00042C77"/>
    <w:rsid w:val="00045A10"/>
    <w:rsid w:val="00046FB4"/>
    <w:rsid w:val="00050814"/>
    <w:rsid w:val="00050A03"/>
    <w:rsid w:val="000529C7"/>
    <w:rsid w:val="00063173"/>
    <w:rsid w:val="00072665"/>
    <w:rsid w:val="0008648B"/>
    <w:rsid w:val="0008799A"/>
    <w:rsid w:val="000C108D"/>
    <w:rsid w:val="000C351A"/>
    <w:rsid w:val="000C4A62"/>
    <w:rsid w:val="000D794A"/>
    <w:rsid w:val="000E09B7"/>
    <w:rsid w:val="000E0FF5"/>
    <w:rsid w:val="001038AB"/>
    <w:rsid w:val="00104013"/>
    <w:rsid w:val="00116599"/>
    <w:rsid w:val="0013011C"/>
    <w:rsid w:val="0013656E"/>
    <w:rsid w:val="00136790"/>
    <w:rsid w:val="00136E76"/>
    <w:rsid w:val="001500FD"/>
    <w:rsid w:val="00153C5F"/>
    <w:rsid w:val="00157306"/>
    <w:rsid w:val="00165BB4"/>
    <w:rsid w:val="001701F3"/>
    <w:rsid w:val="00175ACA"/>
    <w:rsid w:val="00180FB4"/>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7359"/>
    <w:rsid w:val="00201420"/>
    <w:rsid w:val="00204C86"/>
    <w:rsid w:val="00205C94"/>
    <w:rsid w:val="00206078"/>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51C2"/>
    <w:rsid w:val="003414BE"/>
    <w:rsid w:val="00342C7B"/>
    <w:rsid w:val="00350F7C"/>
    <w:rsid w:val="00351747"/>
    <w:rsid w:val="0035227B"/>
    <w:rsid w:val="00372F40"/>
    <w:rsid w:val="00387D52"/>
    <w:rsid w:val="00390048"/>
    <w:rsid w:val="00391C9B"/>
    <w:rsid w:val="00393E2E"/>
    <w:rsid w:val="00395450"/>
    <w:rsid w:val="00396C2B"/>
    <w:rsid w:val="003A0303"/>
    <w:rsid w:val="003A74A5"/>
    <w:rsid w:val="003B0330"/>
    <w:rsid w:val="003B2E16"/>
    <w:rsid w:val="003B414B"/>
    <w:rsid w:val="003C6D61"/>
    <w:rsid w:val="003D5DBF"/>
    <w:rsid w:val="003E0F8F"/>
    <w:rsid w:val="003E2C15"/>
    <w:rsid w:val="003E40E0"/>
    <w:rsid w:val="003E6B75"/>
    <w:rsid w:val="003E7FD0"/>
    <w:rsid w:val="003F0EA4"/>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F0A42"/>
    <w:rsid w:val="004F5641"/>
    <w:rsid w:val="004F5E6E"/>
    <w:rsid w:val="004F7C1C"/>
    <w:rsid w:val="005009B3"/>
    <w:rsid w:val="00503571"/>
    <w:rsid w:val="00522632"/>
    <w:rsid w:val="00522EF3"/>
    <w:rsid w:val="00525164"/>
    <w:rsid w:val="00530F88"/>
    <w:rsid w:val="00540418"/>
    <w:rsid w:val="0055229F"/>
    <w:rsid w:val="0055581D"/>
    <w:rsid w:val="0056099D"/>
    <w:rsid w:val="005619DE"/>
    <w:rsid w:val="00561B71"/>
    <w:rsid w:val="005679FF"/>
    <w:rsid w:val="00571932"/>
    <w:rsid w:val="00573D55"/>
    <w:rsid w:val="00574266"/>
    <w:rsid w:val="00576179"/>
    <w:rsid w:val="005803CC"/>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41443"/>
    <w:rsid w:val="00653D8A"/>
    <w:rsid w:val="00662680"/>
    <w:rsid w:val="0067693C"/>
    <w:rsid w:val="0068674B"/>
    <w:rsid w:val="00686881"/>
    <w:rsid w:val="0069287F"/>
    <w:rsid w:val="00693FD1"/>
    <w:rsid w:val="006A1220"/>
    <w:rsid w:val="006B1FE7"/>
    <w:rsid w:val="006B5FB6"/>
    <w:rsid w:val="006C4482"/>
    <w:rsid w:val="006D679B"/>
    <w:rsid w:val="006E35AE"/>
    <w:rsid w:val="006E53A9"/>
    <w:rsid w:val="006E5C1C"/>
    <w:rsid w:val="006E77DD"/>
    <w:rsid w:val="00711364"/>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5DCC"/>
    <w:rsid w:val="007872C3"/>
    <w:rsid w:val="00793C48"/>
    <w:rsid w:val="00795507"/>
    <w:rsid w:val="0079582C"/>
    <w:rsid w:val="007A0153"/>
    <w:rsid w:val="007B6148"/>
    <w:rsid w:val="007C0A2E"/>
    <w:rsid w:val="007C50A9"/>
    <w:rsid w:val="007D6E9A"/>
    <w:rsid w:val="007E1F49"/>
    <w:rsid w:val="007E60AC"/>
    <w:rsid w:val="007E7136"/>
    <w:rsid w:val="00811DAC"/>
    <w:rsid w:val="0081567D"/>
    <w:rsid w:val="008164AA"/>
    <w:rsid w:val="00816A2B"/>
    <w:rsid w:val="0082787D"/>
    <w:rsid w:val="00832776"/>
    <w:rsid w:val="00835330"/>
    <w:rsid w:val="008561E2"/>
    <w:rsid w:val="00872B94"/>
    <w:rsid w:val="00883975"/>
    <w:rsid w:val="0089054E"/>
    <w:rsid w:val="0089086F"/>
    <w:rsid w:val="00890F64"/>
    <w:rsid w:val="00892F26"/>
    <w:rsid w:val="00894D69"/>
    <w:rsid w:val="008A6ABA"/>
    <w:rsid w:val="008A6E4D"/>
    <w:rsid w:val="008A793D"/>
    <w:rsid w:val="008B0017"/>
    <w:rsid w:val="008C5734"/>
    <w:rsid w:val="008D2474"/>
    <w:rsid w:val="008E3652"/>
    <w:rsid w:val="008E496C"/>
    <w:rsid w:val="008F129E"/>
    <w:rsid w:val="008F6D58"/>
    <w:rsid w:val="00912EF1"/>
    <w:rsid w:val="009143B7"/>
    <w:rsid w:val="00917BA4"/>
    <w:rsid w:val="0092279B"/>
    <w:rsid w:val="0093492C"/>
    <w:rsid w:val="0094209F"/>
    <w:rsid w:val="00946C3B"/>
    <w:rsid w:val="00954FB2"/>
    <w:rsid w:val="00957043"/>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0497B"/>
    <w:rsid w:val="00A106DD"/>
    <w:rsid w:val="00A1221B"/>
    <w:rsid w:val="00A363B6"/>
    <w:rsid w:val="00A364AD"/>
    <w:rsid w:val="00A45AC0"/>
    <w:rsid w:val="00A46BF5"/>
    <w:rsid w:val="00A61D55"/>
    <w:rsid w:val="00A66CFA"/>
    <w:rsid w:val="00A674A4"/>
    <w:rsid w:val="00A67843"/>
    <w:rsid w:val="00A72069"/>
    <w:rsid w:val="00A864E3"/>
    <w:rsid w:val="00A901DB"/>
    <w:rsid w:val="00A918B7"/>
    <w:rsid w:val="00A91BD3"/>
    <w:rsid w:val="00AA4A27"/>
    <w:rsid w:val="00AC343E"/>
    <w:rsid w:val="00AC588A"/>
    <w:rsid w:val="00AC5B94"/>
    <w:rsid w:val="00AC62C4"/>
    <w:rsid w:val="00AC7852"/>
    <w:rsid w:val="00AD0684"/>
    <w:rsid w:val="00AD35E4"/>
    <w:rsid w:val="00AD4925"/>
    <w:rsid w:val="00AE3A16"/>
    <w:rsid w:val="00B03BA0"/>
    <w:rsid w:val="00B146E2"/>
    <w:rsid w:val="00B24C02"/>
    <w:rsid w:val="00B322C1"/>
    <w:rsid w:val="00B46324"/>
    <w:rsid w:val="00B60148"/>
    <w:rsid w:val="00B777A8"/>
    <w:rsid w:val="00B80311"/>
    <w:rsid w:val="00B849EE"/>
    <w:rsid w:val="00B84D02"/>
    <w:rsid w:val="00B861EA"/>
    <w:rsid w:val="00B943AF"/>
    <w:rsid w:val="00B946A1"/>
    <w:rsid w:val="00B956F2"/>
    <w:rsid w:val="00BA2940"/>
    <w:rsid w:val="00BD2B47"/>
    <w:rsid w:val="00BE6BD9"/>
    <w:rsid w:val="00BF042A"/>
    <w:rsid w:val="00BF2E43"/>
    <w:rsid w:val="00BF3D0F"/>
    <w:rsid w:val="00C111D4"/>
    <w:rsid w:val="00C16E53"/>
    <w:rsid w:val="00C31BEB"/>
    <w:rsid w:val="00C33005"/>
    <w:rsid w:val="00C36BBD"/>
    <w:rsid w:val="00C431B4"/>
    <w:rsid w:val="00C444AF"/>
    <w:rsid w:val="00C537E9"/>
    <w:rsid w:val="00C61307"/>
    <w:rsid w:val="00C64C8E"/>
    <w:rsid w:val="00C65BFA"/>
    <w:rsid w:val="00C66245"/>
    <w:rsid w:val="00C75112"/>
    <w:rsid w:val="00C75D1B"/>
    <w:rsid w:val="00C76B2B"/>
    <w:rsid w:val="00C82E25"/>
    <w:rsid w:val="00C86C59"/>
    <w:rsid w:val="00C90A2B"/>
    <w:rsid w:val="00C91C5A"/>
    <w:rsid w:val="00C93E04"/>
    <w:rsid w:val="00C943C2"/>
    <w:rsid w:val="00CA46F9"/>
    <w:rsid w:val="00CC30B5"/>
    <w:rsid w:val="00CC3C7E"/>
    <w:rsid w:val="00CC4433"/>
    <w:rsid w:val="00CD252B"/>
    <w:rsid w:val="00CD6D9A"/>
    <w:rsid w:val="00CD75DF"/>
    <w:rsid w:val="00CE738F"/>
    <w:rsid w:val="00CE7892"/>
    <w:rsid w:val="00D00E92"/>
    <w:rsid w:val="00D01D3A"/>
    <w:rsid w:val="00D02826"/>
    <w:rsid w:val="00D055EC"/>
    <w:rsid w:val="00D26C53"/>
    <w:rsid w:val="00D44728"/>
    <w:rsid w:val="00D46286"/>
    <w:rsid w:val="00D558DB"/>
    <w:rsid w:val="00D55C36"/>
    <w:rsid w:val="00D562FF"/>
    <w:rsid w:val="00D56A3B"/>
    <w:rsid w:val="00D57DB3"/>
    <w:rsid w:val="00D6450C"/>
    <w:rsid w:val="00D7677A"/>
    <w:rsid w:val="00D81D97"/>
    <w:rsid w:val="00D863B6"/>
    <w:rsid w:val="00D87B78"/>
    <w:rsid w:val="00D97B0B"/>
    <w:rsid w:val="00DA3D8D"/>
    <w:rsid w:val="00DA6CF4"/>
    <w:rsid w:val="00DB2176"/>
    <w:rsid w:val="00DB3F91"/>
    <w:rsid w:val="00DB6B99"/>
    <w:rsid w:val="00DB78F8"/>
    <w:rsid w:val="00DC3C85"/>
    <w:rsid w:val="00DD4F80"/>
    <w:rsid w:val="00DE01BD"/>
    <w:rsid w:val="00DE2DE9"/>
    <w:rsid w:val="00DE7BD2"/>
    <w:rsid w:val="00DF1615"/>
    <w:rsid w:val="00DF480D"/>
    <w:rsid w:val="00DF56C9"/>
    <w:rsid w:val="00E02836"/>
    <w:rsid w:val="00E141E1"/>
    <w:rsid w:val="00E15FF2"/>
    <w:rsid w:val="00E17A1F"/>
    <w:rsid w:val="00E30318"/>
    <w:rsid w:val="00E32708"/>
    <w:rsid w:val="00E40E4E"/>
    <w:rsid w:val="00E47094"/>
    <w:rsid w:val="00E477D7"/>
    <w:rsid w:val="00E5495A"/>
    <w:rsid w:val="00E57E1D"/>
    <w:rsid w:val="00E60D5A"/>
    <w:rsid w:val="00E6402E"/>
    <w:rsid w:val="00E70732"/>
    <w:rsid w:val="00E945EB"/>
    <w:rsid w:val="00EA5418"/>
    <w:rsid w:val="00EB0AE3"/>
    <w:rsid w:val="00EB2C25"/>
    <w:rsid w:val="00ED0795"/>
    <w:rsid w:val="00ED16EB"/>
    <w:rsid w:val="00ED2ABE"/>
    <w:rsid w:val="00ED3FD3"/>
    <w:rsid w:val="00ED4D99"/>
    <w:rsid w:val="00EE46FB"/>
    <w:rsid w:val="00EF6B29"/>
    <w:rsid w:val="00F02390"/>
    <w:rsid w:val="00F1697E"/>
    <w:rsid w:val="00F17C0D"/>
    <w:rsid w:val="00F21111"/>
    <w:rsid w:val="00F27DC2"/>
    <w:rsid w:val="00F305CB"/>
    <w:rsid w:val="00F464C6"/>
    <w:rsid w:val="00F51605"/>
    <w:rsid w:val="00F54AA4"/>
    <w:rsid w:val="00F63B04"/>
    <w:rsid w:val="00F7065F"/>
    <w:rsid w:val="00F755D0"/>
    <w:rsid w:val="00F757B1"/>
    <w:rsid w:val="00F76B3D"/>
    <w:rsid w:val="00F7701D"/>
    <w:rsid w:val="00F8243F"/>
    <w:rsid w:val="00F86937"/>
    <w:rsid w:val="00F92683"/>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7"/>
        <o:r id="V:Rule2" type="connector" idref="#AutoShape 128"/>
        <o:r id="V:Rule3" type="connector" idref="#AutoShape 129"/>
        <o:r id="V:Rule4" type="connector" idref="#AutoShape 130"/>
        <o:r id="V:Rule5" type="connector" idref="#AutoShape 134"/>
        <o:r id="V:Rule6" type="connector" idref="#AutoShape 131"/>
        <o:r id="V:Rule7" type="connector" idref="#AutoShape 132"/>
        <o:r id="V:Rule8" type="connector" idref="#AutoShape 125"/>
        <o:r id="V:Rule9" type="connector" idref="#AutoShape 124"/>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13656E"/>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13656E"/>
    <w:pPr>
      <w:spacing w:after="0" w:line="240" w:lineRule="auto"/>
    </w:pPr>
  </w:style>
  <w:style w:type="table" w:customStyle="1" w:styleId="Tablanormal11">
    <w:name w:val="Tabla normal 11"/>
    <w:basedOn w:val="Tablanormal"/>
    <w:uiPriority w:val="41"/>
    <w:rsid w:val="0013656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F995-4CE9-4D9E-A235-08221572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26</Pages>
  <Words>4258</Words>
  <Characters>23423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29</cp:revision>
  <cp:lastPrinted>2019-04-05T17:41:00Z</cp:lastPrinted>
  <dcterms:created xsi:type="dcterms:W3CDTF">2016-04-05T21:27:00Z</dcterms:created>
  <dcterms:modified xsi:type="dcterms:W3CDTF">2019-04-25T20:05:00Z</dcterms:modified>
</cp:coreProperties>
</file>