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D96166" w:rsidP="003D5DBF">
      <w:pPr>
        <w:jc w:val="center"/>
      </w:pPr>
      <w:r>
        <w:object w:dxaOrig="23589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55pt;height:416.9pt" o:ole="">
            <v:imagedata r:id="rId9" o:title=""/>
          </v:shape>
          <o:OLEObject Type="Embed" ProgID="Excel.Sheet.12" ShapeID="_x0000_i1025" DrawAspect="Content" ObjectID="_1615976020" r:id="rId10"/>
        </w:object>
      </w:r>
    </w:p>
    <w:p w:rsidR="00EA5418" w:rsidRDefault="00EA5418" w:rsidP="00372F40">
      <w:pPr>
        <w:jc w:val="center"/>
      </w:pPr>
    </w:p>
    <w:p w:rsidR="00372F40" w:rsidRDefault="00B46C0A" w:rsidP="00D55379">
      <w:bookmarkStart w:id="0" w:name="_MON_1470805999"/>
      <w:bookmarkEnd w:id="0"/>
      <w:r>
        <w:rPr>
          <w:noProof/>
        </w:rPr>
        <w:lastRenderedPageBreak/>
        <w:pict>
          <v:shape id="_x0000_s1033" type="#_x0000_t75" style="position:absolute;margin-left:16.5pt;margin-top:-3.05pt;width:626.95pt;height:395pt;z-index:251700224;mso-position-horizontal-relative:text;mso-position-vertical-relative:text">
            <v:imagedata r:id="rId11" o:title=""/>
            <w10:wrap type="square" side="right"/>
          </v:shape>
          <o:OLEObject Type="Embed" ProgID="Excel.Sheet.12" ShapeID="_x0000_s1033" DrawAspect="Content" ObjectID="_1615976026" r:id="rId12"/>
        </w:pict>
      </w:r>
      <w:r w:rsidR="00307D21">
        <w:br w:type="textWrapping" w:clear="all"/>
      </w:r>
      <w:bookmarkStart w:id="1" w:name="_MON_1470806992"/>
      <w:bookmarkEnd w:id="1"/>
      <w:r w:rsidR="00FA1DA5">
        <w:object w:dxaOrig="22050" w:dyaOrig="15462">
          <v:shape id="_x0000_i1027" type="#_x0000_t75" style="width:647.15pt;height:453.85pt" o:ole="">
            <v:imagedata r:id="rId13" o:title=""/>
          </v:shape>
          <o:OLEObject Type="Embed" ProgID="Excel.Sheet.12" ShapeID="_x0000_i1027" DrawAspect="Content" ObjectID="_1615976021" r:id="rId14"/>
        </w:object>
      </w:r>
    </w:p>
    <w:bookmarkStart w:id="2" w:name="_MON_1470807348"/>
    <w:bookmarkEnd w:id="2"/>
    <w:p w:rsidR="00372F40" w:rsidRDefault="00B26F82" w:rsidP="008E3652">
      <w:pPr>
        <w:jc w:val="center"/>
      </w:pPr>
      <w:r>
        <w:object w:dxaOrig="17756" w:dyaOrig="12389">
          <v:shape id="_x0000_i1028" type="#_x0000_t75" style="width:648.95pt;height:452.15pt" o:ole="">
            <v:imagedata r:id="rId15" o:title=""/>
          </v:shape>
          <o:OLEObject Type="Embed" ProgID="Excel.Sheet.12" ShapeID="_x0000_i1028" DrawAspect="Content" ObjectID="_1615976022" r:id="rId16"/>
        </w:object>
      </w:r>
    </w:p>
    <w:bookmarkStart w:id="3" w:name="_MON_1470809138"/>
    <w:bookmarkEnd w:id="3"/>
    <w:p w:rsidR="00372F40" w:rsidRDefault="00B26F82" w:rsidP="00522632">
      <w:pPr>
        <w:jc w:val="center"/>
      </w:pPr>
      <w:r>
        <w:object w:dxaOrig="17850" w:dyaOrig="12235">
          <v:shape id="_x0000_i1029" type="#_x0000_t75" style="width:634.55pt;height:429.5pt" o:ole="">
            <v:imagedata r:id="rId17" o:title=""/>
          </v:shape>
          <o:OLEObject Type="Embed" ProgID="Excel.Sheet.12" ShapeID="_x0000_i1029" DrawAspect="Content" ObjectID="_1615976023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B46C0A" w:rsidP="00E32708">
      <w:pPr>
        <w:tabs>
          <w:tab w:val="left" w:pos="2430"/>
        </w:tabs>
        <w:jc w:val="center"/>
      </w:pPr>
      <w:r>
        <w:object w:dxaOrig="20577" w:dyaOrig="13995">
          <v:shape id="_x0000_i1042" type="#_x0000_t75" style="width:619.3pt;height:425.4pt" o:ole="">
            <v:imagedata r:id="rId19" o:title=""/>
          </v:shape>
          <o:OLEObject Type="Embed" ProgID="Excel.Sheet.12" ShapeID="_x0000_i1042" DrawAspect="Content" ObjectID="_1615976024" r:id="rId20"/>
        </w:object>
      </w:r>
    </w:p>
    <w:bookmarkStart w:id="5" w:name="_MON_1470810366"/>
    <w:bookmarkEnd w:id="5"/>
    <w:p w:rsidR="00086296" w:rsidRDefault="006861FE" w:rsidP="00E32708">
      <w:pPr>
        <w:tabs>
          <w:tab w:val="left" w:pos="2430"/>
        </w:tabs>
        <w:jc w:val="center"/>
      </w:pPr>
      <w:r>
        <w:object w:dxaOrig="25987" w:dyaOrig="16750">
          <v:shape id="_x0000_i1031" type="#_x0000_t75" style="width:691.2pt;height:445.55pt" o:ole="">
            <v:imagedata r:id="rId21" o:title=""/>
          </v:shape>
          <o:OLEObject Type="Embed" ProgID="Excel.Sheet.12" ShapeID="_x0000_i1031" DrawAspect="Content" ObjectID="_1615976025" r:id="rId22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787450">
        <w:trPr>
          <w:trHeight w:val="630"/>
          <w:jc w:val="center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Enero al 3</w:t>
            </w:r>
            <w:r w:rsidR="002B366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1629C4">
              <w:rPr>
                <w:rFonts w:ascii="Calibri" w:eastAsia="Times New Roman" w:hAnsi="Calibri" w:cs="Times New Roman"/>
                <w:color w:val="000000"/>
                <w:lang w:eastAsia="es-MX"/>
              </w:rPr>
              <w:t>Marzo del 2019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L.E.F. </w:t>
            </w:r>
            <w:r w:rsidR="00251874">
              <w:rPr>
                <w:rFonts w:ascii="Calibri" w:eastAsia="Times New Roman" w:hAnsi="Calibri" w:cs="Times New Roman"/>
                <w:color w:val="000000"/>
                <w:lang w:eastAsia="es-MX"/>
              </w:rPr>
              <w:t>Alfredo Lemus Saldaña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B3DE7" w:rsidP="003C4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C.P. </w:t>
            </w:r>
            <w:r w:rsidR="003C483D">
              <w:rPr>
                <w:rFonts w:ascii="Calibri" w:eastAsia="Times New Roman" w:hAnsi="Calibri" w:cs="Times New Roman"/>
                <w:color w:val="000000"/>
                <w:lang w:eastAsia="es-MX"/>
              </w:rPr>
              <w:t>María del Rocío Grande Muñoz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0B3DE7" w:rsidRDefault="003C483D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Departamento</w:t>
            </w:r>
            <w:r w:rsidR="00024409"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14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6"/>
        <w:gridCol w:w="3638"/>
        <w:gridCol w:w="14"/>
        <w:gridCol w:w="1502"/>
        <w:gridCol w:w="26"/>
        <w:gridCol w:w="34"/>
        <w:gridCol w:w="408"/>
        <w:gridCol w:w="236"/>
        <w:gridCol w:w="413"/>
        <w:gridCol w:w="705"/>
        <w:gridCol w:w="200"/>
        <w:gridCol w:w="36"/>
        <w:gridCol w:w="203"/>
        <w:gridCol w:w="916"/>
        <w:gridCol w:w="3354"/>
        <w:gridCol w:w="1213"/>
        <w:gridCol w:w="180"/>
        <w:gridCol w:w="71"/>
        <w:gridCol w:w="180"/>
        <w:gridCol w:w="71"/>
        <w:gridCol w:w="180"/>
      </w:tblGrid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38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trHeight w:val="300"/>
        </w:trPr>
        <w:tc>
          <w:tcPr>
            <w:tcW w:w="6003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68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FE3D3D">
        <w:trPr>
          <w:gridAfter w:val="1"/>
          <w:wAfter w:w="180" w:type="dxa"/>
          <w:trHeight w:val="618"/>
        </w:trPr>
        <w:tc>
          <w:tcPr>
            <w:tcW w:w="14249" w:type="dxa"/>
            <w:gridSpan w:val="21"/>
            <w:noWrap/>
            <w:hideMark/>
          </w:tcPr>
          <w:p w:rsidR="006B46C7" w:rsidRPr="006B46C7" w:rsidRDefault="006B46C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Tetla.</w:t>
            </w:r>
          </w:p>
        </w:tc>
      </w:tr>
      <w:tr w:rsidR="000F29E5" w:rsidRPr="006B46C7" w:rsidTr="00FE3D3D">
        <w:trPr>
          <w:gridAfter w:val="1"/>
          <w:wAfter w:w="180" w:type="dxa"/>
          <w:trHeight w:val="391"/>
        </w:trPr>
        <w:tc>
          <w:tcPr>
            <w:tcW w:w="14249" w:type="dxa"/>
            <w:gridSpan w:val="21"/>
            <w:noWrap/>
          </w:tcPr>
          <w:p w:rsidR="000F29E5" w:rsidRPr="006B46C7" w:rsidRDefault="000F29E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91"/>
        </w:trPr>
        <w:tc>
          <w:tcPr>
            <w:tcW w:w="14249" w:type="dxa"/>
            <w:gridSpan w:val="21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6029" w:type="dxa"/>
            <w:gridSpan w:val="6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900"/>
        </w:trPr>
        <w:tc>
          <w:tcPr>
            <w:tcW w:w="14249" w:type="dxa"/>
            <w:gridSpan w:val="21"/>
            <w:noWrap/>
            <w:hideMark/>
          </w:tcPr>
          <w:p w:rsidR="00DA760B" w:rsidRPr="006B46C7" w:rsidRDefault="0025187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Marzo el saldo es de $481, 261.00 monto que en tres meses se recuperará la comprobación respectiva o se hará el reintegro del mismo. </w:t>
            </w: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68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690"/>
        </w:trPr>
        <w:tc>
          <w:tcPr>
            <w:tcW w:w="14249" w:type="dxa"/>
            <w:gridSpan w:val="21"/>
            <w:noWrap/>
            <w:hideMark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5"/>
            <w:noWrap/>
            <w:hideMark/>
          </w:tcPr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Bienes Muebles:</w:t>
            </w:r>
          </w:p>
        </w:tc>
        <w:tc>
          <w:tcPr>
            <w:tcW w:w="468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shd w:val="clear" w:color="auto" w:fill="632423" w:themeFill="accent2" w:themeFillShade="80"/>
            <w:noWrap/>
          </w:tcPr>
          <w:p w:rsidR="00DA760B" w:rsidRPr="000A4A14" w:rsidRDefault="000A4A14" w:rsidP="00FE3D3D">
            <w:pPr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Descripción </w:t>
            </w:r>
          </w:p>
        </w:tc>
        <w:tc>
          <w:tcPr>
            <w:tcW w:w="1542" w:type="dxa"/>
            <w:gridSpan w:val="3"/>
            <w:shd w:val="clear" w:color="auto" w:fill="632423" w:themeFill="accent2" w:themeFillShade="80"/>
            <w:noWrap/>
          </w:tcPr>
          <w:p w:rsidR="00DA760B" w:rsidRP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5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11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913,428 </w:t>
            </w: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17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3C483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</w:t>
            </w:r>
            <w:r w:rsidR="001629C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022,757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6917E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320,932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,2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Logística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</w:t>
            </w:r>
            <w:r w:rsidR="006917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6917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047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68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68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479"/>
        </w:trPr>
        <w:tc>
          <w:tcPr>
            <w:tcW w:w="14249" w:type="dxa"/>
            <w:gridSpan w:val="21"/>
            <w:noWrap/>
            <w:hideMark/>
          </w:tcPr>
          <w:p w:rsidR="00DA760B" w:rsidRPr="006B46C7" w:rsidRDefault="005422B6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69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Marzo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existe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saldo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</w:t>
            </w:r>
            <w:r w:rsidR="00596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B3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1’436,683.00</w:t>
            </w: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570"/>
        </w:trPr>
        <w:tc>
          <w:tcPr>
            <w:tcW w:w="14249" w:type="dxa"/>
            <w:gridSpan w:val="21"/>
            <w:noWrap/>
            <w:hideMark/>
          </w:tcPr>
          <w:p w:rsidR="00DA760B" w:rsidRPr="006B46C7" w:rsidRDefault="005422B6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4517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Marzo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saldo es de $</w:t>
            </w:r>
            <w:r w:rsidR="004517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1.00</w:t>
            </w:r>
            <w:r w:rsidR="003C48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4517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cual será</w:t>
            </w:r>
            <w:r w:rsidR="004517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pagado dentro del mes siguiente.</w:t>
            </w:r>
          </w:p>
        </w:tc>
      </w:tr>
      <w:tr w:rsidR="00DA760B" w:rsidRPr="006B46C7" w:rsidTr="00FE3D3D">
        <w:trPr>
          <w:gridAfter w:val="1"/>
          <w:wAfter w:w="180" w:type="dxa"/>
          <w:trHeight w:val="570"/>
        </w:trPr>
        <w:tc>
          <w:tcPr>
            <w:tcW w:w="14249" w:type="dxa"/>
            <w:gridSpan w:val="21"/>
            <w:noWrap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</w:t>
            </w:r>
            <w:r w:rsidR="004517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108, 382</w:t>
            </w: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II)</w:t>
            </w:r>
          </w:p>
        </w:tc>
        <w:tc>
          <w:tcPr>
            <w:tcW w:w="3638" w:type="dxa"/>
            <w:noWrap/>
            <w:hideMark/>
          </w:tcPr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Notas al Estado de Actividades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Participaciones Estatales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B46C0A" w:rsidP="007A03A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5,2</w:t>
            </w:r>
            <w:r w:rsidR="007A03A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  <w:r w:rsidR="00C110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7A03A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38</w:t>
            </w:r>
            <w:r w:rsidR="00C110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79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gridSpan w:val="3"/>
            <w:noWrap/>
          </w:tcPr>
          <w:p w:rsidR="00C11040" w:rsidRDefault="00C11040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8" w:type="dxa"/>
            <w:gridSpan w:val="1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 w:rsidR="00C110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marzo</w:t>
            </w:r>
            <w:r w:rsidR="00BB7AF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:rsidTr="00FE3D3D">
        <w:trPr>
          <w:trHeight w:val="300"/>
        </w:trPr>
        <w:tc>
          <w:tcPr>
            <w:tcW w:w="4501" w:type="dxa"/>
            <w:gridSpan w:val="4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Convenios                                                                                        </w:t>
            </w:r>
          </w:p>
        </w:tc>
        <w:tc>
          <w:tcPr>
            <w:tcW w:w="1562" w:type="dxa"/>
            <w:gridSpan w:val="3"/>
          </w:tcPr>
          <w:p w:rsidR="00C11040" w:rsidRPr="006B46C7" w:rsidRDefault="00C11040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110,000</w:t>
            </w:r>
          </w:p>
        </w:tc>
        <w:tc>
          <w:tcPr>
            <w:tcW w:w="1762" w:type="dxa"/>
            <w:gridSpan w:val="4"/>
            <w:noWrap/>
          </w:tcPr>
          <w:p w:rsidR="00C11040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</w:tcPr>
          <w:p w:rsidR="00C11040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:rsidTr="00FE3D3D">
        <w:trPr>
          <w:trHeight w:val="300"/>
        </w:trPr>
        <w:tc>
          <w:tcPr>
            <w:tcW w:w="4501" w:type="dxa"/>
            <w:gridSpan w:val="4"/>
            <w:noWrap/>
          </w:tcPr>
          <w:p w:rsidR="00C11040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62" w:type="dxa"/>
            <w:gridSpan w:val="3"/>
          </w:tcPr>
          <w:p w:rsidR="00C11040" w:rsidRDefault="00C11040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62" w:type="dxa"/>
            <w:gridSpan w:val="4"/>
            <w:noWrap/>
          </w:tcPr>
          <w:p w:rsidR="00C11040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</w:tcPr>
          <w:p w:rsidR="00C11040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:rsidTr="00FE3D3D">
        <w:trPr>
          <w:trHeight w:val="300"/>
        </w:trPr>
        <w:tc>
          <w:tcPr>
            <w:tcW w:w="813" w:type="dxa"/>
            <w:noWrap/>
          </w:tcPr>
          <w:p w:rsidR="00C11040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</w:t>
            </w:r>
          </w:p>
        </w:tc>
        <w:tc>
          <w:tcPr>
            <w:tcW w:w="13114" w:type="dxa"/>
            <w:gridSpan w:val="17"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Corresponde al recurso asignado por la CONADE para la entrega del Premio Estatal del Deporte.</w:t>
            </w: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:rsidTr="00FE3D3D">
        <w:trPr>
          <w:trHeight w:val="300"/>
        </w:trPr>
        <w:tc>
          <w:tcPr>
            <w:tcW w:w="4501" w:type="dxa"/>
            <w:gridSpan w:val="4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6" w:name="_GoBack"/>
            <w:bookmarkEnd w:id="6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Productos                                                                                           </w:t>
            </w:r>
          </w:p>
        </w:tc>
        <w:tc>
          <w:tcPr>
            <w:tcW w:w="1502" w:type="dxa"/>
          </w:tcPr>
          <w:p w:rsidR="00C11040" w:rsidRPr="006B46C7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468" w:type="dxa"/>
            <w:gridSpan w:val="3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8" w:type="dxa"/>
            <w:gridSpan w:val="1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tereses ganados por las cuentas productivas </w:t>
            </w:r>
            <w:r w:rsidR="000A4A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para el manejo de recursos federales.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1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6"/>
            <w:noWrap/>
          </w:tcPr>
          <w:p w:rsidR="00740B17" w:rsidRPr="006B46C7" w:rsidRDefault="00BB693A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2,216,144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6"/>
            <w:noWrap/>
          </w:tcPr>
          <w:p w:rsidR="00740B17" w:rsidRPr="006B46C7" w:rsidRDefault="00BB693A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572,237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6"/>
            <w:noWrap/>
          </w:tcPr>
          <w:p w:rsidR="00740B17" w:rsidRPr="006B46C7" w:rsidRDefault="00BB693A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1,195,297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16" w:type="dxa"/>
            <w:gridSpan w:val="2"/>
            <w:noWrap/>
          </w:tcPr>
          <w:p w:rsidR="00740B1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6"/>
            <w:noWrap/>
          </w:tcPr>
          <w:p w:rsidR="00740B17" w:rsidRDefault="00BB693A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512,623</w:t>
            </w:r>
          </w:p>
        </w:tc>
        <w:tc>
          <w:tcPr>
            <w:tcW w:w="5922" w:type="dxa"/>
            <w:gridSpan w:val="6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BB693A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218,773</w:t>
            </w:r>
          </w:p>
        </w:tc>
        <w:tc>
          <w:tcPr>
            <w:tcW w:w="18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BB693A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293,850</w:t>
            </w:r>
          </w:p>
        </w:tc>
        <w:tc>
          <w:tcPr>
            <w:tcW w:w="18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</w:tcPr>
          <w:p w:rsidR="00740B1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</w:tcPr>
          <w:p w:rsidR="00740B1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630"/>
        </w:trPr>
        <w:tc>
          <w:tcPr>
            <w:tcW w:w="14249" w:type="dxa"/>
            <w:gridSpan w:val="21"/>
            <w:hideMark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otorgan apoyo económico a deportistas destacados y asociaciones deportivas,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 Paralimpiada,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 satisfactorios y puedan continuar con su desarrollo deportivo.</w:t>
            </w:r>
          </w:p>
        </w:tc>
      </w:tr>
      <w:tr w:rsidR="00740B17" w:rsidRPr="006B46C7" w:rsidTr="00FE3D3D">
        <w:trPr>
          <w:gridAfter w:val="1"/>
          <w:wAfter w:w="180" w:type="dxa"/>
          <w:trHeight w:val="274"/>
        </w:trPr>
        <w:tc>
          <w:tcPr>
            <w:tcW w:w="14249" w:type="dxa"/>
            <w:gridSpan w:val="21"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274"/>
        </w:trPr>
        <w:tc>
          <w:tcPr>
            <w:tcW w:w="14249" w:type="dxa"/>
            <w:gridSpan w:val="21"/>
          </w:tcPr>
          <w:p w:rsidR="00740B17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740B17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740B17" w:rsidRPr="00DA760B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7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IV)</w:t>
            </w:r>
          </w:p>
        </w:tc>
        <w:tc>
          <w:tcPr>
            <w:tcW w:w="3638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42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1542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660"/>
        </w:trPr>
        <w:tc>
          <w:tcPr>
            <w:tcW w:w="849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7"/>
            <w:hideMark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BB693A" w:rsidP="00FE3D3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2019</w:t>
            </w: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FE3D3D">
            <w:pPr>
              <w:ind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BB69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71" w:type="dxa"/>
            <w:gridSpan w:val="8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1144" w:type="dxa"/>
            <w:gridSpan w:val="4"/>
            <w:noWrap/>
            <w:hideMark/>
          </w:tcPr>
          <w:p w:rsidR="00740B17" w:rsidRPr="0067344E" w:rsidRDefault="00BB693A" w:rsidP="00FE3D3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352,391</w:t>
            </w:r>
          </w:p>
        </w:tc>
        <w:tc>
          <w:tcPr>
            <w:tcW w:w="916" w:type="dxa"/>
            <w:noWrap/>
            <w:hideMark/>
          </w:tcPr>
          <w:p w:rsidR="00740B17" w:rsidRPr="006B46C7" w:rsidRDefault="00BB693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162,516</w:t>
            </w: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7"/>
            <w:noWrap/>
            <w:hideMark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7"/>
            <w:noWrap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740B17" w:rsidRPr="006B46C7" w:rsidRDefault="00740B17" w:rsidP="00FE3D3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E673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355" w:type="dxa"/>
            <w:gridSpan w:val="4"/>
            <w:noWrap/>
            <w:hideMark/>
          </w:tcPr>
          <w:p w:rsidR="00740B17" w:rsidRPr="006B46C7" w:rsidRDefault="00E6737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2018</w:t>
            </w:r>
          </w:p>
        </w:tc>
        <w:tc>
          <w:tcPr>
            <w:tcW w:w="4567" w:type="dxa"/>
            <w:gridSpan w:val="2"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:rsidR="000A4A14" w:rsidRPr="006B46C7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822" w:type="dxa"/>
            <w:gridSpan w:val="6"/>
            <w:noWrap/>
            <w:hideMark/>
          </w:tcPr>
          <w:p w:rsidR="000A4A14" w:rsidRPr="006B46C7" w:rsidRDefault="00E6737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821,202</w:t>
            </w:r>
          </w:p>
        </w:tc>
        <w:tc>
          <w:tcPr>
            <w:tcW w:w="1355" w:type="dxa"/>
            <w:gridSpan w:val="4"/>
            <w:noWrap/>
            <w:hideMark/>
          </w:tcPr>
          <w:p w:rsidR="000A4A14" w:rsidRPr="006B46C7" w:rsidRDefault="00E6737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-1,665,888</w:t>
            </w:r>
          </w:p>
        </w:tc>
        <w:tc>
          <w:tcPr>
            <w:tcW w:w="4567" w:type="dxa"/>
            <w:gridSpan w:val="2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822" w:type="dxa"/>
            <w:gridSpan w:val="6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822" w:type="dxa"/>
            <w:gridSpan w:val="6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822" w:type="dxa"/>
            <w:gridSpan w:val="6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822" w:type="dxa"/>
            <w:gridSpan w:val="6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822" w:type="dxa"/>
            <w:gridSpan w:val="6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822" w:type="dxa"/>
            <w:gridSpan w:val="6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1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1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E3D3D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Pr="006B46C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416"/>
        </w:trPr>
        <w:tc>
          <w:tcPr>
            <w:tcW w:w="849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:rsid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7"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76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tbl>
            <w:tblPr>
              <w:tblW w:w="47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621"/>
              <w:gridCol w:w="427"/>
              <w:gridCol w:w="707"/>
            </w:tblGrid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Correspondiente del 1 de enero 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31 de </w:t>
                  </w:r>
                  <w:r w:rsidR="000413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marzo del 2019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E67377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5,207,385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:rsidR="000A4A14" w:rsidRPr="00F85EE0" w:rsidRDefault="00E67377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110,118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2.1 Ingresos Financieros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2.2 Incremento por variación de inventarios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A4A14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2.5 Otros ingresos y Beneficios Varios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Default="00E67377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110,118</w:t>
                  </w:r>
                </w:p>
              </w:tc>
            </w:tr>
            <w:tr w:rsidR="000A4A14" w:rsidRPr="00F85EE0" w:rsidTr="00106A8F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Otros ingresos contables no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3.1 Aprovechamientos patrimoniales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3.2 Ingresos Derivados de Financiamientos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:rsidR="000A4A14" w:rsidRPr="00F85EE0" w:rsidRDefault="00041376" w:rsidP="00B46C0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5,317,503</w:t>
                  </w:r>
                </w:p>
              </w:tc>
            </w:tr>
          </w:tbl>
          <w:p w:rsidR="000A4A14" w:rsidRPr="00F85EE0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31" w:type="dxa"/>
            <w:gridSpan w:val="11"/>
          </w:tcPr>
          <w:tbl>
            <w:tblPr>
              <w:tblpPr w:leftFromText="141" w:rightFromText="141" w:vertAnchor="page" w:horzAnchor="page" w:tblpX="742" w:tblpY="1"/>
              <w:tblOverlap w:val="never"/>
              <w:tblW w:w="72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2549"/>
              <w:gridCol w:w="426"/>
              <w:gridCol w:w="1773"/>
              <w:gridCol w:w="18"/>
              <w:gridCol w:w="1116"/>
            </w:tblGrid>
            <w:tr w:rsidR="000A4A14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INSTITUTO DEL DEPORTE DE TLAXCALA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al 31 de </w:t>
                  </w:r>
                  <w:r w:rsidR="000413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marzo del 2019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0A4A14" w:rsidRPr="00F85EE0" w:rsidTr="00086296">
              <w:trPr>
                <w:gridAfter w:val="1"/>
                <w:wAfter w:w="1116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5956FE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1791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:rsidR="000A4A14" w:rsidRPr="00F85EE0" w:rsidRDefault="00041376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4,496,301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17"/>
              </w:trPr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5956FE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A14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A14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5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97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9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2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35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1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64"/>
              </w:trPr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4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9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7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316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ciones por pérdida o deterioro u obsolescencia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E3D3D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Otros gatos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E3D3D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A4A14" w:rsidRPr="00F85EE0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:rsidR="000A4A14" w:rsidRPr="00086296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3333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14F29663" wp14:editId="39801DB2">
                            <wp:simplePos x="0" y="0"/>
                            <wp:positionH relativeFrom="column">
                              <wp:posOffset>329565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987425" cy="277495"/>
                            <wp:effectExtent l="0" t="0" r="22225" b="27305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46C0A" w:rsidRPr="00086296" w:rsidRDefault="00B46C0A" w:rsidP="0008629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4,496,301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13 Rectángulo" o:spid="_x0000_s1026" style="position:absolute;margin-left:25.95pt;margin-top:3.5pt;width:77.75pt;height:2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" fillcolor="#a5a5a5 [2092]" strokecolor="black [3213]" strokeweight=".25pt">
                            <v:fill opacity="58339f"/>
                            <v:textbox>
                              <w:txbxContent>
                                <w:p w:rsidR="000A4A14" w:rsidRPr="00086296" w:rsidRDefault="00FE3D3D" w:rsidP="000862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</w:t>
                                  </w:r>
                                  <w:proofErr w:type="gramStart"/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,496,301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  <w:p w:rsidR="000A4A14" w:rsidRPr="00086296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0A4A14" w:rsidRPr="00F85EE0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gridSpan w:val="5"/>
            <w:noWrap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85"/>
        </w:trPr>
        <w:tc>
          <w:tcPr>
            <w:tcW w:w="13998" w:type="dxa"/>
            <w:gridSpan w:val="19"/>
            <w:noWrap/>
            <w:hideMark/>
          </w:tcPr>
          <w:p w:rsidR="00FE3D3D" w:rsidRDefault="00FE3D3D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>b) NOTAS DE MEMORIA (CUENTAS DE ORDEN)</w:t>
            </w:r>
          </w:p>
          <w:p w:rsidR="00B40519" w:rsidRPr="00FE3D3D" w:rsidRDefault="00B40519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0A4A14" w:rsidRDefault="00FE3D3D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</w:t>
            </w:r>
            <w:r w:rsidR="000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  <w:p w:rsidR="00B40519" w:rsidRPr="006B46C7" w:rsidRDefault="00B40519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7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7"/>
            <w:noWrap/>
            <w:hideMark/>
          </w:tcPr>
          <w:p w:rsidR="000A4A14" w:rsidRPr="006B46C7" w:rsidRDefault="000A4A14" w:rsidP="00A0266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continuación, se explicará de forma breve las características del Instituto del Deporte en este ejercicio 201</w:t>
            </w:r>
            <w:r w:rsidR="00A0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7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7"/>
            <w:hideMark/>
          </w:tcPr>
          <w:p w:rsidR="000A4A14" w:rsidRPr="006B46C7" w:rsidRDefault="000A4A14" w:rsidP="00A0266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201</w:t>
            </w:r>
            <w:r w:rsidR="00A0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A0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 el mismo de 2018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A0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sufrió modificación alguna.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3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3149" w:type="dxa"/>
            <w:gridSpan w:val="17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53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3149" w:type="dxa"/>
            <w:gridSpan w:val="17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53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7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Organización y Objeto Social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38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898" w:type="dxa"/>
            <w:gridSpan w:val="15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898" w:type="dxa"/>
            <w:gridSpan w:val="15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201</w:t>
            </w:r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898" w:type="dxa"/>
            <w:gridSpan w:val="15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12898" w:type="dxa"/>
            <w:gridSpan w:val="15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8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3149" w:type="dxa"/>
            <w:gridSpan w:val="17"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Estructura organizacional básica: Dirección General, Jefatura de Administración y Finanzas y Jefatura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Jefatura de Desarrollo del Deporte.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44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7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7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492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6029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9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517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78" w:type="dxa"/>
            <w:gridSpan w:val="1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adquisiciones realizadas son necesarias para la operatividad de la entidad, eficientando las funciones del personal que lo emplea.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05"/>
        </w:trPr>
        <w:tc>
          <w:tcPr>
            <w:tcW w:w="13998" w:type="dxa"/>
            <w:gridSpan w:val="19"/>
            <w:noWrap/>
            <w:hideMark/>
          </w:tcPr>
          <w:p w:rsidR="000A4A14" w:rsidRPr="006B46C7" w:rsidRDefault="000A4A14" w:rsidP="00CB3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 asciende a la cantidad de $</w:t>
            </w:r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13,303,501.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13927" w:type="dxa"/>
            <w:gridSpan w:val="18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30"/>
        </w:trPr>
        <w:tc>
          <w:tcPr>
            <w:tcW w:w="13998" w:type="dxa"/>
            <w:gridSpan w:val="19"/>
            <w:noWrap/>
            <w:hideMark/>
          </w:tcPr>
          <w:p w:rsidR="000A4A14" w:rsidRPr="006B46C7" w:rsidRDefault="000A4A14" w:rsidP="00CB30B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os ingresos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estatales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201</w:t>
            </w:r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 están siendo superiores a los de 2018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13998" w:type="dxa"/>
            <w:gridSpan w:val="19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486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7"/>
        </w:trPr>
        <w:tc>
          <w:tcPr>
            <w:tcW w:w="13998" w:type="dxa"/>
            <w:gridSpan w:val="19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98"/>
        </w:trPr>
        <w:tc>
          <w:tcPr>
            <w:tcW w:w="13998" w:type="dxa"/>
            <w:gridSpan w:val="19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3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00"/>
        </w:trPr>
        <w:tc>
          <w:tcPr>
            <w:tcW w:w="13998" w:type="dxa"/>
            <w:gridSpan w:val="19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realizan operaciones relacionadas en el Instituto del Deporte de Tlaxcala.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15"/>
        </w:trPr>
        <w:tc>
          <w:tcPr>
            <w:tcW w:w="13998" w:type="dxa"/>
            <w:gridSpan w:val="19"/>
            <w:noWrap/>
            <w:hideMark/>
          </w:tcPr>
          <w:p w:rsidR="000A4A14" w:rsidRPr="006B46C7" w:rsidRDefault="008A6D1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440291B" wp14:editId="5C75DDC1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286216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6C0A" w:rsidRDefault="00B46C0A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B46C0A" w:rsidRDefault="00B46C0A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B46C0A" w:rsidRDefault="00B46C0A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B46C0A" w:rsidRDefault="00B46C0A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B46C0A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B46C0A" w:rsidRPr="006B46C7" w:rsidRDefault="00B46C0A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C.P. María del Rocío Grande Muñoz</w:t>
                                        </w:r>
                                      </w:p>
                                    </w:tc>
                                  </w:tr>
                                  <w:tr w:rsidR="00B46C0A" w:rsidRPr="00804C9F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B46C0A" w:rsidRPr="00804C9F" w:rsidRDefault="00B46C0A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:rsidR="00B46C0A" w:rsidRDefault="00B46C0A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7" style="position:absolute;left:0;text-align:left;margin-left:326.3pt;margin-top:22.55pt;width:217.7pt;height:10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XZ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mz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" filled="f" stroked="f" strokeweight="2pt">
                      <v:textbox>
                        <w:txbxContent>
                          <w:p w:rsidR="00B46C0A" w:rsidRDefault="00B46C0A" w:rsidP="00804C9F">
                            <w:pPr>
                              <w:spacing w:after="0" w:line="240" w:lineRule="auto"/>
                            </w:pPr>
                          </w:p>
                          <w:p w:rsidR="00B46C0A" w:rsidRDefault="00B46C0A" w:rsidP="00804C9F">
                            <w:pPr>
                              <w:spacing w:after="0" w:line="240" w:lineRule="auto"/>
                            </w:pPr>
                          </w:p>
                          <w:p w:rsidR="00B46C0A" w:rsidRDefault="00B46C0A" w:rsidP="00804C9F">
                            <w:pPr>
                              <w:spacing w:after="0" w:line="240" w:lineRule="auto"/>
                            </w:pPr>
                          </w:p>
                          <w:p w:rsidR="00B46C0A" w:rsidRDefault="00B46C0A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B46C0A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46C0A" w:rsidRPr="006B46C7" w:rsidRDefault="00B46C0A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C.P. María del Rocío Grande Muñoz</w:t>
                                  </w:r>
                                </w:p>
                              </w:tc>
                            </w:tr>
                            <w:tr w:rsidR="00B46C0A" w:rsidRPr="00804C9F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46C0A" w:rsidRPr="00804C9F" w:rsidRDefault="00B46C0A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:rsidR="00B46C0A" w:rsidRDefault="00B46C0A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C91326" wp14:editId="2CF07112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287655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6C0A" w:rsidRDefault="00B46C0A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B46C0A" w:rsidRDefault="00B46C0A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B46C0A" w:rsidRDefault="00B46C0A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B46C0A" w:rsidRDefault="00B46C0A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69"/>
                                  </w:tblGrid>
                                  <w:tr w:rsidR="00B46C0A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B46C0A" w:rsidRPr="006B46C7" w:rsidRDefault="00B46C0A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L.E.F.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ALFREDO LEMUS SALDAÑA</w:t>
                                        </w:r>
                                      </w:p>
                                    </w:tc>
                                  </w:tr>
                                  <w:tr w:rsidR="00B46C0A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B46C0A" w:rsidRPr="006B46C7" w:rsidRDefault="00B46C0A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DIRECCION GENERAL</w:t>
                                        </w:r>
                                      </w:p>
                                    </w:tc>
                                  </w:tr>
                                </w:tbl>
                                <w:p w:rsidR="00B46C0A" w:rsidRDefault="00B46C0A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8" style="position:absolute;left:0;text-align:left;margin-left:41pt;margin-top:22.65pt;width:217.7pt;height:10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" filled="f" stroked="f" strokeweight="2pt">
                      <v:textbox>
                        <w:txbxContent>
                          <w:p w:rsidR="00B46C0A" w:rsidRDefault="00B46C0A" w:rsidP="00804C9F">
                            <w:pPr>
                              <w:spacing w:after="0" w:line="240" w:lineRule="auto"/>
                            </w:pPr>
                          </w:p>
                          <w:p w:rsidR="00B46C0A" w:rsidRDefault="00B46C0A" w:rsidP="00804C9F">
                            <w:pPr>
                              <w:spacing w:after="0" w:line="240" w:lineRule="auto"/>
                            </w:pPr>
                          </w:p>
                          <w:p w:rsidR="00B46C0A" w:rsidRDefault="00B46C0A" w:rsidP="00804C9F">
                            <w:pPr>
                              <w:spacing w:after="0" w:line="240" w:lineRule="auto"/>
                            </w:pPr>
                          </w:p>
                          <w:p w:rsidR="00B46C0A" w:rsidRDefault="00B46C0A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69"/>
                            </w:tblGrid>
                            <w:tr w:rsidR="00B46C0A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46C0A" w:rsidRPr="006B46C7" w:rsidRDefault="00B46C0A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L.E.F.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ALFREDO LEMUS SALDAÑA</w:t>
                                  </w:r>
                                </w:p>
                              </w:tc>
                            </w:tr>
                            <w:tr w:rsidR="00B46C0A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46C0A" w:rsidRPr="006B46C7" w:rsidRDefault="00B46C0A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DIRECCION GENERAL</w:t>
                                  </w:r>
                                </w:p>
                              </w:tc>
                            </w:tr>
                          </w:tbl>
                          <w:p w:rsidR="00B46C0A" w:rsidRDefault="00B46C0A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4A14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 w:rsidR="00F44A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F44A81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BA6E49" wp14:editId="6C25D410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8615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.7pt" to="1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46C7" w:rsidRDefault="006B46C7" w:rsidP="0023751B"/>
    <w:sectPr w:rsidR="006B46C7" w:rsidSect="008E3652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0A" w:rsidRDefault="00B46C0A" w:rsidP="00EA5418">
      <w:pPr>
        <w:spacing w:after="0" w:line="240" w:lineRule="auto"/>
      </w:pPr>
      <w:r>
        <w:separator/>
      </w:r>
    </w:p>
  </w:endnote>
  <w:endnote w:type="continuationSeparator" w:id="0">
    <w:p w:rsidR="00B46C0A" w:rsidRDefault="00B46C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0A" w:rsidRPr="0013011C" w:rsidRDefault="00B46C0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C3D2D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A03AD" w:rsidRPr="007A03AD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46C0A" w:rsidRDefault="00B46C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0A" w:rsidRPr="008E3652" w:rsidRDefault="00B46C0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E32D19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A03AD" w:rsidRPr="007A03AD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0A" w:rsidRDefault="00B46C0A" w:rsidP="00EA5418">
      <w:pPr>
        <w:spacing w:after="0" w:line="240" w:lineRule="auto"/>
      </w:pPr>
      <w:r>
        <w:separator/>
      </w:r>
    </w:p>
  </w:footnote>
  <w:footnote w:type="continuationSeparator" w:id="0">
    <w:p w:rsidR="00B46C0A" w:rsidRDefault="00B46C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0A" w:rsidRDefault="00B46C0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0A" w:rsidRDefault="00B46C0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46C0A" w:rsidRDefault="00B46C0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46C0A" w:rsidRPr="00275FC6" w:rsidRDefault="00B46C0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C0A" w:rsidRDefault="00B46C0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B46C0A" w:rsidRDefault="00B46C0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46C0A" w:rsidRPr="00275FC6" w:rsidRDefault="00B46C0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9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26F82" w:rsidRDefault="00B26F8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26F82" w:rsidRDefault="00B26F8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26F82" w:rsidRPr="00275FC6" w:rsidRDefault="00B26F8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26F82" w:rsidRDefault="00B26F8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B26F82" w:rsidRDefault="00B26F8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26F82" w:rsidRPr="00275FC6" w:rsidRDefault="00B26F8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1CC48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0A" w:rsidRPr="0013011C" w:rsidRDefault="00B46C0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FDB1E16" id="1 Conector recto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ED9"/>
    <w:rsid w:val="0001298B"/>
    <w:rsid w:val="00024409"/>
    <w:rsid w:val="0003529B"/>
    <w:rsid w:val="000373F1"/>
    <w:rsid w:val="00037C87"/>
    <w:rsid w:val="00040466"/>
    <w:rsid w:val="00041376"/>
    <w:rsid w:val="00045A10"/>
    <w:rsid w:val="000652F2"/>
    <w:rsid w:val="00065B61"/>
    <w:rsid w:val="0008119C"/>
    <w:rsid w:val="00081956"/>
    <w:rsid w:val="00086296"/>
    <w:rsid w:val="000A4A14"/>
    <w:rsid w:val="000B02EF"/>
    <w:rsid w:val="000B3DE7"/>
    <w:rsid w:val="000F29E5"/>
    <w:rsid w:val="000F43EF"/>
    <w:rsid w:val="00106A8F"/>
    <w:rsid w:val="0013011C"/>
    <w:rsid w:val="001307F4"/>
    <w:rsid w:val="001629C4"/>
    <w:rsid w:val="00165BB4"/>
    <w:rsid w:val="0017285A"/>
    <w:rsid w:val="0018200E"/>
    <w:rsid w:val="00182E08"/>
    <w:rsid w:val="001B1B72"/>
    <w:rsid w:val="001B4E07"/>
    <w:rsid w:val="001C5B8B"/>
    <w:rsid w:val="001C6FD8"/>
    <w:rsid w:val="001D443E"/>
    <w:rsid w:val="001E7072"/>
    <w:rsid w:val="001F244B"/>
    <w:rsid w:val="00204C86"/>
    <w:rsid w:val="00211A64"/>
    <w:rsid w:val="00213B66"/>
    <w:rsid w:val="00234A16"/>
    <w:rsid w:val="0023751B"/>
    <w:rsid w:val="00241E2A"/>
    <w:rsid w:val="00251874"/>
    <w:rsid w:val="002552BB"/>
    <w:rsid w:val="00257D34"/>
    <w:rsid w:val="00264426"/>
    <w:rsid w:val="00274D5C"/>
    <w:rsid w:val="002770BA"/>
    <w:rsid w:val="00283C45"/>
    <w:rsid w:val="0028687E"/>
    <w:rsid w:val="00290A28"/>
    <w:rsid w:val="002A1152"/>
    <w:rsid w:val="002A18CC"/>
    <w:rsid w:val="002A70B3"/>
    <w:rsid w:val="002B3663"/>
    <w:rsid w:val="002F4765"/>
    <w:rsid w:val="00307D21"/>
    <w:rsid w:val="00324DEB"/>
    <w:rsid w:val="003272E5"/>
    <w:rsid w:val="00344F5E"/>
    <w:rsid w:val="00351DA0"/>
    <w:rsid w:val="00354C73"/>
    <w:rsid w:val="0036414E"/>
    <w:rsid w:val="0036601C"/>
    <w:rsid w:val="00372F40"/>
    <w:rsid w:val="003800AD"/>
    <w:rsid w:val="0039593C"/>
    <w:rsid w:val="00396C2B"/>
    <w:rsid w:val="003A0303"/>
    <w:rsid w:val="003A1F21"/>
    <w:rsid w:val="003C483D"/>
    <w:rsid w:val="003D5DBF"/>
    <w:rsid w:val="003D6850"/>
    <w:rsid w:val="003D6907"/>
    <w:rsid w:val="003E2CE2"/>
    <w:rsid w:val="003E5DCC"/>
    <w:rsid w:val="003E7FD0"/>
    <w:rsid w:val="003F0EA4"/>
    <w:rsid w:val="003F31D3"/>
    <w:rsid w:val="00427E17"/>
    <w:rsid w:val="004311BE"/>
    <w:rsid w:val="0043324B"/>
    <w:rsid w:val="00433BCE"/>
    <w:rsid w:val="0044253C"/>
    <w:rsid w:val="004517F2"/>
    <w:rsid w:val="00457F22"/>
    <w:rsid w:val="004714CF"/>
    <w:rsid w:val="004773BF"/>
    <w:rsid w:val="00484C0D"/>
    <w:rsid w:val="00497D8B"/>
    <w:rsid w:val="004A43D9"/>
    <w:rsid w:val="004B06BC"/>
    <w:rsid w:val="004B5B01"/>
    <w:rsid w:val="004B7E93"/>
    <w:rsid w:val="004C4357"/>
    <w:rsid w:val="004C473D"/>
    <w:rsid w:val="004D2E4E"/>
    <w:rsid w:val="004D41B8"/>
    <w:rsid w:val="004F5641"/>
    <w:rsid w:val="005069D5"/>
    <w:rsid w:val="00522632"/>
    <w:rsid w:val="00522EF3"/>
    <w:rsid w:val="005309AF"/>
    <w:rsid w:val="00540418"/>
    <w:rsid w:val="005422B6"/>
    <w:rsid w:val="0054302E"/>
    <w:rsid w:val="00550434"/>
    <w:rsid w:val="00553646"/>
    <w:rsid w:val="00555AF0"/>
    <w:rsid w:val="00574266"/>
    <w:rsid w:val="00577AA5"/>
    <w:rsid w:val="0058399A"/>
    <w:rsid w:val="00594D43"/>
    <w:rsid w:val="005956FE"/>
    <w:rsid w:val="00596B30"/>
    <w:rsid w:val="00596D4F"/>
    <w:rsid w:val="005A0619"/>
    <w:rsid w:val="005D3D25"/>
    <w:rsid w:val="005F4C75"/>
    <w:rsid w:val="0060010E"/>
    <w:rsid w:val="00605C75"/>
    <w:rsid w:val="00610D65"/>
    <w:rsid w:val="006336C7"/>
    <w:rsid w:val="00653394"/>
    <w:rsid w:val="00653E06"/>
    <w:rsid w:val="00665F13"/>
    <w:rsid w:val="0067344E"/>
    <w:rsid w:val="0068145D"/>
    <w:rsid w:val="00686043"/>
    <w:rsid w:val="006861FE"/>
    <w:rsid w:val="006905BA"/>
    <w:rsid w:val="00690BFD"/>
    <w:rsid w:val="006917EB"/>
    <w:rsid w:val="00694EAB"/>
    <w:rsid w:val="006A7BE1"/>
    <w:rsid w:val="006B1FE7"/>
    <w:rsid w:val="006B46C7"/>
    <w:rsid w:val="006B6950"/>
    <w:rsid w:val="006B6FFC"/>
    <w:rsid w:val="006D4C91"/>
    <w:rsid w:val="006D5C23"/>
    <w:rsid w:val="006D76E9"/>
    <w:rsid w:val="006E2C7A"/>
    <w:rsid w:val="006E77DD"/>
    <w:rsid w:val="0070268A"/>
    <w:rsid w:val="0072678A"/>
    <w:rsid w:val="0072766F"/>
    <w:rsid w:val="00740B17"/>
    <w:rsid w:val="007420FD"/>
    <w:rsid w:val="00757129"/>
    <w:rsid w:val="00787450"/>
    <w:rsid w:val="0079582C"/>
    <w:rsid w:val="007A03AD"/>
    <w:rsid w:val="007B42DF"/>
    <w:rsid w:val="007D6E9A"/>
    <w:rsid w:val="007E0FDD"/>
    <w:rsid w:val="00804C9F"/>
    <w:rsid w:val="00811DAC"/>
    <w:rsid w:val="008209D8"/>
    <w:rsid w:val="00824344"/>
    <w:rsid w:val="00840331"/>
    <w:rsid w:val="00847D2F"/>
    <w:rsid w:val="0087478A"/>
    <w:rsid w:val="008874C0"/>
    <w:rsid w:val="0089054E"/>
    <w:rsid w:val="008A0342"/>
    <w:rsid w:val="008A577F"/>
    <w:rsid w:val="008A6D1B"/>
    <w:rsid w:val="008A6E4D"/>
    <w:rsid w:val="008A793D"/>
    <w:rsid w:val="008B0017"/>
    <w:rsid w:val="008D4B98"/>
    <w:rsid w:val="008E3652"/>
    <w:rsid w:val="008E56EB"/>
    <w:rsid w:val="008E5DED"/>
    <w:rsid w:val="008F6A89"/>
    <w:rsid w:val="008F6D58"/>
    <w:rsid w:val="009032F1"/>
    <w:rsid w:val="00903721"/>
    <w:rsid w:val="00913542"/>
    <w:rsid w:val="0093492C"/>
    <w:rsid w:val="00957043"/>
    <w:rsid w:val="00975632"/>
    <w:rsid w:val="00983D88"/>
    <w:rsid w:val="009A5DCD"/>
    <w:rsid w:val="009A7927"/>
    <w:rsid w:val="009B689E"/>
    <w:rsid w:val="009C0A32"/>
    <w:rsid w:val="009C6C14"/>
    <w:rsid w:val="009D3224"/>
    <w:rsid w:val="009D5D4C"/>
    <w:rsid w:val="009E57DC"/>
    <w:rsid w:val="009E66FE"/>
    <w:rsid w:val="009F23C4"/>
    <w:rsid w:val="00A01F55"/>
    <w:rsid w:val="00A02664"/>
    <w:rsid w:val="00A13B2B"/>
    <w:rsid w:val="00A32205"/>
    <w:rsid w:val="00A363B6"/>
    <w:rsid w:val="00A46BF5"/>
    <w:rsid w:val="00A6709F"/>
    <w:rsid w:val="00A81690"/>
    <w:rsid w:val="00A83954"/>
    <w:rsid w:val="00AB2A9F"/>
    <w:rsid w:val="00AC19F2"/>
    <w:rsid w:val="00AC2B8A"/>
    <w:rsid w:val="00AC53E5"/>
    <w:rsid w:val="00AD639A"/>
    <w:rsid w:val="00AE5042"/>
    <w:rsid w:val="00AF3A36"/>
    <w:rsid w:val="00B146E2"/>
    <w:rsid w:val="00B15F8D"/>
    <w:rsid w:val="00B21C4C"/>
    <w:rsid w:val="00B26F82"/>
    <w:rsid w:val="00B40519"/>
    <w:rsid w:val="00B46C0A"/>
    <w:rsid w:val="00B52277"/>
    <w:rsid w:val="00B56E99"/>
    <w:rsid w:val="00B82573"/>
    <w:rsid w:val="00B849EE"/>
    <w:rsid w:val="00B84D02"/>
    <w:rsid w:val="00BA2940"/>
    <w:rsid w:val="00BB33EE"/>
    <w:rsid w:val="00BB54C7"/>
    <w:rsid w:val="00BB693A"/>
    <w:rsid w:val="00BB7AF7"/>
    <w:rsid w:val="00BD379F"/>
    <w:rsid w:val="00BF1CB3"/>
    <w:rsid w:val="00C04AEE"/>
    <w:rsid w:val="00C11040"/>
    <w:rsid w:val="00C14690"/>
    <w:rsid w:val="00C16E53"/>
    <w:rsid w:val="00C212D9"/>
    <w:rsid w:val="00C272AF"/>
    <w:rsid w:val="00C431B4"/>
    <w:rsid w:val="00C51296"/>
    <w:rsid w:val="00C8353F"/>
    <w:rsid w:val="00C86C59"/>
    <w:rsid w:val="00C91C5A"/>
    <w:rsid w:val="00CB30B7"/>
    <w:rsid w:val="00CB3516"/>
    <w:rsid w:val="00CC2E64"/>
    <w:rsid w:val="00CD0921"/>
    <w:rsid w:val="00CD6D9A"/>
    <w:rsid w:val="00CE734F"/>
    <w:rsid w:val="00CF40AE"/>
    <w:rsid w:val="00D00E92"/>
    <w:rsid w:val="00D055EC"/>
    <w:rsid w:val="00D058DB"/>
    <w:rsid w:val="00D0590F"/>
    <w:rsid w:val="00D44728"/>
    <w:rsid w:val="00D44C27"/>
    <w:rsid w:val="00D55379"/>
    <w:rsid w:val="00D562FF"/>
    <w:rsid w:val="00D932AF"/>
    <w:rsid w:val="00D947BA"/>
    <w:rsid w:val="00D96166"/>
    <w:rsid w:val="00D97088"/>
    <w:rsid w:val="00DA66AB"/>
    <w:rsid w:val="00DA760B"/>
    <w:rsid w:val="00DB2774"/>
    <w:rsid w:val="00DD75D6"/>
    <w:rsid w:val="00DE4AF9"/>
    <w:rsid w:val="00DF56C9"/>
    <w:rsid w:val="00E24282"/>
    <w:rsid w:val="00E30318"/>
    <w:rsid w:val="00E32708"/>
    <w:rsid w:val="00E66020"/>
    <w:rsid w:val="00E67377"/>
    <w:rsid w:val="00E72666"/>
    <w:rsid w:val="00E72F16"/>
    <w:rsid w:val="00E81131"/>
    <w:rsid w:val="00E92DA2"/>
    <w:rsid w:val="00EA5418"/>
    <w:rsid w:val="00EB281C"/>
    <w:rsid w:val="00EE46FB"/>
    <w:rsid w:val="00EE57DC"/>
    <w:rsid w:val="00F00EA0"/>
    <w:rsid w:val="00F17C0D"/>
    <w:rsid w:val="00F21673"/>
    <w:rsid w:val="00F3235C"/>
    <w:rsid w:val="00F34E2D"/>
    <w:rsid w:val="00F41DA2"/>
    <w:rsid w:val="00F43F60"/>
    <w:rsid w:val="00F44A81"/>
    <w:rsid w:val="00F454C3"/>
    <w:rsid w:val="00F56194"/>
    <w:rsid w:val="00F755D0"/>
    <w:rsid w:val="00F7722F"/>
    <w:rsid w:val="00F85EE0"/>
    <w:rsid w:val="00F93B3C"/>
    <w:rsid w:val="00FA1DA5"/>
    <w:rsid w:val="00FA42FE"/>
    <w:rsid w:val="00FB1010"/>
    <w:rsid w:val="00FB1C50"/>
    <w:rsid w:val="00FB7007"/>
    <w:rsid w:val="00FC1900"/>
    <w:rsid w:val="00FC1930"/>
    <w:rsid w:val="00FD5A63"/>
    <w:rsid w:val="00FE3D3D"/>
    <w:rsid w:val="00FE4466"/>
    <w:rsid w:val="00FF3ED3"/>
    <w:rsid w:val="00FF565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C21D-155D-40D3-9599-0E252DE9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1688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</cp:revision>
  <cp:lastPrinted>2019-04-05T19:23:00Z</cp:lastPrinted>
  <dcterms:created xsi:type="dcterms:W3CDTF">2019-04-04T20:34:00Z</dcterms:created>
  <dcterms:modified xsi:type="dcterms:W3CDTF">2019-04-05T19:27:00Z</dcterms:modified>
</cp:coreProperties>
</file>