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418" w:rsidRDefault="00056042" w:rsidP="00372F40">
      <w:pPr>
        <w:jc w:val="center"/>
        <w:rPr>
          <w:rFonts w:ascii="Arial" w:hAnsi="Arial" w:cs="Arial"/>
          <w:b/>
          <w:sz w:val="18"/>
          <w:szCs w:val="18"/>
        </w:rPr>
      </w:pPr>
      <w:r w:rsidRPr="00B372A2">
        <w:rPr>
          <w:rFonts w:ascii="Arial" w:hAnsi="Arial" w:cs="Arial"/>
          <w:b/>
          <w:sz w:val="18"/>
          <w:szCs w:val="18"/>
        </w:rPr>
        <w:t>Introducción</w:t>
      </w:r>
    </w:p>
    <w:p w:rsidR="00FB24F8" w:rsidRDefault="00FB24F8" w:rsidP="00FB24F8">
      <w:pPr>
        <w:jc w:val="both"/>
        <w:rPr>
          <w:rFonts w:ascii="Arial" w:hAnsi="Arial" w:cs="Arial"/>
          <w:sz w:val="18"/>
          <w:szCs w:val="18"/>
        </w:rPr>
      </w:pPr>
      <w:r>
        <w:rPr>
          <w:rFonts w:ascii="Arial" w:hAnsi="Arial" w:cs="Arial"/>
          <w:sz w:val="18"/>
          <w:szCs w:val="18"/>
        </w:rPr>
        <w:t>A través del Fondo Macro para el Desarrollo Integral de Tlaxcala se apoya el desarrollo de las micro y pequeñas empresas de los diversos sectores económicos, con el otorgamiento de créditos, favoreciendo el desarrollo</w:t>
      </w:r>
      <w:r w:rsidR="00B96907">
        <w:rPr>
          <w:rFonts w:ascii="Arial" w:hAnsi="Arial" w:cs="Arial"/>
          <w:sz w:val="18"/>
          <w:szCs w:val="18"/>
        </w:rPr>
        <w:t xml:space="preserve"> de</w:t>
      </w:r>
      <w:bookmarkStart w:id="0" w:name="_GoBack"/>
      <w:bookmarkEnd w:id="0"/>
      <w:r>
        <w:rPr>
          <w:rFonts w:ascii="Arial" w:hAnsi="Arial" w:cs="Arial"/>
          <w:sz w:val="18"/>
          <w:szCs w:val="18"/>
        </w:rPr>
        <w:t xml:space="preserve"> sus unidades productivas, fomentando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rsidR="00FB24F8" w:rsidRDefault="00FB24F8" w:rsidP="00FB24F8">
      <w:pPr>
        <w:jc w:val="both"/>
        <w:rPr>
          <w:rFonts w:ascii="Arial" w:hAnsi="Arial" w:cs="Arial"/>
          <w:sz w:val="18"/>
          <w:szCs w:val="18"/>
        </w:rPr>
      </w:pPr>
      <w:r>
        <w:rPr>
          <w:rFonts w:ascii="Arial" w:hAnsi="Arial" w:cs="Arial"/>
          <w:sz w:val="18"/>
          <w:szCs w:val="18"/>
        </w:rPr>
        <w:t xml:space="preserve">En el primer trimestre del año se llevó a cabo la promoción de créditos para proyectos productivos en los municipios de Calpulalpan, Nativitas, San Juan </w:t>
      </w:r>
      <w:proofErr w:type="spellStart"/>
      <w:r>
        <w:rPr>
          <w:rFonts w:ascii="Arial" w:hAnsi="Arial" w:cs="Arial"/>
          <w:sz w:val="18"/>
          <w:szCs w:val="18"/>
        </w:rPr>
        <w:t>Huactzinco</w:t>
      </w:r>
      <w:proofErr w:type="spellEnd"/>
      <w:r>
        <w:rPr>
          <w:rFonts w:ascii="Arial" w:hAnsi="Arial" w:cs="Arial"/>
          <w:sz w:val="18"/>
          <w:szCs w:val="18"/>
        </w:rPr>
        <w:t xml:space="preserve">, Huamantla, </w:t>
      </w:r>
      <w:proofErr w:type="spellStart"/>
      <w:r>
        <w:rPr>
          <w:rFonts w:ascii="Arial" w:hAnsi="Arial" w:cs="Arial"/>
          <w:sz w:val="18"/>
          <w:szCs w:val="18"/>
        </w:rPr>
        <w:t>Atlangatepec</w:t>
      </w:r>
      <w:proofErr w:type="spellEnd"/>
      <w:r>
        <w:rPr>
          <w:rFonts w:ascii="Arial" w:hAnsi="Arial" w:cs="Arial"/>
          <w:sz w:val="18"/>
          <w:szCs w:val="18"/>
        </w:rPr>
        <w:t xml:space="preserve">, Tlaxco y Papalotla de Xicohténcatl, orientando a 252 personas. En este sentido también se participó en los siguientes eventos de promoción de créditos: “1er. Caravana Transversal de Servicios a la Juventud” en Santo Toribio </w:t>
      </w:r>
      <w:proofErr w:type="spellStart"/>
      <w:r>
        <w:rPr>
          <w:rFonts w:ascii="Arial" w:hAnsi="Arial" w:cs="Arial"/>
          <w:sz w:val="18"/>
          <w:szCs w:val="18"/>
        </w:rPr>
        <w:t>Xicohtzinco</w:t>
      </w:r>
      <w:proofErr w:type="spellEnd"/>
      <w:r>
        <w:rPr>
          <w:rFonts w:ascii="Arial" w:hAnsi="Arial" w:cs="Arial"/>
          <w:sz w:val="18"/>
          <w:szCs w:val="18"/>
        </w:rPr>
        <w:t>, “Punto México Conectado” Chiautempan, Reunión con productores de maíz de los municipios de Hueyotlipan y Huamantla, Dirección de Atención a Migrantes y Stand con motivo del “Día Internacional de la Mujer” en el municipio de Tlaxco, registrándose a 82 personas.</w:t>
      </w:r>
    </w:p>
    <w:p w:rsidR="00FB24F8" w:rsidRDefault="00FB24F8" w:rsidP="00FB24F8">
      <w:pPr>
        <w:jc w:val="both"/>
        <w:rPr>
          <w:rFonts w:ascii="Arial" w:hAnsi="Arial" w:cs="Arial"/>
          <w:sz w:val="18"/>
          <w:szCs w:val="18"/>
        </w:rPr>
      </w:pPr>
      <w:r>
        <w:rPr>
          <w:rFonts w:ascii="Arial" w:hAnsi="Arial" w:cs="Arial"/>
          <w:sz w:val="18"/>
          <w:szCs w:val="18"/>
        </w:rPr>
        <w:t>Así mismo, en la ventanilla del FOMTLAX se brindó orientación a 630 personas interesadas en obtener un crédito, recibiéndose 427 solicitudes, lográndose la entrega de 282 créditos, con una inversión de 9.4 MDP.</w:t>
      </w:r>
    </w:p>
    <w:p w:rsidR="00FB24F8" w:rsidRDefault="00FB24F8" w:rsidP="00FB24F8">
      <w:pPr>
        <w:jc w:val="both"/>
        <w:rPr>
          <w:rFonts w:ascii="Arial" w:hAnsi="Arial" w:cs="Arial"/>
          <w:sz w:val="18"/>
          <w:szCs w:val="18"/>
        </w:rPr>
      </w:pPr>
      <w:r>
        <w:rPr>
          <w:rFonts w:ascii="Arial" w:hAnsi="Arial" w:cs="Arial"/>
          <w:sz w:val="18"/>
          <w:szCs w:val="18"/>
        </w:rPr>
        <w:t xml:space="preserve">Derivado del interés y compromiso del Ejecutivo del Estado para apoyar a las mujeres trabajadoras, a través del FOMTLAX en el mes de enero del año en curso, se puso en marcha el Programa Especial denominado “Mujer FOMTLAX”, con la finalidad de impulsar a través del crédito a grupos solidarios de mujeres emprendedoras, que les permitiera incrementar sus ingresos y mejorar su calidad de vida y la de sus familias. Es un Programa que opera en una versión grupal, comandado por una líder designada por el grupo, que puede ser de tres hasta seis mujeres, quienes en forma individual reciben un crédito inicial por la cantidad de cinco mil pesos, destinado para su actividad productiva o negocio, el cual es pagado en un periodo de cuatro meses con un interés del 1% mensual y al concluir el pago, tienen derecho a obtener un nuevo crédito superior al anterior de mil pesos, hasta alcanzar el monto de diez mil pesos. Del mes de enero al mes de marzo, con una inversión superior a los 300 mil pesos doce grupos de mujeres emprendedoras que conforman un total de 45 integrantes recibieron su crédito. </w:t>
      </w:r>
    </w:p>
    <w:p w:rsidR="00FB24F8" w:rsidRDefault="00FB24F8" w:rsidP="00FB24F8">
      <w:pPr>
        <w:jc w:val="both"/>
        <w:rPr>
          <w:rFonts w:ascii="Arial" w:hAnsi="Arial" w:cs="Arial"/>
          <w:sz w:val="18"/>
          <w:szCs w:val="18"/>
        </w:rPr>
      </w:pPr>
      <w:r>
        <w:rPr>
          <w:rFonts w:ascii="Arial" w:hAnsi="Arial" w:cs="Arial"/>
          <w:sz w:val="18"/>
          <w:szCs w:val="18"/>
        </w:rPr>
        <w:t xml:space="preserve">Se continúa con las acciones de recuperación de la cartera y tratamientos de cartera a través de entrega de requerimientos de pago, visitas domiciliarias a los acreditados y sus avales, además de llamadas telefónicas continuas, logrando un monto de recuperación de 18.2 MDP durante el primer trimestre, superior en un 10.3% con respecto al primer trimestre del año 2018. </w:t>
      </w:r>
    </w:p>
    <w:p w:rsidR="00FB24F8" w:rsidRDefault="00FB24F8" w:rsidP="00FB24F8">
      <w:pPr>
        <w:jc w:val="both"/>
        <w:rPr>
          <w:rFonts w:ascii="Arial" w:hAnsi="Arial" w:cs="Arial"/>
          <w:sz w:val="18"/>
          <w:szCs w:val="18"/>
        </w:rPr>
      </w:pPr>
      <w:r>
        <w:rPr>
          <w:rFonts w:ascii="Arial" w:hAnsi="Arial" w:cs="Arial"/>
          <w:sz w:val="18"/>
          <w:szCs w:val="18"/>
        </w:rPr>
        <w:t>Se llevó a cabo la primera sesión ordinaria del Consejo de Administración, en el marco de la cual se presentó el informe anual de actividades con las metas alcanzadas y los estados financieros del ejercicio 2018, así como el Programa Operativo Anual 2019. También se realizó la primera reunión ordinaria del Comité de Control Interno del FOMTLAX, ratificándose a los integrantes de los Comités de: Administración de Riesgos, Auditoría Interna, Ética e Integridad, Tecnologías de la Información y de Igualdad de Género, presentando el Programa de Trabajo para el ejercicio 2019.</w:t>
      </w:r>
    </w:p>
    <w:p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rsidR="00B43C7F" w:rsidRDefault="00B43C7F" w:rsidP="00F474E9">
      <w:pPr>
        <w:jc w:val="both"/>
        <w:rPr>
          <w:rFonts w:ascii="Arial" w:hAnsi="Arial" w:cs="Arial"/>
          <w:sz w:val="18"/>
          <w:szCs w:val="18"/>
        </w:rPr>
      </w:pPr>
    </w:p>
    <w:p w:rsidR="002549E7" w:rsidRDefault="002549E7" w:rsidP="00F474E9">
      <w:pPr>
        <w:jc w:val="both"/>
        <w:rPr>
          <w:rFonts w:ascii="Arial" w:hAnsi="Arial" w:cs="Arial"/>
          <w:sz w:val="18"/>
          <w:szCs w:val="18"/>
        </w:rPr>
      </w:pP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Introducción</w:t>
      </w:r>
    </w:p>
    <w:p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b/>
          <w:sz w:val="18"/>
          <w:szCs w:val="18"/>
        </w:rPr>
        <w:t xml:space="preserve"> </w:t>
      </w: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Contable</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Actividades</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Situación Financiera</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Cambios en la Situación Financiera</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del Activo</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Analítico de la Deuda y Otros Pasivos</w:t>
      </w:r>
    </w:p>
    <w:p w:rsidR="00AD791F" w:rsidRPr="00B372A2"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Variación de la Hacienda Pública</w:t>
      </w:r>
    </w:p>
    <w:p w:rsidR="00AD791F" w:rsidRPr="00042519" w:rsidRDefault="00AD791F" w:rsidP="00AD791F">
      <w:pPr>
        <w:pStyle w:val="Prrafodelista"/>
        <w:numPr>
          <w:ilvl w:val="0"/>
          <w:numId w:val="6"/>
        </w:numPr>
        <w:spacing w:line="360" w:lineRule="auto"/>
        <w:jc w:val="both"/>
        <w:rPr>
          <w:rFonts w:ascii="Arial" w:hAnsi="Arial" w:cs="Arial"/>
          <w:b/>
          <w:sz w:val="18"/>
          <w:szCs w:val="18"/>
        </w:rPr>
      </w:pPr>
      <w:r w:rsidRPr="00B372A2">
        <w:rPr>
          <w:rFonts w:ascii="Arial" w:hAnsi="Arial" w:cs="Arial"/>
          <w:sz w:val="18"/>
          <w:szCs w:val="18"/>
        </w:rPr>
        <w:t>Estado de Flujos de Efectivo</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Informe de Pasivos Contingentes</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a los Estados Financieros</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Desglose</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Memoria (cuentas de orden)</w:t>
      </w:r>
    </w:p>
    <w:p w:rsidR="00AD791F" w:rsidRPr="00042519" w:rsidRDefault="00AD791F" w:rsidP="00042519">
      <w:pPr>
        <w:pStyle w:val="Prrafodelista"/>
        <w:numPr>
          <w:ilvl w:val="0"/>
          <w:numId w:val="6"/>
        </w:numPr>
        <w:spacing w:line="360" w:lineRule="auto"/>
        <w:jc w:val="both"/>
        <w:rPr>
          <w:rFonts w:ascii="Arial" w:hAnsi="Arial" w:cs="Arial"/>
          <w:b/>
          <w:sz w:val="18"/>
          <w:szCs w:val="18"/>
        </w:rPr>
      </w:pPr>
      <w:r w:rsidRPr="00042519">
        <w:rPr>
          <w:rFonts w:ascii="Arial" w:hAnsi="Arial" w:cs="Arial"/>
          <w:sz w:val="18"/>
          <w:szCs w:val="18"/>
        </w:rPr>
        <w:t>Notas de Gestión Administrativa</w:t>
      </w:r>
    </w:p>
    <w:p w:rsidR="00AD791F" w:rsidRPr="00B372A2" w:rsidRDefault="00AD791F" w:rsidP="00AD791F">
      <w:pPr>
        <w:pStyle w:val="Prrafodelista"/>
        <w:spacing w:line="360" w:lineRule="auto"/>
        <w:ind w:left="1440"/>
        <w:jc w:val="both"/>
        <w:rPr>
          <w:rFonts w:ascii="Arial" w:hAnsi="Arial" w:cs="Arial"/>
          <w:b/>
          <w:sz w:val="18"/>
          <w:szCs w:val="18"/>
        </w:rPr>
      </w:pP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Información Presupuestaria</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 Ingresos (por rubro y por fuente de financiamiento)</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Presupuesto de Egresos Clasificación Administrativa</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por Objeto del Gasto (capitulo y concepto)</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Económica (por tipo de gasto)</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Estado Analítico del Ejercicio del Presupuesto de Egresos Clasificación Funcional (Finalidad y Función)</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Endeudamiento Neto</w:t>
      </w:r>
    </w:p>
    <w:p w:rsidR="00AD791F" w:rsidRPr="00B372A2" w:rsidRDefault="00AD791F" w:rsidP="00AD791F">
      <w:pPr>
        <w:pStyle w:val="Prrafodelista"/>
        <w:numPr>
          <w:ilvl w:val="0"/>
          <w:numId w:val="8"/>
        </w:numPr>
        <w:spacing w:line="360" w:lineRule="auto"/>
        <w:jc w:val="both"/>
        <w:rPr>
          <w:rFonts w:ascii="Arial" w:hAnsi="Arial" w:cs="Arial"/>
          <w:b/>
          <w:sz w:val="18"/>
          <w:szCs w:val="18"/>
        </w:rPr>
      </w:pPr>
      <w:r w:rsidRPr="00B372A2">
        <w:rPr>
          <w:rFonts w:ascii="Arial" w:hAnsi="Arial" w:cs="Arial"/>
          <w:sz w:val="18"/>
          <w:szCs w:val="18"/>
        </w:rPr>
        <w:t>Intereses de Deuda</w:t>
      </w:r>
    </w:p>
    <w:p w:rsidR="00AD791F" w:rsidRDefault="00AD791F" w:rsidP="00AD791F">
      <w:pPr>
        <w:pStyle w:val="Prrafodelista"/>
        <w:numPr>
          <w:ilvl w:val="0"/>
          <w:numId w:val="8"/>
        </w:numPr>
        <w:spacing w:line="360" w:lineRule="auto"/>
        <w:jc w:val="both"/>
        <w:rPr>
          <w:rFonts w:ascii="Arial" w:hAnsi="Arial" w:cs="Arial"/>
          <w:sz w:val="18"/>
          <w:szCs w:val="18"/>
        </w:rPr>
      </w:pPr>
      <w:r w:rsidRPr="00B372A2">
        <w:rPr>
          <w:rFonts w:ascii="Arial" w:hAnsi="Arial" w:cs="Arial"/>
          <w:sz w:val="18"/>
          <w:szCs w:val="18"/>
        </w:rPr>
        <w:t>Indicadores de Postura Fiscal</w:t>
      </w:r>
    </w:p>
    <w:p w:rsidR="00B43C7F" w:rsidRDefault="00B43C7F" w:rsidP="00B43C7F">
      <w:pPr>
        <w:spacing w:line="360" w:lineRule="auto"/>
        <w:jc w:val="both"/>
        <w:rPr>
          <w:rFonts w:ascii="Arial" w:hAnsi="Arial" w:cs="Arial"/>
          <w:sz w:val="18"/>
          <w:szCs w:val="18"/>
        </w:rPr>
      </w:pPr>
    </w:p>
    <w:p w:rsidR="00B43C7F" w:rsidRPr="00B43C7F" w:rsidRDefault="00B43C7F" w:rsidP="00B43C7F">
      <w:pPr>
        <w:spacing w:line="360" w:lineRule="auto"/>
        <w:jc w:val="both"/>
        <w:rPr>
          <w:rFonts w:ascii="Arial" w:hAnsi="Arial" w:cs="Arial"/>
          <w:sz w:val="18"/>
          <w:szCs w:val="18"/>
        </w:rPr>
      </w:pPr>
    </w:p>
    <w:p w:rsidR="00AD791F" w:rsidRPr="00B372A2" w:rsidRDefault="00AD791F" w:rsidP="00AD791F">
      <w:pPr>
        <w:pStyle w:val="Prrafodelista"/>
        <w:spacing w:line="360" w:lineRule="auto"/>
        <w:ind w:left="1080"/>
        <w:jc w:val="both"/>
        <w:rPr>
          <w:rFonts w:ascii="Arial" w:hAnsi="Arial" w:cs="Arial"/>
          <w:sz w:val="18"/>
          <w:szCs w:val="18"/>
        </w:rPr>
      </w:pPr>
    </w:p>
    <w:p w:rsidR="00AD791F" w:rsidRPr="00067787" w:rsidRDefault="00AD791F" w:rsidP="00067787">
      <w:pPr>
        <w:pStyle w:val="Prrafodelista"/>
        <w:numPr>
          <w:ilvl w:val="0"/>
          <w:numId w:val="5"/>
        </w:numPr>
        <w:spacing w:line="360" w:lineRule="auto"/>
        <w:jc w:val="both"/>
        <w:rPr>
          <w:rFonts w:ascii="Arial" w:hAnsi="Arial" w:cs="Arial"/>
          <w:b/>
          <w:sz w:val="18"/>
          <w:szCs w:val="18"/>
        </w:rPr>
      </w:pPr>
      <w:r w:rsidRPr="00067787">
        <w:rPr>
          <w:rFonts w:ascii="Arial" w:hAnsi="Arial" w:cs="Arial"/>
          <w:b/>
          <w:sz w:val="18"/>
          <w:szCs w:val="18"/>
        </w:rPr>
        <w:t>Información Programática</w:t>
      </w:r>
    </w:p>
    <w:p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Gastos por Categoría Programática</w:t>
      </w:r>
    </w:p>
    <w:p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Programas y Proyectos de Inversión</w:t>
      </w:r>
    </w:p>
    <w:p w:rsidR="00AD791F" w:rsidRPr="00B372A2" w:rsidRDefault="00AD791F" w:rsidP="00042519">
      <w:pPr>
        <w:pStyle w:val="Prrafodelista"/>
        <w:numPr>
          <w:ilvl w:val="0"/>
          <w:numId w:val="9"/>
        </w:numPr>
        <w:tabs>
          <w:tab w:val="left" w:pos="1134"/>
        </w:tabs>
        <w:spacing w:line="360" w:lineRule="auto"/>
        <w:ind w:hanging="11"/>
        <w:jc w:val="both"/>
        <w:rPr>
          <w:rFonts w:ascii="Arial" w:hAnsi="Arial" w:cs="Arial"/>
          <w:b/>
          <w:sz w:val="18"/>
          <w:szCs w:val="18"/>
        </w:rPr>
      </w:pPr>
      <w:r w:rsidRPr="00B372A2">
        <w:rPr>
          <w:rFonts w:ascii="Arial" w:hAnsi="Arial" w:cs="Arial"/>
          <w:sz w:val="18"/>
          <w:szCs w:val="18"/>
        </w:rPr>
        <w:t>Indicadores de Resultados</w:t>
      </w:r>
    </w:p>
    <w:p w:rsidR="00AD791F" w:rsidRPr="00B372A2" w:rsidRDefault="00AD791F" w:rsidP="00AD791F">
      <w:pPr>
        <w:pStyle w:val="Prrafodelista"/>
        <w:spacing w:line="360" w:lineRule="auto"/>
        <w:jc w:val="both"/>
        <w:rPr>
          <w:rFonts w:ascii="Arial" w:hAnsi="Arial" w:cs="Arial"/>
          <w:b/>
          <w:sz w:val="18"/>
          <w:szCs w:val="18"/>
        </w:rPr>
      </w:pPr>
      <w:r w:rsidRPr="00B372A2">
        <w:rPr>
          <w:rFonts w:ascii="Arial" w:hAnsi="Arial" w:cs="Arial"/>
          <w:sz w:val="18"/>
          <w:szCs w:val="18"/>
        </w:rPr>
        <w:t xml:space="preserve"> </w:t>
      </w: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Anexos</w:t>
      </w:r>
    </w:p>
    <w:p w:rsidR="00AD791F" w:rsidRPr="00B372A2" w:rsidRDefault="00AD791F" w:rsidP="00B43C7F">
      <w:pPr>
        <w:pStyle w:val="Prrafodelista"/>
        <w:numPr>
          <w:ilvl w:val="0"/>
          <w:numId w:val="16"/>
        </w:numPr>
        <w:tabs>
          <w:tab w:val="left" w:pos="1134"/>
        </w:tabs>
        <w:spacing w:line="360" w:lineRule="auto"/>
        <w:jc w:val="both"/>
        <w:rPr>
          <w:rFonts w:ascii="Arial" w:hAnsi="Arial" w:cs="Arial"/>
          <w:b/>
          <w:sz w:val="18"/>
          <w:szCs w:val="18"/>
        </w:rPr>
      </w:pPr>
      <w:r w:rsidRPr="00B372A2">
        <w:rPr>
          <w:rFonts w:ascii="Arial" w:hAnsi="Arial" w:cs="Arial"/>
          <w:sz w:val="18"/>
          <w:szCs w:val="18"/>
        </w:rPr>
        <w:t>Relación de Bienes Muebles que Componen el Patrimonio</w:t>
      </w:r>
    </w:p>
    <w:p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Bienes Inmuebles que Componen el Patrimonio</w:t>
      </w:r>
    </w:p>
    <w:p w:rsidR="00AD791F" w:rsidRPr="00B372A2"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372A2">
        <w:rPr>
          <w:rFonts w:ascii="Arial" w:hAnsi="Arial" w:cs="Arial"/>
          <w:sz w:val="18"/>
          <w:szCs w:val="18"/>
        </w:rPr>
        <w:t>Relación de Cuentas Bancarias Productivas Especificas</w:t>
      </w:r>
    </w:p>
    <w:p w:rsidR="00067787" w:rsidRPr="00B43C7F" w:rsidRDefault="00AD791F" w:rsidP="00B43C7F">
      <w:pPr>
        <w:pStyle w:val="Prrafodelista"/>
        <w:numPr>
          <w:ilvl w:val="0"/>
          <w:numId w:val="16"/>
        </w:numPr>
        <w:tabs>
          <w:tab w:val="left" w:pos="1134"/>
        </w:tabs>
        <w:spacing w:line="360" w:lineRule="auto"/>
        <w:jc w:val="both"/>
        <w:rPr>
          <w:rFonts w:ascii="Arial" w:hAnsi="Arial" w:cs="Arial"/>
          <w:sz w:val="18"/>
          <w:szCs w:val="18"/>
        </w:rPr>
      </w:pPr>
      <w:r w:rsidRPr="00B43C7F">
        <w:rPr>
          <w:rFonts w:ascii="Arial" w:hAnsi="Arial" w:cs="Arial"/>
          <w:sz w:val="18"/>
          <w:szCs w:val="18"/>
        </w:rPr>
        <w:t>Relación de Esquemas Bursátiles y de Coberturas Financieras</w:t>
      </w:r>
    </w:p>
    <w:p w:rsidR="00B43C7F" w:rsidRDefault="00B43C7F" w:rsidP="00B43C7F">
      <w:pPr>
        <w:numPr>
          <w:ilvl w:val="0"/>
          <w:numId w:val="16"/>
        </w:numPr>
        <w:spacing w:after="0" w:line="360" w:lineRule="auto"/>
        <w:rPr>
          <w:rFonts w:ascii="Arial" w:eastAsia="Times New Roman" w:hAnsi="Arial" w:cs="Arial"/>
          <w:sz w:val="18"/>
          <w:szCs w:val="18"/>
        </w:rPr>
      </w:pPr>
      <w:r w:rsidRPr="00B43C7F">
        <w:rPr>
          <w:rFonts w:ascii="Arial" w:eastAsia="Times New Roman" w:hAnsi="Arial" w:cs="Arial"/>
          <w:sz w:val="18"/>
          <w:szCs w:val="18"/>
        </w:rPr>
        <w:t xml:space="preserve"> </w:t>
      </w:r>
      <w:r w:rsidR="00067787" w:rsidRPr="00B43C7F">
        <w:rPr>
          <w:rFonts w:ascii="Arial" w:eastAsia="Times New Roman" w:hAnsi="Arial" w:cs="Arial"/>
          <w:sz w:val="18"/>
          <w:szCs w:val="18"/>
        </w:rPr>
        <w:t>Balanza de Comprobación Trimestral. (Sistema Contable y Excel)</w:t>
      </w:r>
    </w:p>
    <w:p w:rsidR="00067787" w:rsidRPr="00B43C7F" w:rsidRDefault="00067787" w:rsidP="00B43C7F">
      <w:pPr>
        <w:numPr>
          <w:ilvl w:val="0"/>
          <w:numId w:val="16"/>
        </w:numPr>
        <w:spacing w:after="0" w:line="360" w:lineRule="auto"/>
        <w:rPr>
          <w:rFonts w:ascii="Arial" w:eastAsia="Times New Roman" w:hAnsi="Arial" w:cs="Arial"/>
          <w:sz w:val="18"/>
          <w:szCs w:val="18"/>
        </w:rPr>
      </w:pPr>
      <w:r w:rsidRPr="00B43C7F">
        <w:rPr>
          <w:rFonts w:ascii="Arial" w:eastAsia="Times New Roman" w:hAnsi="Arial" w:cs="Arial"/>
          <w:sz w:val="18"/>
          <w:szCs w:val="18"/>
        </w:rPr>
        <w:t>Relación de Bancos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Conciliaciones Bancarias</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 xml:space="preserve">Relación </w:t>
      </w:r>
      <w:r>
        <w:rPr>
          <w:rFonts w:ascii="Arial" w:eastAsia="Times New Roman" w:hAnsi="Arial" w:cs="Arial"/>
          <w:sz w:val="18"/>
          <w:szCs w:val="18"/>
        </w:rPr>
        <w:t>de Cuentas por Cobrar</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Bienes Muebles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Grafica de Activo</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Acreedores Diversos</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Relación de Fondo en Admi</w:t>
      </w:r>
      <w:r>
        <w:rPr>
          <w:rFonts w:ascii="Arial" w:eastAsia="Times New Roman" w:hAnsi="Arial" w:cs="Arial"/>
          <w:sz w:val="18"/>
          <w:szCs w:val="18"/>
        </w:rPr>
        <w:t>nistración a cuenta de terceros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Grafica de pasivo</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Grafica de Situación Financiera</w:t>
      </w:r>
    </w:p>
    <w:p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Ingresos Trimestral</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Grafica de Ingresos.</w:t>
      </w:r>
    </w:p>
    <w:p w:rsid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Egresos Trimestral</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Gr</w:t>
      </w:r>
      <w:r>
        <w:rPr>
          <w:rFonts w:ascii="Arial" w:eastAsia="Times New Roman" w:hAnsi="Arial" w:cs="Arial"/>
          <w:sz w:val="18"/>
          <w:szCs w:val="18"/>
        </w:rPr>
        <w:t>áfica de Egresos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Relación de Patrimonio</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Gráfica de Patrimonio</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 xml:space="preserve">Análisis </w:t>
      </w:r>
      <w:r>
        <w:rPr>
          <w:rFonts w:ascii="Arial" w:eastAsia="Times New Roman" w:hAnsi="Arial" w:cs="Arial"/>
          <w:sz w:val="18"/>
          <w:szCs w:val="18"/>
        </w:rPr>
        <w:t>de Modificaciones Patrimoniales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lastRenderedPageBreak/>
        <w:t>Análisis de Ingresos Propios</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Análisis de Modificaciones a Resu</w:t>
      </w:r>
      <w:r>
        <w:rPr>
          <w:rFonts w:ascii="Arial" w:eastAsia="Times New Roman" w:hAnsi="Arial" w:cs="Arial"/>
          <w:sz w:val="18"/>
          <w:szCs w:val="18"/>
        </w:rPr>
        <w:t>ltados de Ejercicios Anteriores</w:t>
      </w:r>
    </w:p>
    <w:p w:rsidR="00067787" w:rsidRPr="00067787" w:rsidRDefault="00067787" w:rsidP="00B43C7F">
      <w:pPr>
        <w:numPr>
          <w:ilvl w:val="0"/>
          <w:numId w:val="16"/>
        </w:numPr>
        <w:spacing w:after="0" w:line="360" w:lineRule="auto"/>
        <w:rPr>
          <w:rFonts w:ascii="Arial" w:eastAsia="Times New Roman" w:hAnsi="Arial" w:cs="Arial"/>
          <w:sz w:val="18"/>
          <w:szCs w:val="18"/>
        </w:rPr>
      </w:pPr>
      <w:r>
        <w:rPr>
          <w:rFonts w:ascii="Arial" w:eastAsia="Times New Roman" w:hAnsi="Arial" w:cs="Arial"/>
          <w:sz w:val="18"/>
          <w:szCs w:val="18"/>
        </w:rPr>
        <w:t>Plantilla de Personal</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Es</w:t>
      </w:r>
      <w:r>
        <w:rPr>
          <w:rFonts w:ascii="Arial" w:eastAsia="Times New Roman" w:hAnsi="Arial" w:cs="Arial"/>
          <w:sz w:val="18"/>
          <w:szCs w:val="18"/>
        </w:rPr>
        <w:t>tado Presupuestario de Ingresos</w:t>
      </w:r>
    </w:p>
    <w:p w:rsidR="00067787" w:rsidRPr="00067787" w:rsidRDefault="00067787" w:rsidP="00B43C7F">
      <w:pPr>
        <w:numPr>
          <w:ilvl w:val="0"/>
          <w:numId w:val="16"/>
        </w:numPr>
        <w:tabs>
          <w:tab w:val="left" w:pos="2842"/>
        </w:tabs>
        <w:spacing w:after="0" w:line="360" w:lineRule="auto"/>
        <w:jc w:val="both"/>
        <w:rPr>
          <w:rFonts w:ascii="Arial" w:eastAsia="Times New Roman" w:hAnsi="Arial" w:cs="Arial"/>
          <w:sz w:val="18"/>
          <w:szCs w:val="18"/>
        </w:rPr>
      </w:pPr>
      <w:r w:rsidRPr="00067787">
        <w:rPr>
          <w:rFonts w:ascii="Arial" w:eastAsia="Times New Roman" w:hAnsi="Arial" w:cs="Arial"/>
          <w:sz w:val="18"/>
          <w:szCs w:val="18"/>
        </w:rPr>
        <w:t>Estado Presupuestario de Egresos</w:t>
      </w:r>
    </w:p>
    <w:p w:rsidR="00067787" w:rsidRPr="00067787" w:rsidRDefault="00067787" w:rsidP="00B43C7F">
      <w:pPr>
        <w:numPr>
          <w:ilvl w:val="0"/>
          <w:numId w:val="16"/>
        </w:numPr>
        <w:spacing w:after="0" w:line="360" w:lineRule="auto"/>
        <w:rPr>
          <w:rFonts w:ascii="Arial" w:eastAsia="Times New Roman" w:hAnsi="Arial" w:cs="Arial"/>
          <w:sz w:val="18"/>
          <w:szCs w:val="18"/>
        </w:rPr>
      </w:pPr>
      <w:r w:rsidRPr="00067787">
        <w:rPr>
          <w:rFonts w:ascii="Arial" w:eastAsia="Times New Roman" w:hAnsi="Arial" w:cs="Arial"/>
          <w:sz w:val="18"/>
          <w:szCs w:val="18"/>
        </w:rPr>
        <w:t>Auxiliares Contables.</w:t>
      </w:r>
    </w:p>
    <w:p w:rsidR="00067787" w:rsidRPr="00067787" w:rsidRDefault="00067787" w:rsidP="00B43C7F">
      <w:pPr>
        <w:numPr>
          <w:ilvl w:val="0"/>
          <w:numId w:val="16"/>
        </w:numPr>
        <w:spacing w:after="0" w:line="360" w:lineRule="auto"/>
        <w:jc w:val="both"/>
        <w:rPr>
          <w:rFonts w:ascii="Arial" w:eastAsia="Times New Roman" w:hAnsi="Arial" w:cs="Arial"/>
          <w:sz w:val="18"/>
          <w:szCs w:val="18"/>
        </w:rPr>
      </w:pPr>
      <w:r w:rsidRPr="00067787">
        <w:rPr>
          <w:rFonts w:ascii="Arial" w:eastAsia="Times New Roman" w:hAnsi="Arial" w:cs="Arial"/>
          <w:sz w:val="18"/>
          <w:szCs w:val="18"/>
        </w:rPr>
        <w:t>Diario General.</w:t>
      </w:r>
    </w:p>
    <w:p w:rsidR="00067787" w:rsidRDefault="00067787" w:rsidP="00067787">
      <w:pPr>
        <w:rPr>
          <w:rFonts w:ascii="Arial" w:eastAsia="Times New Roman" w:hAnsi="Arial" w:cs="Arial"/>
          <w:sz w:val="18"/>
          <w:szCs w:val="18"/>
        </w:rPr>
      </w:pPr>
    </w:p>
    <w:p w:rsidR="00AD791F" w:rsidRPr="00B372A2" w:rsidRDefault="00AD791F" w:rsidP="00AD791F">
      <w:pPr>
        <w:pStyle w:val="Prrafodelista"/>
        <w:numPr>
          <w:ilvl w:val="0"/>
          <w:numId w:val="5"/>
        </w:numPr>
        <w:spacing w:line="360" w:lineRule="auto"/>
        <w:jc w:val="both"/>
        <w:rPr>
          <w:rFonts w:ascii="Arial" w:hAnsi="Arial" w:cs="Arial"/>
          <w:b/>
          <w:sz w:val="18"/>
          <w:szCs w:val="18"/>
        </w:rPr>
      </w:pPr>
      <w:r w:rsidRPr="00B372A2">
        <w:rPr>
          <w:rFonts w:ascii="Arial" w:hAnsi="Arial" w:cs="Arial"/>
          <w:b/>
          <w:sz w:val="18"/>
          <w:szCs w:val="18"/>
        </w:rPr>
        <w:t>Formatos de Disciplina Financiera</w:t>
      </w:r>
    </w:p>
    <w:p w:rsidR="00042519" w:rsidRPr="00246E58" w:rsidRDefault="00042519" w:rsidP="00042519">
      <w:pPr>
        <w:pStyle w:val="Texto"/>
        <w:numPr>
          <w:ilvl w:val="0"/>
          <w:numId w:val="13"/>
        </w:numPr>
        <w:spacing w:line="240" w:lineRule="auto"/>
        <w:rPr>
          <w:b/>
          <w:sz w:val="16"/>
          <w:szCs w:val="16"/>
        </w:rPr>
      </w:pPr>
      <w:r w:rsidRPr="00246E58">
        <w:rPr>
          <w:b/>
          <w:sz w:val="16"/>
          <w:szCs w:val="16"/>
        </w:rPr>
        <w:t xml:space="preserve">Formato 1 </w:t>
      </w:r>
      <w:r>
        <w:rPr>
          <w:b/>
          <w:sz w:val="16"/>
          <w:szCs w:val="16"/>
        </w:rPr>
        <w:t xml:space="preserve">  </w:t>
      </w:r>
      <w:r w:rsidRPr="00246E58">
        <w:rPr>
          <w:sz w:val="16"/>
          <w:szCs w:val="16"/>
        </w:rPr>
        <w:t>Estado de Situación Financiera Detallado - LDF</w:t>
      </w:r>
    </w:p>
    <w:p w:rsidR="00042519" w:rsidRDefault="00042519" w:rsidP="00042519">
      <w:pPr>
        <w:spacing w:after="0" w:line="240" w:lineRule="auto"/>
        <w:ind w:left="720"/>
        <w:rPr>
          <w:rFonts w:ascii="Arial" w:eastAsia="Times New Roman" w:hAnsi="Arial" w:cs="Arial"/>
          <w:b/>
          <w:sz w:val="16"/>
          <w:szCs w:val="16"/>
        </w:rPr>
      </w:pPr>
    </w:p>
    <w:p w:rsidR="00042519" w:rsidRPr="00042519" w:rsidRDefault="00042519" w:rsidP="00042519">
      <w:pPr>
        <w:pStyle w:val="Prrafodelista"/>
        <w:numPr>
          <w:ilvl w:val="0"/>
          <w:numId w:val="13"/>
        </w:numPr>
        <w:spacing w:after="0" w:line="240" w:lineRule="auto"/>
        <w:rPr>
          <w:rFonts w:ascii="Arial" w:eastAsia="Times New Roman" w:hAnsi="Arial" w:cs="Arial"/>
          <w:b/>
          <w:sz w:val="16"/>
          <w:szCs w:val="16"/>
        </w:rPr>
      </w:pPr>
      <w:r w:rsidRPr="00042519">
        <w:rPr>
          <w:rFonts w:ascii="Arial" w:eastAsia="Times New Roman" w:hAnsi="Arial" w:cs="Arial"/>
          <w:b/>
          <w:sz w:val="16"/>
          <w:szCs w:val="16"/>
        </w:rPr>
        <w:t xml:space="preserve">Formato 2 </w:t>
      </w:r>
      <w:r>
        <w:rPr>
          <w:rFonts w:ascii="Arial" w:eastAsia="Times New Roman" w:hAnsi="Arial" w:cs="Arial"/>
          <w:b/>
          <w:sz w:val="16"/>
          <w:szCs w:val="16"/>
        </w:rPr>
        <w:t xml:space="preserve">  </w:t>
      </w:r>
      <w:r w:rsidRPr="00042519">
        <w:rPr>
          <w:rFonts w:ascii="Arial" w:eastAsia="Times New Roman" w:hAnsi="Arial" w:cs="Arial"/>
          <w:sz w:val="16"/>
          <w:szCs w:val="16"/>
        </w:rPr>
        <w:t>Informe Analítico de la Deuda Pública y Otros Pasivos – LDF</w:t>
      </w:r>
    </w:p>
    <w:p w:rsidR="00042519" w:rsidRPr="00246E58" w:rsidRDefault="00042519" w:rsidP="00042519">
      <w:pPr>
        <w:ind w:left="1429"/>
        <w:rPr>
          <w:rFonts w:ascii="Arial" w:eastAsia="Times New Roman" w:hAnsi="Arial" w:cs="Arial"/>
          <w:b/>
          <w:sz w:val="16"/>
          <w:szCs w:val="16"/>
        </w:rPr>
      </w:pPr>
    </w:p>
    <w:p w:rsidR="00042519" w:rsidRPr="00042519" w:rsidRDefault="00042519" w:rsidP="00042519">
      <w:pPr>
        <w:pStyle w:val="Prrafodelista"/>
        <w:numPr>
          <w:ilvl w:val="0"/>
          <w:numId w:val="13"/>
        </w:numPr>
        <w:suppressAutoHyphens/>
        <w:spacing w:after="0" w:line="240" w:lineRule="auto"/>
        <w:jc w:val="both"/>
        <w:rPr>
          <w:rFonts w:ascii="Arial" w:eastAsia="Times New Roman" w:hAnsi="Arial" w:cs="Arial"/>
          <w:sz w:val="16"/>
          <w:szCs w:val="16"/>
        </w:rPr>
      </w:pPr>
      <w:r w:rsidRPr="00042519">
        <w:rPr>
          <w:rFonts w:ascii="Arial" w:eastAsia="Times New Roman" w:hAnsi="Arial" w:cs="Arial"/>
          <w:b/>
          <w:sz w:val="16"/>
          <w:szCs w:val="16"/>
        </w:rPr>
        <w:t>Formato 3</w:t>
      </w:r>
      <w:r>
        <w:rPr>
          <w:rFonts w:ascii="Arial" w:eastAsia="Times New Roman" w:hAnsi="Arial" w:cs="Arial"/>
          <w:b/>
          <w:sz w:val="16"/>
          <w:szCs w:val="16"/>
        </w:rPr>
        <w:t xml:space="preserve">  </w:t>
      </w:r>
      <w:r w:rsidRPr="00042519">
        <w:rPr>
          <w:rFonts w:ascii="Arial" w:eastAsia="Times New Roman" w:hAnsi="Arial" w:cs="Arial"/>
          <w:sz w:val="16"/>
          <w:szCs w:val="16"/>
        </w:rPr>
        <w:t xml:space="preserve"> Informe Analítico de Obligaciones Diferentes de Financiamientos – LDF</w:t>
      </w:r>
    </w:p>
    <w:p w:rsidR="00042519" w:rsidRPr="00246E58" w:rsidRDefault="00042519" w:rsidP="00042519">
      <w:pPr>
        <w:ind w:left="1429"/>
        <w:jc w:val="both"/>
        <w:rPr>
          <w:rFonts w:ascii="Arial" w:eastAsia="Times New Roman" w:hAnsi="Arial" w:cs="Arial"/>
          <w:sz w:val="16"/>
          <w:szCs w:val="16"/>
        </w:rPr>
      </w:pPr>
    </w:p>
    <w:p w:rsidR="00042519" w:rsidRPr="00042519" w:rsidRDefault="00042519" w:rsidP="00042519">
      <w:pPr>
        <w:pStyle w:val="Prrafodelista"/>
        <w:numPr>
          <w:ilvl w:val="0"/>
          <w:numId w:val="13"/>
        </w:numPr>
        <w:suppressAutoHyphens/>
        <w:spacing w:after="0" w:line="240" w:lineRule="auto"/>
        <w:jc w:val="both"/>
        <w:rPr>
          <w:rFonts w:ascii="Arial" w:eastAsia="Times New Roman" w:hAnsi="Arial" w:cs="Arial"/>
          <w:sz w:val="16"/>
          <w:szCs w:val="16"/>
        </w:rPr>
      </w:pPr>
      <w:r w:rsidRPr="00042519">
        <w:rPr>
          <w:rFonts w:ascii="Arial" w:eastAsia="Times New Roman" w:hAnsi="Arial" w:cs="Arial"/>
          <w:b/>
          <w:sz w:val="16"/>
          <w:szCs w:val="16"/>
        </w:rPr>
        <w:t>Formato 4</w:t>
      </w:r>
      <w:r>
        <w:rPr>
          <w:rFonts w:ascii="Arial" w:eastAsia="Times New Roman" w:hAnsi="Arial" w:cs="Arial"/>
          <w:b/>
          <w:sz w:val="16"/>
          <w:szCs w:val="16"/>
        </w:rPr>
        <w:t xml:space="preserve"> </w:t>
      </w:r>
      <w:r w:rsidRPr="00042519">
        <w:rPr>
          <w:rFonts w:ascii="Arial" w:eastAsia="Times New Roman" w:hAnsi="Arial" w:cs="Arial"/>
          <w:sz w:val="16"/>
          <w:szCs w:val="16"/>
        </w:rPr>
        <w:t xml:space="preserve"> Balance Presupuestario – LDF</w:t>
      </w:r>
    </w:p>
    <w:p w:rsidR="00042519" w:rsidRPr="00246E58" w:rsidRDefault="00042519" w:rsidP="00042519">
      <w:pPr>
        <w:ind w:left="1429"/>
        <w:jc w:val="both"/>
        <w:rPr>
          <w:rFonts w:ascii="Arial" w:eastAsia="Times New Roman" w:hAnsi="Arial" w:cs="Arial"/>
          <w:sz w:val="16"/>
          <w:szCs w:val="16"/>
        </w:rPr>
      </w:pPr>
    </w:p>
    <w:p w:rsidR="00042519" w:rsidRPr="00042519" w:rsidRDefault="00042519" w:rsidP="00042519">
      <w:pPr>
        <w:pStyle w:val="Prrafodelista"/>
        <w:numPr>
          <w:ilvl w:val="0"/>
          <w:numId w:val="13"/>
        </w:numPr>
        <w:suppressAutoHyphens/>
        <w:spacing w:after="0" w:line="240" w:lineRule="auto"/>
        <w:jc w:val="both"/>
        <w:rPr>
          <w:rFonts w:ascii="Arial" w:eastAsia="Times New Roman" w:hAnsi="Arial" w:cs="Arial"/>
          <w:sz w:val="16"/>
          <w:szCs w:val="16"/>
        </w:rPr>
      </w:pPr>
      <w:r w:rsidRPr="00042519">
        <w:rPr>
          <w:rFonts w:ascii="Arial" w:eastAsia="Times New Roman" w:hAnsi="Arial" w:cs="Arial"/>
          <w:b/>
          <w:sz w:val="16"/>
          <w:szCs w:val="16"/>
        </w:rPr>
        <w:t>Formato 5</w:t>
      </w:r>
      <w:r w:rsidRPr="00042519">
        <w:rPr>
          <w:rFonts w:ascii="Arial" w:eastAsia="Times New Roman" w:hAnsi="Arial" w:cs="Arial"/>
          <w:sz w:val="16"/>
          <w:szCs w:val="16"/>
        </w:rPr>
        <w:t xml:space="preserve"> </w:t>
      </w:r>
      <w:r>
        <w:rPr>
          <w:rFonts w:ascii="Arial" w:eastAsia="Times New Roman" w:hAnsi="Arial" w:cs="Arial"/>
          <w:sz w:val="16"/>
          <w:szCs w:val="16"/>
        </w:rPr>
        <w:t xml:space="preserve"> </w:t>
      </w:r>
      <w:r w:rsidRPr="00042519">
        <w:rPr>
          <w:rFonts w:ascii="Arial" w:eastAsia="Times New Roman" w:hAnsi="Arial" w:cs="Arial"/>
          <w:sz w:val="16"/>
          <w:szCs w:val="16"/>
        </w:rPr>
        <w:t>Estado Analítico de Ingresos Detallado – LDF</w:t>
      </w:r>
    </w:p>
    <w:p w:rsidR="00042519" w:rsidRPr="00246E58" w:rsidRDefault="00042519" w:rsidP="00042519">
      <w:pPr>
        <w:ind w:left="1429"/>
        <w:jc w:val="both"/>
        <w:rPr>
          <w:rFonts w:ascii="Arial" w:eastAsia="Times New Roman" w:hAnsi="Arial" w:cs="Arial"/>
          <w:sz w:val="16"/>
          <w:szCs w:val="16"/>
        </w:rPr>
      </w:pPr>
    </w:p>
    <w:p w:rsidR="00042519" w:rsidRPr="00246E58" w:rsidRDefault="00042519" w:rsidP="00042519">
      <w:pPr>
        <w:pStyle w:val="Texto"/>
        <w:numPr>
          <w:ilvl w:val="0"/>
          <w:numId w:val="13"/>
        </w:numPr>
        <w:spacing w:after="0" w:line="240" w:lineRule="auto"/>
        <w:rPr>
          <w:b/>
          <w:sz w:val="16"/>
          <w:szCs w:val="16"/>
        </w:rPr>
      </w:pPr>
      <w:r>
        <w:rPr>
          <w:b/>
          <w:sz w:val="16"/>
          <w:szCs w:val="16"/>
        </w:rPr>
        <w:t xml:space="preserve">Formato 6a </w:t>
      </w:r>
      <w:r w:rsidRPr="00246E58">
        <w:rPr>
          <w:b/>
          <w:sz w:val="16"/>
          <w:szCs w:val="16"/>
        </w:rPr>
        <w:t xml:space="preserve"> </w:t>
      </w:r>
      <w:r w:rsidRPr="00246E58">
        <w:rPr>
          <w:sz w:val="16"/>
          <w:szCs w:val="16"/>
        </w:rPr>
        <w:t>Estado Analítico del Ejercicio del Presupuesto de Egresos Detallado – LDF (Clasificación por Objeto del Gasto)</w:t>
      </w:r>
    </w:p>
    <w:p w:rsidR="00042519" w:rsidRPr="00042519" w:rsidRDefault="00042519" w:rsidP="00042519">
      <w:pPr>
        <w:pStyle w:val="Texto"/>
        <w:tabs>
          <w:tab w:val="left" w:pos="1620"/>
        </w:tabs>
        <w:spacing w:line="240" w:lineRule="auto"/>
        <w:ind w:left="1080" w:firstLine="0"/>
        <w:rPr>
          <w:sz w:val="16"/>
          <w:szCs w:val="16"/>
        </w:rPr>
      </w:pPr>
    </w:p>
    <w:p w:rsidR="00042519" w:rsidRPr="00246E58" w:rsidRDefault="00042519" w:rsidP="00042519">
      <w:pPr>
        <w:pStyle w:val="Texto"/>
        <w:numPr>
          <w:ilvl w:val="0"/>
          <w:numId w:val="13"/>
        </w:numPr>
        <w:tabs>
          <w:tab w:val="left" w:pos="1620"/>
        </w:tabs>
        <w:spacing w:line="240" w:lineRule="auto"/>
        <w:rPr>
          <w:sz w:val="16"/>
          <w:szCs w:val="16"/>
        </w:rPr>
      </w:pPr>
      <w:r>
        <w:rPr>
          <w:b/>
          <w:sz w:val="16"/>
          <w:szCs w:val="16"/>
        </w:rPr>
        <w:t xml:space="preserve">Formato 6b </w:t>
      </w:r>
      <w:r w:rsidRPr="00246E58">
        <w:rPr>
          <w:b/>
          <w:sz w:val="16"/>
          <w:szCs w:val="16"/>
        </w:rPr>
        <w:t xml:space="preserve"> </w:t>
      </w:r>
      <w:r w:rsidRPr="00246E58">
        <w:rPr>
          <w:sz w:val="16"/>
          <w:szCs w:val="16"/>
        </w:rPr>
        <w:t>Estado Analítico del Ejercicio del Presupuesto de Egresos Detallado – LDF (Clasificación Administrativa)</w:t>
      </w:r>
    </w:p>
    <w:p w:rsidR="00042519" w:rsidRDefault="00042519" w:rsidP="00042519">
      <w:pPr>
        <w:pStyle w:val="Texto"/>
        <w:spacing w:line="240" w:lineRule="auto"/>
        <w:ind w:left="1080" w:firstLine="0"/>
        <w:rPr>
          <w:b/>
          <w:sz w:val="16"/>
          <w:szCs w:val="16"/>
        </w:rPr>
      </w:pPr>
    </w:p>
    <w:p w:rsidR="00042519" w:rsidRPr="00246E58" w:rsidRDefault="00042519" w:rsidP="00042519">
      <w:pPr>
        <w:pStyle w:val="Texto"/>
        <w:numPr>
          <w:ilvl w:val="0"/>
          <w:numId w:val="13"/>
        </w:numPr>
        <w:spacing w:line="240" w:lineRule="auto"/>
        <w:rPr>
          <w:b/>
          <w:sz w:val="16"/>
          <w:szCs w:val="16"/>
        </w:rPr>
      </w:pPr>
      <w:r>
        <w:rPr>
          <w:b/>
          <w:sz w:val="16"/>
          <w:szCs w:val="16"/>
        </w:rPr>
        <w:t xml:space="preserve">Formato 6c </w:t>
      </w:r>
      <w:r w:rsidRPr="00246E58">
        <w:rPr>
          <w:b/>
          <w:sz w:val="16"/>
          <w:szCs w:val="16"/>
        </w:rPr>
        <w:t xml:space="preserve"> </w:t>
      </w:r>
      <w:r w:rsidRPr="00246E58">
        <w:rPr>
          <w:sz w:val="16"/>
          <w:szCs w:val="16"/>
        </w:rPr>
        <w:t>Estado Analítico del Ejercicio del Presupuesto de Egresos Detallado – LDF (Clasificación Funcional)</w:t>
      </w:r>
    </w:p>
    <w:p w:rsidR="00042519" w:rsidRPr="00042519" w:rsidRDefault="00042519" w:rsidP="00042519">
      <w:pPr>
        <w:pStyle w:val="Texto"/>
        <w:tabs>
          <w:tab w:val="left" w:pos="1530"/>
        </w:tabs>
        <w:spacing w:line="240" w:lineRule="auto"/>
        <w:ind w:left="1440" w:firstLine="0"/>
        <w:rPr>
          <w:sz w:val="16"/>
          <w:szCs w:val="16"/>
        </w:rPr>
      </w:pPr>
    </w:p>
    <w:p w:rsidR="00042519" w:rsidRPr="00246E58" w:rsidRDefault="00042519" w:rsidP="00042519">
      <w:pPr>
        <w:pStyle w:val="Texto"/>
        <w:numPr>
          <w:ilvl w:val="0"/>
          <w:numId w:val="13"/>
        </w:numPr>
        <w:tabs>
          <w:tab w:val="left" w:pos="1530"/>
        </w:tabs>
        <w:spacing w:line="240" w:lineRule="auto"/>
        <w:rPr>
          <w:sz w:val="16"/>
          <w:szCs w:val="16"/>
        </w:rPr>
      </w:pPr>
      <w:r>
        <w:rPr>
          <w:b/>
          <w:sz w:val="16"/>
          <w:szCs w:val="16"/>
        </w:rPr>
        <w:t xml:space="preserve">Formato 6d </w:t>
      </w:r>
      <w:r w:rsidRPr="00246E58">
        <w:rPr>
          <w:b/>
          <w:sz w:val="16"/>
          <w:szCs w:val="16"/>
        </w:rPr>
        <w:t xml:space="preserve"> </w:t>
      </w:r>
      <w:r w:rsidRPr="00246E58">
        <w:rPr>
          <w:sz w:val="16"/>
          <w:szCs w:val="16"/>
        </w:rPr>
        <w:t xml:space="preserve">Estado Analítico del Ejercicio del Presupuesto de Egresos Detallado </w:t>
      </w:r>
      <w:r>
        <w:rPr>
          <w:sz w:val="16"/>
          <w:szCs w:val="16"/>
        </w:rPr>
        <w:t>–</w:t>
      </w:r>
      <w:r w:rsidRPr="00246E58">
        <w:rPr>
          <w:sz w:val="16"/>
          <w:szCs w:val="16"/>
        </w:rPr>
        <w:t xml:space="preserve"> LDF</w:t>
      </w:r>
      <w:r>
        <w:rPr>
          <w:sz w:val="16"/>
          <w:szCs w:val="16"/>
        </w:rPr>
        <w:t xml:space="preserve">  </w:t>
      </w:r>
      <w:r w:rsidRPr="00246E58">
        <w:rPr>
          <w:sz w:val="16"/>
          <w:szCs w:val="16"/>
        </w:rPr>
        <w:t>(Clasificación de Servicios Personales por Categoría)</w:t>
      </w:r>
    </w:p>
    <w:p w:rsidR="00042519" w:rsidRPr="00246E58" w:rsidRDefault="00042519" w:rsidP="00042519">
      <w:pPr>
        <w:pStyle w:val="Texto"/>
        <w:tabs>
          <w:tab w:val="left" w:pos="1530"/>
        </w:tabs>
        <w:spacing w:line="240" w:lineRule="auto"/>
        <w:ind w:left="1429" w:firstLine="0"/>
        <w:rPr>
          <w:sz w:val="16"/>
          <w:szCs w:val="16"/>
        </w:rPr>
      </w:pPr>
    </w:p>
    <w:p w:rsidR="00F474E9" w:rsidRPr="00B372A2" w:rsidRDefault="00F474E9" w:rsidP="00F474E9">
      <w:pPr>
        <w:pStyle w:val="Prrafodelista"/>
        <w:spacing w:line="360" w:lineRule="auto"/>
        <w:jc w:val="both"/>
        <w:rPr>
          <w:rFonts w:ascii="Arial" w:hAnsi="Arial" w:cs="Arial"/>
          <w:b/>
          <w:sz w:val="18"/>
          <w:szCs w:val="18"/>
        </w:rPr>
      </w:pPr>
    </w:p>
    <w:sectPr w:rsidR="00F474E9" w:rsidRPr="00B372A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65C" w:rsidRDefault="00A8165C" w:rsidP="00EA5418">
      <w:pPr>
        <w:spacing w:after="0" w:line="240" w:lineRule="auto"/>
      </w:pPr>
      <w:r>
        <w:separator/>
      </w:r>
    </w:p>
  </w:endnote>
  <w:endnote w:type="continuationSeparator" w:id="0">
    <w:p w:rsidR="00A8165C" w:rsidRDefault="00A8165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A8165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537B1A" w:rsidRPr="00537B1A">
          <w:rPr>
            <w:rFonts w:ascii="Soberana Sans Light" w:hAnsi="Soberana Sans Light"/>
            <w:noProof/>
            <w:lang w:val="es-ES"/>
          </w:rPr>
          <w:t>4</w:t>
        </w:r>
        <w:r w:rsidR="00A516D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A8165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537B1A" w:rsidRPr="00537B1A">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65C" w:rsidRDefault="00A8165C" w:rsidP="00EA5418">
      <w:pPr>
        <w:spacing w:after="0" w:line="240" w:lineRule="auto"/>
      </w:pPr>
      <w:r>
        <w:separator/>
      </w:r>
    </w:p>
  </w:footnote>
  <w:footnote w:type="continuationSeparator" w:id="0">
    <w:p w:rsidR="00A8165C" w:rsidRDefault="00A8165C"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A8165C">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537B1A">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A8165C"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44D969E5"/>
    <w:multiLevelType w:val="hybridMultilevel"/>
    <w:tmpl w:val="6ACEDA3C"/>
    <w:lvl w:ilvl="0" w:tplc="1090D70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7"/>
  </w:num>
  <w:num w:numId="4">
    <w:abstractNumId w:val="5"/>
  </w:num>
  <w:num w:numId="5">
    <w:abstractNumId w:val="4"/>
  </w:num>
  <w:num w:numId="6">
    <w:abstractNumId w:val="11"/>
  </w:num>
  <w:num w:numId="7">
    <w:abstractNumId w:val="15"/>
  </w:num>
  <w:num w:numId="8">
    <w:abstractNumId w:val="13"/>
  </w:num>
  <w:num w:numId="9">
    <w:abstractNumId w:val="8"/>
  </w:num>
  <w:num w:numId="10">
    <w:abstractNumId w:val="0"/>
  </w:num>
  <w:num w:numId="11">
    <w:abstractNumId w:val="6"/>
  </w:num>
  <w:num w:numId="12">
    <w:abstractNumId w:val="3"/>
  </w:num>
  <w:num w:numId="13">
    <w:abstractNumId w:val="9"/>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6042"/>
    <w:rsid w:val="00067787"/>
    <w:rsid w:val="00076A56"/>
    <w:rsid w:val="000B3FD4"/>
    <w:rsid w:val="000F6D16"/>
    <w:rsid w:val="00101C5D"/>
    <w:rsid w:val="0013011C"/>
    <w:rsid w:val="00146E12"/>
    <w:rsid w:val="001646D9"/>
    <w:rsid w:val="00183FBE"/>
    <w:rsid w:val="00196D0F"/>
    <w:rsid w:val="001A2431"/>
    <w:rsid w:val="001B1B72"/>
    <w:rsid w:val="001F7AA6"/>
    <w:rsid w:val="002549E7"/>
    <w:rsid w:val="002865A7"/>
    <w:rsid w:val="002A6835"/>
    <w:rsid w:val="002A70B3"/>
    <w:rsid w:val="002E5897"/>
    <w:rsid w:val="002F2773"/>
    <w:rsid w:val="00307635"/>
    <w:rsid w:val="0032095C"/>
    <w:rsid w:val="00322A09"/>
    <w:rsid w:val="00355821"/>
    <w:rsid w:val="003575A4"/>
    <w:rsid w:val="003610E0"/>
    <w:rsid w:val="00372F40"/>
    <w:rsid w:val="003D5DBF"/>
    <w:rsid w:val="003E7FD0"/>
    <w:rsid w:val="003F05C2"/>
    <w:rsid w:val="0044253C"/>
    <w:rsid w:val="00486AE1"/>
    <w:rsid w:val="00497D8B"/>
    <w:rsid w:val="004D41B8"/>
    <w:rsid w:val="00502D8E"/>
    <w:rsid w:val="005117F4"/>
    <w:rsid w:val="00522632"/>
    <w:rsid w:val="00531310"/>
    <w:rsid w:val="00534982"/>
    <w:rsid w:val="00537B1A"/>
    <w:rsid w:val="00540418"/>
    <w:rsid w:val="00582405"/>
    <w:rsid w:val="005852BC"/>
    <w:rsid w:val="005859FA"/>
    <w:rsid w:val="005E2EB5"/>
    <w:rsid w:val="005F7589"/>
    <w:rsid w:val="006048D2"/>
    <w:rsid w:val="00611E39"/>
    <w:rsid w:val="006B729B"/>
    <w:rsid w:val="006D291A"/>
    <w:rsid w:val="006E6B8E"/>
    <w:rsid w:val="006E77DD"/>
    <w:rsid w:val="00731430"/>
    <w:rsid w:val="00742E35"/>
    <w:rsid w:val="00746D9B"/>
    <w:rsid w:val="0079582C"/>
    <w:rsid w:val="007D6E9A"/>
    <w:rsid w:val="0082761D"/>
    <w:rsid w:val="00850E90"/>
    <w:rsid w:val="00897F46"/>
    <w:rsid w:val="008A6E4D"/>
    <w:rsid w:val="008B0017"/>
    <w:rsid w:val="008D4272"/>
    <w:rsid w:val="008E3652"/>
    <w:rsid w:val="009E16FC"/>
    <w:rsid w:val="009E5258"/>
    <w:rsid w:val="00A14B74"/>
    <w:rsid w:val="00A516D8"/>
    <w:rsid w:val="00A8165C"/>
    <w:rsid w:val="00AB13B7"/>
    <w:rsid w:val="00AD70F5"/>
    <w:rsid w:val="00AD791F"/>
    <w:rsid w:val="00AE642C"/>
    <w:rsid w:val="00B166A9"/>
    <w:rsid w:val="00B17423"/>
    <w:rsid w:val="00B372A2"/>
    <w:rsid w:val="00B42A02"/>
    <w:rsid w:val="00B43C7F"/>
    <w:rsid w:val="00B56B2B"/>
    <w:rsid w:val="00B716BE"/>
    <w:rsid w:val="00B849EE"/>
    <w:rsid w:val="00B96907"/>
    <w:rsid w:val="00BD6A5B"/>
    <w:rsid w:val="00BF28A4"/>
    <w:rsid w:val="00C33401"/>
    <w:rsid w:val="00C44F01"/>
    <w:rsid w:val="00C85A3B"/>
    <w:rsid w:val="00CA2D37"/>
    <w:rsid w:val="00CB42AC"/>
    <w:rsid w:val="00CC5CB6"/>
    <w:rsid w:val="00D02A82"/>
    <w:rsid w:val="00D055EC"/>
    <w:rsid w:val="00D404ED"/>
    <w:rsid w:val="00D51261"/>
    <w:rsid w:val="00D5675C"/>
    <w:rsid w:val="00D748D3"/>
    <w:rsid w:val="00D75A56"/>
    <w:rsid w:val="00D848D7"/>
    <w:rsid w:val="00DD230F"/>
    <w:rsid w:val="00E32708"/>
    <w:rsid w:val="00E45FD0"/>
    <w:rsid w:val="00E81959"/>
    <w:rsid w:val="00EA5418"/>
    <w:rsid w:val="00ED65D7"/>
    <w:rsid w:val="00F474E9"/>
    <w:rsid w:val="00F96944"/>
    <w:rsid w:val="00FA3FB9"/>
    <w:rsid w:val="00FB24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F426EFD"/>
  <w15:docId w15:val="{281253E7-9EAE-4F81-9AD6-1C68B336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47B5E-61CF-4EF5-BF9E-91E91497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1170</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30</cp:revision>
  <cp:lastPrinted>2017-10-05T14:57:00Z</cp:lastPrinted>
  <dcterms:created xsi:type="dcterms:W3CDTF">2014-09-01T14:30:00Z</dcterms:created>
  <dcterms:modified xsi:type="dcterms:W3CDTF">2019-04-02T18:37:00Z</dcterms:modified>
</cp:coreProperties>
</file>