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9D750F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4pt;height:413.2pt" o:ole="">
            <v:imagedata r:id="rId9" o:title=""/>
          </v:shape>
          <o:OLEObject Type="Embed" ProgID="Excel.Sheet.12" ShapeID="_x0000_i1025" DrawAspect="Content" ObjectID="_1616316332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DB4819" w:rsidP="0044253C">
      <w:pPr>
        <w:jc w:val="center"/>
      </w:pPr>
      <w:r>
        <w:object w:dxaOrig="25131" w:dyaOrig="18908">
          <v:shape id="_x0000_i1026" type="#_x0000_t75" style="width:584.15pt;height:438.9pt" o:ole="">
            <v:imagedata r:id="rId11" o:title=""/>
          </v:shape>
          <o:OLEObject Type="Embed" ProgID="Excel.Sheet.12" ShapeID="_x0000_i1026" DrawAspect="Content" ObjectID="_1616316333" r:id="rId12"/>
        </w:object>
      </w:r>
    </w:p>
    <w:bookmarkStart w:id="2" w:name="_GoBack"/>
    <w:bookmarkStart w:id="3" w:name="_MON_1470806992"/>
    <w:bookmarkEnd w:id="3"/>
    <w:p w:rsidR="00372F40" w:rsidRDefault="0090670F" w:rsidP="003E7FD0">
      <w:pPr>
        <w:jc w:val="center"/>
      </w:pPr>
      <w:r>
        <w:object w:dxaOrig="21974" w:dyaOrig="15462">
          <v:shape id="_x0000_i1037" type="#_x0000_t75" style="width:619.85pt;height:416.95pt" o:ole="">
            <v:imagedata r:id="rId13" o:title=""/>
          </v:shape>
          <o:OLEObject Type="Embed" ProgID="Excel.Sheet.12" ShapeID="_x0000_i1037" DrawAspect="Content" ObjectID="_1616316334" r:id="rId14"/>
        </w:object>
      </w:r>
      <w:bookmarkEnd w:id="2"/>
    </w:p>
    <w:bookmarkStart w:id="4" w:name="_MON_1470807348"/>
    <w:bookmarkEnd w:id="4"/>
    <w:p w:rsidR="00372F40" w:rsidRDefault="00044778" w:rsidP="008E3652">
      <w:pPr>
        <w:jc w:val="center"/>
      </w:pPr>
      <w:r>
        <w:object w:dxaOrig="17792" w:dyaOrig="12572">
          <v:shape id="_x0000_i1028" type="#_x0000_t75" style="width:647.35pt;height:458.3pt" o:ole="">
            <v:imagedata r:id="rId15" o:title=""/>
          </v:shape>
          <o:OLEObject Type="Embed" ProgID="Excel.Sheet.12" ShapeID="_x0000_i1028" DrawAspect="Content" ObjectID="_1616316335" r:id="rId16"/>
        </w:object>
      </w:r>
    </w:p>
    <w:bookmarkStart w:id="5" w:name="_MON_1470809138"/>
    <w:bookmarkEnd w:id="5"/>
    <w:p w:rsidR="00372F40" w:rsidRDefault="00EC47AB" w:rsidP="00522632">
      <w:pPr>
        <w:jc w:val="center"/>
      </w:pPr>
      <w:r>
        <w:object w:dxaOrig="17886" w:dyaOrig="12269">
          <v:shape id="_x0000_i1029" type="#_x0000_t75" style="width:634.85pt;height:433.9pt" o:ole="">
            <v:imagedata r:id="rId17" o:title=""/>
          </v:shape>
          <o:OLEObject Type="Embed" ProgID="Excel.Sheet.12" ShapeID="_x0000_i1029" DrawAspect="Content" ObjectID="_1616316336" r:id="rId18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CC4B02" w:rsidP="00B065EB">
      <w:pPr>
        <w:tabs>
          <w:tab w:val="left" w:pos="2430"/>
        </w:tabs>
      </w:pPr>
      <w:r>
        <w:rPr>
          <w:noProof/>
        </w:rPr>
        <w:lastRenderedPageBreak/>
        <w:pict>
          <v:shape id="_x0000_s1046" type="#_x0000_t75" style="position:absolute;margin-left:-45.95pt;margin-top:30.1pt;width:740.15pt;height:338.2pt;z-index:25167155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616316338" r:id="rId20"/>
        </w:pict>
      </w:r>
      <w:r w:rsidR="00B065EB">
        <w:br w:type="textWrapping" w:clear="all"/>
      </w: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/>
    <w:p w:rsidR="00760DEC" w:rsidRDefault="00760DEC"/>
    <w:bookmarkStart w:id="6" w:name="_MON_1470810366"/>
    <w:bookmarkEnd w:id="6"/>
    <w:p w:rsidR="00760DEC" w:rsidRDefault="00157B92">
      <w:r>
        <w:object w:dxaOrig="26040" w:dyaOrig="16854">
          <v:shape id="_x0000_i1031" type="#_x0000_t75" style="width:693.7pt;height:450.15pt" o:ole="">
            <v:imagedata r:id="rId21" o:title=""/>
          </v:shape>
          <o:OLEObject Type="Embed" ProgID="Excel.Sheet.12" ShapeID="_x0000_i1031" DrawAspect="Content" ObjectID="_1616316337" r:id="rId22"/>
        </w:object>
      </w:r>
    </w:p>
    <w:p w:rsidR="00465D6D" w:rsidRDefault="00465D6D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465D6D">
        <w:rPr>
          <w:rFonts w:ascii="Soberana Sans Light" w:hAnsi="Soberana Sans Light"/>
        </w:rPr>
        <w:t>9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E34AF8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680976">
        <w:rPr>
          <w:lang w:val="es-MX"/>
        </w:rPr>
        <w:t>1</w:t>
      </w:r>
      <w:r w:rsidR="00875B75">
        <w:rPr>
          <w:lang w:val="es-MX"/>
        </w:rPr>
        <w:t xml:space="preserve"> de Marzo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01</w:t>
      </w:r>
      <w:r w:rsidR="00875B75">
        <w:rPr>
          <w:lang w:val="es-MX"/>
        </w:rPr>
        <w:t>9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E34AF8">
        <w:rPr>
          <w:lang w:val="es-MX"/>
        </w:rPr>
        <w:t>127,332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E34AF8">
        <w:rPr>
          <w:lang w:val="es-MX"/>
        </w:rPr>
        <w:t>60,803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31 de marzo de 2019 se refleja un saldo de 161,258.00</w:t>
      </w:r>
      <w:r w:rsidR="000271AE" w:rsidRPr="00875B75">
        <w:rPr>
          <w:color w:val="FF0000"/>
          <w:lang w:val="es-MX"/>
        </w:rPr>
        <w:t xml:space="preserve">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875B75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56,238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E34AF8" w:rsidP="00E34AF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22,968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82,032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161,258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</w:t>
      </w:r>
      <w:r w:rsidR="00056525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E34AF8">
        <w:rPr>
          <w:lang w:val="es-MX"/>
        </w:rPr>
        <w:t>Marzo</w:t>
      </w:r>
      <w:r w:rsidR="00E60FF3">
        <w:rPr>
          <w:lang w:val="es-MX"/>
        </w:rPr>
        <w:t xml:space="preserve"> de 201</w:t>
      </w:r>
      <w:r w:rsidR="00E34AF8">
        <w:rPr>
          <w:lang w:val="es-MX"/>
        </w:rPr>
        <w:t>9</w:t>
      </w:r>
      <w:r w:rsidR="00E60FF3">
        <w:rPr>
          <w:lang w:val="es-MX"/>
        </w:rPr>
        <w:t xml:space="preserve"> es de </w:t>
      </w:r>
      <w:r w:rsidR="000271AE">
        <w:rPr>
          <w:lang w:val="es-MX"/>
        </w:rPr>
        <w:t>$1</w:t>
      </w:r>
      <w:r w:rsidR="00E34AF8">
        <w:rPr>
          <w:lang w:val="es-MX"/>
        </w:rPr>
        <w:t>9,676.00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680976">
        <w:rPr>
          <w:lang w:val="es-MX"/>
        </w:rPr>
        <w:t>1</w:t>
      </w:r>
      <w:r w:rsidR="00F328DE">
        <w:rPr>
          <w:lang w:val="es-MX"/>
        </w:rPr>
        <w:t xml:space="preserve"> de </w:t>
      </w:r>
      <w:r w:rsidR="00E34AF8">
        <w:rPr>
          <w:lang w:val="es-MX"/>
        </w:rPr>
        <w:t xml:space="preserve">Marzo de 2019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E34AF8">
        <w:rPr>
          <w:lang w:val="es-MX"/>
        </w:rPr>
        <w:t>822,880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E34AF8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E34AF8">
        <w:rPr>
          <w:lang w:val="es-MX"/>
        </w:rPr>
        <w:t>Marzo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E34AF8">
        <w:rPr>
          <w:lang w:val="es-MX"/>
        </w:rPr>
        <w:t>9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2F72E0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482,060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2F72E0" w:rsidP="0068097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  140,351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056525" w:rsidRPr="00A90F3E" w:rsidRDefault="002F72E0" w:rsidP="002F72E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125,842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2F72E0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748,253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483D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FF191E" w:rsidRPr="00FF191E" w:rsidRDefault="00483D7D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74,627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:rsidR="00FF191E" w:rsidRPr="00FF191E" w:rsidRDefault="00FF191E" w:rsidP="00483D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:rsidR="00BB4843" w:rsidRPr="00FF191E" w:rsidRDefault="00483D7D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161,258</w:t>
            </w:r>
          </w:p>
        </w:tc>
      </w:tr>
      <w:tr w:rsidR="00FF191E" w:rsidRPr="00FF191E" w:rsidTr="00483D7D">
        <w:trPr>
          <w:trHeight w:val="315"/>
        </w:trPr>
        <w:tc>
          <w:tcPr>
            <w:tcW w:w="3460" w:type="dxa"/>
            <w:noWrap/>
            <w:hideMark/>
          </w:tcPr>
          <w:p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FF191E" w:rsidRPr="00922E70" w:rsidRDefault="005C2109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235</w:t>
            </w:r>
            <w:r w:rsidR="00922E70" w:rsidRPr="00922E7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D4405">
              <w:rPr>
                <w:rFonts w:ascii="Arial" w:hAnsi="Arial" w:cs="Arial"/>
                <w:b/>
                <w:sz w:val="18"/>
                <w:szCs w:val="18"/>
              </w:rPr>
              <w:t>88</w:t>
            </w:r>
            <w:r w:rsidR="0040601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832CF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2F72E0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2F72E0">
        <w:rPr>
          <w:rFonts w:ascii="Arial" w:hAnsi="Arial" w:cs="Arial"/>
          <w:sz w:val="18"/>
          <w:szCs w:val="18"/>
        </w:rPr>
        <w:t>9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2F72E0">
        <w:rPr>
          <w:rFonts w:ascii="Arial" w:hAnsi="Arial" w:cs="Arial"/>
          <w:sz w:val="18"/>
          <w:szCs w:val="18"/>
        </w:rPr>
        <w:t>74,627</w:t>
      </w:r>
      <w:r w:rsidR="00922E70">
        <w:rPr>
          <w:rFonts w:ascii="Arial" w:hAnsi="Arial" w:cs="Arial"/>
          <w:sz w:val="18"/>
          <w:szCs w:val="18"/>
        </w:rPr>
        <w:t>.00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2F72E0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127,332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2F72E0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2F72E0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127,332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D440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5C2109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-76,028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C2109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5C2109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-76,028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5C2109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>
              <w:rPr>
                <w:b/>
                <w:szCs w:val="18"/>
              </w:rPr>
              <w:t>e</w:t>
            </w:r>
            <w:r w:rsidR="00C226BF">
              <w:rPr>
                <w:b/>
                <w:szCs w:val="18"/>
              </w:rPr>
              <w:t>nero al 31</w:t>
            </w:r>
            <w:r w:rsidR="007554B9">
              <w:rPr>
                <w:b/>
                <w:szCs w:val="18"/>
              </w:rPr>
              <w:t xml:space="preserve"> de Marzo de 2019</w:t>
            </w:r>
          </w:p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942F63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7554B9">
              <w:rPr>
                <w:b/>
                <w:szCs w:val="18"/>
              </w:rPr>
              <w:t>822,880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7554B9" w:rsidP="00942F63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$822,880</w:t>
            </w:r>
          </w:p>
        </w:tc>
      </w:tr>
    </w:tbl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125C4E">
              <w:rPr>
                <w:b/>
                <w:szCs w:val="18"/>
              </w:rPr>
              <w:t>Correspondiente del 1 de enero al 3</w:t>
            </w:r>
            <w:r w:rsidR="00C226BF">
              <w:rPr>
                <w:b/>
                <w:szCs w:val="18"/>
              </w:rPr>
              <w:t>1</w:t>
            </w:r>
            <w:r w:rsidR="007554B9">
              <w:rPr>
                <w:b/>
                <w:szCs w:val="18"/>
              </w:rPr>
              <w:t xml:space="preserve"> de Marzo</w:t>
            </w:r>
            <w:r w:rsidRPr="00125C4E">
              <w:rPr>
                <w:b/>
                <w:szCs w:val="18"/>
              </w:rPr>
              <w:t xml:space="preserve"> de 2018 </w:t>
            </w:r>
          </w:p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F23D4C">
              <w:rPr>
                <w:b/>
                <w:szCs w:val="18"/>
              </w:rPr>
              <w:t>771,221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7554B9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22,968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C226BF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7554B9">
              <w:rPr>
                <w:szCs w:val="18"/>
              </w:rPr>
              <w:t>22</w:t>
            </w:r>
            <w:r w:rsidR="00F23D4C">
              <w:rPr>
                <w:szCs w:val="18"/>
              </w:rPr>
              <w:t>,</w:t>
            </w:r>
            <w:r w:rsidR="007554B9">
              <w:rPr>
                <w:szCs w:val="18"/>
              </w:rPr>
              <w:t>968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7554B9" w:rsidP="007554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748,253</w:t>
            </w:r>
          </w:p>
        </w:tc>
      </w:tr>
    </w:tbl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832CF6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F23D4C">
        <w:rPr>
          <w:rFonts w:ascii="Soberana Sans Light" w:hAnsi="Soberana Sans Light"/>
          <w:sz w:val="22"/>
          <w:szCs w:val="22"/>
        </w:rPr>
        <w:t>Marzo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F23D4C">
        <w:rPr>
          <w:rFonts w:ascii="Soberana Sans Light" w:hAnsi="Soberana Sans Light"/>
          <w:sz w:val="22"/>
          <w:szCs w:val="22"/>
        </w:rPr>
        <w:t>9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F23D4C">
        <w:rPr>
          <w:rFonts w:ascii="Soberana Sans Light" w:hAnsi="Soberana Sans Light"/>
          <w:color w:val="000000" w:themeColor="text1"/>
          <w:sz w:val="22"/>
          <w:szCs w:val="22"/>
        </w:rPr>
        <w:t>9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proofErr w:type="gramStart"/>
      <w:r w:rsidR="00F23D4C">
        <w:rPr>
          <w:rFonts w:ascii="Soberana Sans Light" w:hAnsi="Soberana Sans Light"/>
          <w:color w:val="000000" w:themeColor="text1"/>
          <w:sz w:val="22"/>
          <w:szCs w:val="22"/>
        </w:rPr>
        <w:t>,545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,000.00</w:t>
      </w:r>
      <w:proofErr w:type="gramEnd"/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F23D4C">
        <w:rPr>
          <w:rFonts w:ascii="Soberana Sans Light" w:hAnsi="Soberana Sans Light"/>
          <w:sz w:val="22"/>
          <w:szCs w:val="22"/>
        </w:rPr>
        <w:t>9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F1790E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A113FC" wp14:editId="66887A0B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044778" w:rsidRDefault="0004477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group w14:anchorId="48A113FC"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">
      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      <v:textbox>
                                <w:txbxContent>
                                  <w:p w:rsidR="00044778" w:rsidRDefault="0004477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F1790E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12428A" wp14:editId="588F98F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44778" w:rsidRDefault="00044778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512428A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" filled="f" strokecolor="#243f60 [1604]" strokeweight="2pt">
                            <v:textbox>
                              <w:txbxContent>
                                <w:p w:rsidR="00044778" w:rsidRDefault="00044778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90670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778" w:rsidRDefault="00044778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BADD5B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b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rnXNPVwQ5nLL2P6saW4WCGjxZng0ef+ZIVtl0WYxmR1Ne/nrOnl0He&#10;/wQ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YGAxG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:rsidR="00044778" w:rsidRDefault="00044778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BC035D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66451B">
        <w:t>1</w:t>
      </w:r>
      <w:r w:rsidR="00F76CBF">
        <w:t xml:space="preserve"> de </w:t>
      </w:r>
      <w:r w:rsidR="00F23D4C">
        <w:t>Marzo</w:t>
      </w:r>
      <w:r w:rsidR="00770A90">
        <w:t xml:space="preserve"> de 201</w:t>
      </w:r>
      <w:r w:rsidR="00F23D4C">
        <w:t>9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CC4B0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38" DrawAspect="Content" ObjectID="_1616316339" r:id="rId25"/>
        </w:pict>
      </w:r>
    </w:p>
    <w:sectPr w:rsidR="00001107" w:rsidSect="00B065E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78" w:rsidRDefault="00044778" w:rsidP="00EA5418">
      <w:pPr>
        <w:spacing w:after="0" w:line="240" w:lineRule="auto"/>
      </w:pPr>
      <w:r>
        <w:separator/>
      </w:r>
    </w:p>
  </w:endnote>
  <w:endnote w:type="continuationSeparator" w:id="0">
    <w:p w:rsidR="00044778" w:rsidRDefault="000447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78" w:rsidRPr="0013011C" w:rsidRDefault="000447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FB7AC1" wp14:editId="1CA131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234127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A021F" w:rsidRPr="006A021F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44778" w:rsidRDefault="000447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78" w:rsidRPr="008E3652" w:rsidRDefault="000447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F319E" wp14:editId="694F782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63AB11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A021F" w:rsidRPr="006A021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78" w:rsidRDefault="00044778" w:rsidP="00EA5418">
      <w:pPr>
        <w:spacing w:after="0" w:line="240" w:lineRule="auto"/>
      </w:pPr>
      <w:r>
        <w:separator/>
      </w:r>
    </w:p>
  </w:footnote>
  <w:footnote w:type="continuationSeparator" w:id="0">
    <w:p w:rsidR="00044778" w:rsidRDefault="000447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78" w:rsidRPr="00441474" w:rsidRDefault="0004477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E194CE" wp14:editId="5F168A4F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778" w:rsidRPr="00275FC6" w:rsidRDefault="0004477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E194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44778" w:rsidRPr="00275FC6" w:rsidRDefault="0004477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4F30E" wp14:editId="64AD51AD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5627B99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044778" w:rsidRDefault="0004477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44778" w:rsidRDefault="000447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78" w:rsidRPr="00441474" w:rsidRDefault="00044778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41C5" wp14:editId="2B9F204C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3F5F52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A6D582" wp14:editId="2559A429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778" w:rsidRDefault="0004477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044778" w:rsidRDefault="0004477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044778" w:rsidRDefault="0004477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044778" w:rsidRDefault="0004477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044778" w:rsidRDefault="0004477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044778" w:rsidRPr="00275FC6" w:rsidRDefault="0004477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2A6D58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044778" w:rsidRDefault="0004477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4778" w:rsidRDefault="0004477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4778" w:rsidRDefault="0004477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4778" w:rsidRDefault="0004477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4778" w:rsidRDefault="0004477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4778" w:rsidRPr="00275FC6" w:rsidRDefault="0004477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044778" w:rsidRPr="00441474" w:rsidRDefault="00044778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044778" w:rsidRPr="0013011C" w:rsidRDefault="00044778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46BA"/>
    <w:rsid w:val="00056525"/>
    <w:rsid w:val="00063BDF"/>
    <w:rsid w:val="000673DD"/>
    <w:rsid w:val="000725C6"/>
    <w:rsid w:val="00075965"/>
    <w:rsid w:val="000A294B"/>
    <w:rsid w:val="000A548A"/>
    <w:rsid w:val="000B1127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FFB"/>
    <w:rsid w:val="00101FF5"/>
    <w:rsid w:val="00102154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F3E"/>
    <w:rsid w:val="001E592B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31D4A"/>
    <w:rsid w:val="002375B8"/>
    <w:rsid w:val="00251B1F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3BB8"/>
    <w:rsid w:val="002E6DF4"/>
    <w:rsid w:val="002F0477"/>
    <w:rsid w:val="002F2425"/>
    <w:rsid w:val="002F5500"/>
    <w:rsid w:val="002F63A2"/>
    <w:rsid w:val="002F720E"/>
    <w:rsid w:val="002F72E0"/>
    <w:rsid w:val="0030210F"/>
    <w:rsid w:val="00306731"/>
    <w:rsid w:val="00323ED7"/>
    <w:rsid w:val="0032702B"/>
    <w:rsid w:val="00332AAC"/>
    <w:rsid w:val="003461D4"/>
    <w:rsid w:val="00350DD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54EF"/>
    <w:rsid w:val="00406016"/>
    <w:rsid w:val="004072AF"/>
    <w:rsid w:val="004118A5"/>
    <w:rsid w:val="004120EB"/>
    <w:rsid w:val="004174B9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5536F"/>
    <w:rsid w:val="00460008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2C63"/>
    <w:rsid w:val="004A358D"/>
    <w:rsid w:val="004B1E2D"/>
    <w:rsid w:val="004B24F3"/>
    <w:rsid w:val="004C0F5D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70584"/>
    <w:rsid w:val="005714AB"/>
    <w:rsid w:val="00571781"/>
    <w:rsid w:val="00571AB3"/>
    <w:rsid w:val="00574266"/>
    <w:rsid w:val="00577871"/>
    <w:rsid w:val="005871FC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3D25"/>
    <w:rsid w:val="005D59CB"/>
    <w:rsid w:val="005D63DD"/>
    <w:rsid w:val="005E12A4"/>
    <w:rsid w:val="005E1443"/>
    <w:rsid w:val="005E7C71"/>
    <w:rsid w:val="005F1298"/>
    <w:rsid w:val="005F4568"/>
    <w:rsid w:val="005F5650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5790"/>
    <w:rsid w:val="00627983"/>
    <w:rsid w:val="006423E5"/>
    <w:rsid w:val="00645A57"/>
    <w:rsid w:val="00645B99"/>
    <w:rsid w:val="00653B7C"/>
    <w:rsid w:val="00662975"/>
    <w:rsid w:val="00662CBF"/>
    <w:rsid w:val="006635C7"/>
    <w:rsid w:val="0066451B"/>
    <w:rsid w:val="00674F0D"/>
    <w:rsid w:val="00680976"/>
    <w:rsid w:val="00681682"/>
    <w:rsid w:val="006923C9"/>
    <w:rsid w:val="006A021F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E2DDB"/>
    <w:rsid w:val="006E70B9"/>
    <w:rsid w:val="006E77DD"/>
    <w:rsid w:val="006F323C"/>
    <w:rsid w:val="0070055A"/>
    <w:rsid w:val="007021BF"/>
    <w:rsid w:val="00711129"/>
    <w:rsid w:val="00722BF1"/>
    <w:rsid w:val="00737F0A"/>
    <w:rsid w:val="00744EDA"/>
    <w:rsid w:val="007554B9"/>
    <w:rsid w:val="00757633"/>
    <w:rsid w:val="007601EB"/>
    <w:rsid w:val="00760DEC"/>
    <w:rsid w:val="00770A90"/>
    <w:rsid w:val="00774329"/>
    <w:rsid w:val="00775A3B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5D85"/>
    <w:rsid w:val="007B69A2"/>
    <w:rsid w:val="007C27CA"/>
    <w:rsid w:val="007D2D66"/>
    <w:rsid w:val="007D574A"/>
    <w:rsid w:val="007D6E9A"/>
    <w:rsid w:val="007E0A0C"/>
    <w:rsid w:val="007E5903"/>
    <w:rsid w:val="007F18C0"/>
    <w:rsid w:val="007F20EC"/>
    <w:rsid w:val="007F46CD"/>
    <w:rsid w:val="007F5A81"/>
    <w:rsid w:val="00811DAC"/>
    <w:rsid w:val="0081507E"/>
    <w:rsid w:val="0082172E"/>
    <w:rsid w:val="00824E74"/>
    <w:rsid w:val="00831E5A"/>
    <w:rsid w:val="00832CF6"/>
    <w:rsid w:val="008420CC"/>
    <w:rsid w:val="008540E4"/>
    <w:rsid w:val="00854CA3"/>
    <w:rsid w:val="008571A1"/>
    <w:rsid w:val="00871A3E"/>
    <w:rsid w:val="00873A36"/>
    <w:rsid w:val="008746BB"/>
    <w:rsid w:val="00875A6F"/>
    <w:rsid w:val="00875B75"/>
    <w:rsid w:val="00884B71"/>
    <w:rsid w:val="0089034D"/>
    <w:rsid w:val="0089054E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4405"/>
    <w:rsid w:val="008E20E2"/>
    <w:rsid w:val="008E3652"/>
    <w:rsid w:val="008E7976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7296B"/>
    <w:rsid w:val="009739E9"/>
    <w:rsid w:val="00973ED1"/>
    <w:rsid w:val="00977ED9"/>
    <w:rsid w:val="0098234B"/>
    <w:rsid w:val="00986321"/>
    <w:rsid w:val="009916D8"/>
    <w:rsid w:val="009A1E1A"/>
    <w:rsid w:val="009A32E0"/>
    <w:rsid w:val="009B2644"/>
    <w:rsid w:val="009B2C04"/>
    <w:rsid w:val="009B612D"/>
    <w:rsid w:val="009C01E8"/>
    <w:rsid w:val="009C0B70"/>
    <w:rsid w:val="009C140B"/>
    <w:rsid w:val="009C26D4"/>
    <w:rsid w:val="009C7419"/>
    <w:rsid w:val="009D32E0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23DCF"/>
    <w:rsid w:val="00A26CBC"/>
    <w:rsid w:val="00A31C2D"/>
    <w:rsid w:val="00A3208F"/>
    <w:rsid w:val="00A32524"/>
    <w:rsid w:val="00A337EE"/>
    <w:rsid w:val="00A363B6"/>
    <w:rsid w:val="00A46BF5"/>
    <w:rsid w:val="00A5013E"/>
    <w:rsid w:val="00A525B1"/>
    <w:rsid w:val="00A65154"/>
    <w:rsid w:val="00A705D3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4913"/>
    <w:rsid w:val="00B45750"/>
    <w:rsid w:val="00B47904"/>
    <w:rsid w:val="00B51F16"/>
    <w:rsid w:val="00B5776E"/>
    <w:rsid w:val="00B61E7C"/>
    <w:rsid w:val="00B65851"/>
    <w:rsid w:val="00B7081B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4852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26BF"/>
    <w:rsid w:val="00C231A0"/>
    <w:rsid w:val="00C262A6"/>
    <w:rsid w:val="00C26C9E"/>
    <w:rsid w:val="00C31191"/>
    <w:rsid w:val="00C3469C"/>
    <w:rsid w:val="00C36C3F"/>
    <w:rsid w:val="00C376FA"/>
    <w:rsid w:val="00C37A37"/>
    <w:rsid w:val="00C431B4"/>
    <w:rsid w:val="00C43C55"/>
    <w:rsid w:val="00C4626B"/>
    <w:rsid w:val="00C51B42"/>
    <w:rsid w:val="00C561E1"/>
    <w:rsid w:val="00C6577C"/>
    <w:rsid w:val="00C71336"/>
    <w:rsid w:val="00C72CD1"/>
    <w:rsid w:val="00C72F1B"/>
    <w:rsid w:val="00C73DEA"/>
    <w:rsid w:val="00C755BF"/>
    <w:rsid w:val="00C8075A"/>
    <w:rsid w:val="00C86C59"/>
    <w:rsid w:val="00C90B7A"/>
    <w:rsid w:val="00C91C5A"/>
    <w:rsid w:val="00C94023"/>
    <w:rsid w:val="00C974BA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4578"/>
    <w:rsid w:val="00D3025B"/>
    <w:rsid w:val="00D34852"/>
    <w:rsid w:val="00D4093A"/>
    <w:rsid w:val="00D43206"/>
    <w:rsid w:val="00D44728"/>
    <w:rsid w:val="00D562FF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6138"/>
    <w:rsid w:val="00DB4819"/>
    <w:rsid w:val="00DB6310"/>
    <w:rsid w:val="00DC1996"/>
    <w:rsid w:val="00DC1D2C"/>
    <w:rsid w:val="00DC4112"/>
    <w:rsid w:val="00DC4402"/>
    <w:rsid w:val="00DD2277"/>
    <w:rsid w:val="00DD3075"/>
    <w:rsid w:val="00DD68AB"/>
    <w:rsid w:val="00DF56C9"/>
    <w:rsid w:val="00E003B5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4AF8"/>
    <w:rsid w:val="00E35D84"/>
    <w:rsid w:val="00E3751F"/>
    <w:rsid w:val="00E41CBD"/>
    <w:rsid w:val="00E42AD0"/>
    <w:rsid w:val="00E5577C"/>
    <w:rsid w:val="00E60FF3"/>
    <w:rsid w:val="00E76AE8"/>
    <w:rsid w:val="00E813A7"/>
    <w:rsid w:val="00E84F34"/>
    <w:rsid w:val="00E930AC"/>
    <w:rsid w:val="00EA5418"/>
    <w:rsid w:val="00EB2084"/>
    <w:rsid w:val="00EC47AB"/>
    <w:rsid w:val="00EC5D2C"/>
    <w:rsid w:val="00ED74C8"/>
    <w:rsid w:val="00EE24CE"/>
    <w:rsid w:val="00EE2576"/>
    <w:rsid w:val="00EE2ACA"/>
    <w:rsid w:val="00EE30FF"/>
    <w:rsid w:val="00EE46FB"/>
    <w:rsid w:val="00EF7655"/>
    <w:rsid w:val="00F0547D"/>
    <w:rsid w:val="00F103D4"/>
    <w:rsid w:val="00F14F0A"/>
    <w:rsid w:val="00F1790E"/>
    <w:rsid w:val="00F17C0D"/>
    <w:rsid w:val="00F2035F"/>
    <w:rsid w:val="00F23D4C"/>
    <w:rsid w:val="00F328DE"/>
    <w:rsid w:val="00F40D7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C1BF-C3C5-4167-A053-DDE7483E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21</Pages>
  <Words>2438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252</cp:revision>
  <cp:lastPrinted>2019-04-09T16:58:00Z</cp:lastPrinted>
  <dcterms:created xsi:type="dcterms:W3CDTF">2016-04-02T23:55:00Z</dcterms:created>
  <dcterms:modified xsi:type="dcterms:W3CDTF">2019-04-09T16:59:00Z</dcterms:modified>
</cp:coreProperties>
</file>