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A0" w:rsidRDefault="00F169A0" w:rsidP="00723CBC">
      <w:pPr>
        <w:ind w:left="-142" w:right="-212" w:firstLine="142"/>
        <w:jc w:val="center"/>
      </w:pPr>
      <w:bookmarkStart w:id="0" w:name="OLE_LINK1"/>
    </w:p>
    <w:bookmarkEnd w:id="0"/>
    <w:p w:rsidR="00EA5418" w:rsidRDefault="0055221D" w:rsidP="00A575BC">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8.6pt;margin-top:10.2pt;width:658.1pt;height:309.9pt;z-index:251668480;mso-position-horizontal-relative:text;mso-position-vertical-relative:text">
            <v:imagedata r:id="rId8" o:title=""/>
            <w10:wrap type="square" side="right"/>
          </v:shape>
          <o:OLEObject Type="Embed" ProgID="Excel.Sheet.12" ShapeID="_x0000_s1122" DrawAspect="Content" ObjectID="_1616406722" r:id="rId9"/>
        </w:object>
      </w:r>
      <w:r w:rsidR="00A575BC">
        <w:br w:type="textWrapping" w:clear="all"/>
      </w:r>
    </w:p>
    <w:bookmarkStart w:id="1" w:name="_MON_1470805999"/>
    <w:bookmarkEnd w:id="1"/>
    <w:p w:rsidR="00351CBA" w:rsidRDefault="00F97099" w:rsidP="00351CBA">
      <w:pPr>
        <w:jc w:val="center"/>
      </w:pPr>
      <w:r>
        <w:object w:dxaOrig="25153" w:dyaOrig="18931">
          <v:shape id="_x0000_i1026" type="#_x0000_t75" style="width:622.4pt;height:439.05pt" o:ole="">
            <v:imagedata r:id="rId10" o:title=""/>
          </v:shape>
          <o:OLEObject Type="Embed" ProgID="Excel.Sheet.12" ShapeID="_x0000_i1026" DrawAspect="Content" ObjectID="_1616406719" r:id="rId11"/>
        </w:object>
      </w:r>
    </w:p>
    <w:p w:rsidR="00351CBA" w:rsidRDefault="00351CBA" w:rsidP="00351CBA"/>
    <w:p w:rsidR="000F38B4" w:rsidRDefault="0055221D" w:rsidP="00EF65DE">
      <w:pPr>
        <w:rPr>
          <w:noProof/>
        </w:rPr>
      </w:pPr>
      <w:r>
        <w:rPr>
          <w:noProof/>
        </w:rPr>
        <w:lastRenderedPageBreak/>
        <w:object w:dxaOrig="1440" w:dyaOrig="1440">
          <v:shape id="_x0000_s1140" type="#_x0000_t75" style="position:absolute;margin-left:.55pt;margin-top:38.2pt;width:691.1pt;height:286.4pt;z-index:251671552;mso-position-horizontal-relative:text;mso-position-vertical-relative:text">
            <v:imagedata r:id="rId12" o:title=""/>
            <w10:wrap type="square" side="right"/>
          </v:shape>
          <o:OLEObject Type="Embed" ProgID="Excel.Sheet.12" ShapeID="_x0000_s1140" DrawAspect="Content" ObjectID="_1616406723" r:id="rId13"/>
        </w:object>
      </w:r>
    </w:p>
    <w:p w:rsidR="00351CBA" w:rsidRDefault="00351CBA" w:rsidP="00EF65DE"/>
    <w:p w:rsidR="00351CBA" w:rsidRDefault="00351CBA" w:rsidP="00EF65DE"/>
    <w:p w:rsidR="00351CBA" w:rsidRDefault="00351CBA" w:rsidP="00EF65DE"/>
    <w:p w:rsidR="00351CBA" w:rsidRDefault="00351CBA" w:rsidP="00EF65DE"/>
    <w:p w:rsidR="00351CBA" w:rsidRDefault="00351CBA" w:rsidP="00EF65DE"/>
    <w:p w:rsidR="00351CBA" w:rsidRDefault="00351CBA" w:rsidP="00EF65DE"/>
    <w:p w:rsidR="00351CBA" w:rsidRDefault="0055221D" w:rsidP="00EF65DE">
      <w:r>
        <w:rPr>
          <w:noProof/>
        </w:rPr>
        <w:lastRenderedPageBreak/>
        <w:object w:dxaOrig="1440" w:dyaOrig="1440">
          <v:shape id="_x0000_s1141" type="#_x0000_t75" style="position:absolute;margin-left:-15.45pt;margin-top:29.9pt;width:702.95pt;height:295.75pt;z-index:251672576">
            <v:imagedata r:id="rId14" o:title=""/>
            <w10:wrap type="square" side="left"/>
          </v:shape>
          <o:OLEObject Type="Embed" ProgID="Excel.Sheet.12" ShapeID="_x0000_s1141" DrawAspect="Content" ObjectID="_1616406724" r:id="rId15"/>
        </w:object>
      </w:r>
    </w:p>
    <w:p w:rsidR="00351CBA" w:rsidRDefault="00351CBA" w:rsidP="00EF65DE"/>
    <w:p w:rsidR="00351CBA" w:rsidRDefault="00351CBA" w:rsidP="00EF65DE"/>
    <w:p w:rsidR="00351CBA" w:rsidRDefault="00351CBA" w:rsidP="00EF65DE"/>
    <w:p w:rsidR="00100648" w:rsidRDefault="0055221D" w:rsidP="00EF65DE">
      <w:pPr>
        <w:tabs>
          <w:tab w:val="center" w:pos="6840"/>
        </w:tabs>
        <w:ind w:left="142" w:hanging="142"/>
      </w:pPr>
      <w:r>
        <w:rPr>
          <w:noProof/>
        </w:rPr>
        <w:lastRenderedPageBreak/>
        <w:object w:dxaOrig="1440" w:dyaOrig="1440">
          <v:shape id="_x0000_s1146" type="#_x0000_t75" style="position:absolute;left:0;text-align:left;margin-left:0;margin-top:0;width:657.9pt;height:379.8pt;z-index:251674624;mso-position-horizontal:left;mso-position-horizontal-relative:text;mso-position-vertical-relative:text">
            <v:imagedata r:id="rId16" o:title=""/>
            <w10:wrap type="square" side="right"/>
          </v:shape>
          <o:OLEObject Type="Embed" ProgID="Excel.Sheet.12" ShapeID="_x0000_s1146" DrawAspect="Content" ObjectID="_1616406725" r:id="rId17"/>
        </w:object>
      </w:r>
    </w:p>
    <w:p w:rsidR="00100648" w:rsidRPr="00100648" w:rsidRDefault="00100648" w:rsidP="00100648"/>
    <w:p w:rsidR="00100648" w:rsidRPr="00100648" w:rsidRDefault="00100648" w:rsidP="00100648"/>
    <w:bookmarkStart w:id="2" w:name="_MON_1470814596"/>
    <w:bookmarkEnd w:id="2"/>
    <w:p w:rsidR="004F3B72" w:rsidRDefault="004D1BA4" w:rsidP="004D1BA4">
      <w:pPr>
        <w:tabs>
          <w:tab w:val="left" w:pos="2430"/>
          <w:tab w:val="left" w:pos="6379"/>
          <w:tab w:val="left" w:pos="6946"/>
        </w:tabs>
      </w:pPr>
      <w:r>
        <w:object w:dxaOrig="19477" w:dyaOrig="15883">
          <v:shape id="_x0000_i1030" type="#_x0000_t75" style="width:566.7pt;height:445.7pt" o:ole="">
            <v:imagedata r:id="rId18" o:title=""/>
          </v:shape>
          <o:OLEObject Type="Embed" ProgID="Excel.Sheet.12" ShapeID="_x0000_i1030" DrawAspect="Content" ObjectID="_1616406720" r:id="rId19"/>
        </w:object>
      </w:r>
    </w:p>
    <w:p w:rsidR="00E32708" w:rsidRDefault="00E32708" w:rsidP="00E32708">
      <w:pPr>
        <w:tabs>
          <w:tab w:val="left" w:pos="2430"/>
        </w:tabs>
        <w:jc w:val="center"/>
      </w:pPr>
    </w:p>
    <w:bookmarkStart w:id="3" w:name="_MON_1470810366"/>
    <w:bookmarkEnd w:id="3"/>
    <w:p w:rsidR="00E32708" w:rsidRDefault="004D1BA4" w:rsidP="00E32708">
      <w:pPr>
        <w:tabs>
          <w:tab w:val="left" w:pos="2430"/>
        </w:tabs>
        <w:jc w:val="center"/>
      </w:pPr>
      <w:r>
        <w:object w:dxaOrig="25922" w:dyaOrig="13386">
          <v:shape id="_x0000_i1031" type="#_x0000_t75" style="width:636.5pt;height:367.95pt" o:ole="">
            <v:imagedata r:id="rId20" o:title=""/>
          </v:shape>
          <o:OLEObject Type="Embed" ProgID="Excel.Sheet.12" ShapeID="_x0000_i1031" DrawAspect="Content" ObjectID="_1616406721" r:id="rId21"/>
        </w:object>
      </w:r>
    </w:p>
    <w:p w:rsidR="00372F40" w:rsidRDefault="00372F40"/>
    <w:p w:rsidR="00CB5593" w:rsidRDefault="00CB5593"/>
    <w:p w:rsidR="00CB5593" w:rsidRDefault="00CB5593"/>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C44B91">
        <w:rPr>
          <w:rFonts w:ascii="Arial" w:hAnsi="Arial" w:cs="Arial"/>
          <w:sz w:val="18"/>
          <w:szCs w:val="18"/>
        </w:rPr>
        <w:t>1</w:t>
      </w:r>
      <w:r w:rsidR="00D50470" w:rsidRPr="00C44B91">
        <w:rPr>
          <w:rFonts w:ascii="Arial" w:hAnsi="Arial" w:cs="Arial"/>
          <w:sz w:val="18"/>
          <w:szCs w:val="18"/>
        </w:rPr>
        <w:t>2</w:t>
      </w:r>
      <w:r w:rsidR="00AF6A66" w:rsidRPr="00C44B91">
        <w:rPr>
          <w:rFonts w:ascii="Arial" w:hAnsi="Arial" w:cs="Arial"/>
          <w:sz w:val="18"/>
          <w:szCs w:val="18"/>
        </w:rPr>
        <w:t xml:space="preserve">, </w:t>
      </w:r>
      <w:r w:rsidR="00BD5769" w:rsidRPr="00C44B91">
        <w:rPr>
          <w:rFonts w:ascii="Arial" w:hAnsi="Arial" w:cs="Arial"/>
          <w:sz w:val="18"/>
          <w:szCs w:val="18"/>
        </w:rPr>
        <w:t>0</w:t>
      </w:r>
      <w:r w:rsidR="00AF6A66" w:rsidRPr="00C44B91">
        <w:rPr>
          <w:rFonts w:ascii="Arial" w:hAnsi="Arial" w:cs="Arial"/>
          <w:sz w:val="18"/>
          <w:szCs w:val="18"/>
        </w:rPr>
        <w:t>00,000</w:t>
      </w:r>
      <w:r w:rsidR="00343189" w:rsidRPr="00BA5BED">
        <w:rPr>
          <w:rFonts w:ascii="Arial" w:hAnsi="Arial" w:cs="Arial"/>
          <w:color w:val="FF0000"/>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404675" w:rsidP="00AF6A66">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0" distB="0" distL="114300" distR="114300" simplePos="0" relativeHeight="251657216" behindDoc="0" locked="0" layoutInCell="1" allowOverlap="1">
                <wp:simplePos x="0" y="0"/>
                <wp:positionH relativeFrom="column">
                  <wp:posOffset>5657850</wp:posOffset>
                </wp:positionH>
                <wp:positionV relativeFrom="paragraph">
                  <wp:posOffset>207645</wp:posOffset>
                </wp:positionV>
                <wp:extent cx="2466975" cy="0"/>
                <wp:effectExtent l="9525" t="8255" r="9525" b="1079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2377964" id="_x0000_t32" coordsize="21600,21600" o:spt="32" o:oned="t" path="m,l21600,21600e" filled="f">
                <v:path arrowok="t" fillok="f" o:connecttype="none"/>
                <o:lock v:ext="edit" shapetype="t"/>
              </v:shapetype>
              <v:shape id="AutoShape 27" o:spid="_x0000_s1026" type="#_x0000_t32" style="position:absolute;margin-left:445.5pt;margin-top:16.35pt;width:19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wmIAIAAD0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&#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DJ7nCY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0" distB="0" distL="114300" distR="114300" simplePos="0" relativeHeight="251654144" behindDoc="0" locked="0" layoutInCell="1" allowOverlap="1">
                <wp:simplePos x="0" y="0"/>
                <wp:positionH relativeFrom="column">
                  <wp:posOffset>581025</wp:posOffset>
                </wp:positionH>
                <wp:positionV relativeFrom="paragraph">
                  <wp:posOffset>198120</wp:posOffset>
                </wp:positionV>
                <wp:extent cx="2466975" cy="0"/>
                <wp:effectExtent l="9525" t="8255" r="9525" b="1079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967899" id="AutoShape 26" o:spid="_x0000_s1026" type="#_x0000_t32" style="position:absolute;margin-left:45.75pt;margin-top:15.6pt;width:194.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4o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O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A7Sy4oIAIAAD0EAAAOAAAAAAAAAAAAAAAAAC4CAABkcnMvZTJvRG9jLnhtbFBL&#10;AQItABQABgAIAAAAIQC0ryuq3QAAAAgBAAAPAAAAAAAAAAAAAAAAAHoEAABkcnMvZG93bnJldi54&#10;bWxQSwUGAAAAAAQABADzAAAAhAUAAAAA&#10;"/>
            </w:pict>
          </mc:Fallback>
        </mc:AlternateContent>
      </w:r>
    </w:p>
    <w:p w:rsidR="00540418" w:rsidRPr="00AF6A66" w:rsidRDefault="00A71541" w:rsidP="00D91F64">
      <w:pPr>
        <w:spacing w:line="240" w:lineRule="auto"/>
        <w:jc w:val="center"/>
        <w:rPr>
          <w:rFonts w:ascii="Arial" w:hAnsi="Arial" w:cs="Arial"/>
          <w:sz w:val="18"/>
          <w:szCs w:val="18"/>
        </w:rPr>
      </w:pPr>
      <w:r>
        <w:rPr>
          <w:rFonts w:ascii="Arial" w:hAnsi="Arial" w:cs="Arial"/>
          <w:sz w:val="18"/>
          <w:szCs w:val="18"/>
        </w:rPr>
        <w:t xml:space="preserve">Lic. </w:t>
      </w:r>
      <w:r w:rsidR="00404675">
        <w:rPr>
          <w:rFonts w:ascii="Arial" w:hAnsi="Arial" w:cs="Arial"/>
          <w:sz w:val="18"/>
          <w:szCs w:val="18"/>
        </w:rPr>
        <w:t>Víctor</w:t>
      </w:r>
      <w:r w:rsidR="00CB5593">
        <w:rPr>
          <w:rFonts w:ascii="Arial" w:hAnsi="Arial" w:cs="Arial"/>
          <w:sz w:val="18"/>
          <w:szCs w:val="18"/>
        </w:rPr>
        <w:t xml:space="preserve"> Manuel Cid del Prado </w:t>
      </w:r>
      <w:r w:rsidR="00404675">
        <w:rPr>
          <w:rFonts w:ascii="Arial" w:hAnsi="Arial" w:cs="Arial"/>
          <w:sz w:val="18"/>
          <w:szCs w:val="18"/>
        </w:rPr>
        <w:t>Pineda</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B4710C">
        <w:rPr>
          <w:rFonts w:ascii="Arial" w:hAnsi="Arial" w:cs="Arial"/>
          <w:sz w:val="18"/>
          <w:szCs w:val="18"/>
        </w:rPr>
        <w:t>Lic. A</w:t>
      </w:r>
      <w:r w:rsidR="00CB5593">
        <w:rPr>
          <w:rFonts w:ascii="Arial" w:hAnsi="Arial" w:cs="Arial"/>
          <w:sz w:val="18"/>
          <w:szCs w:val="18"/>
        </w:rPr>
        <w:t xml:space="preserve">ngélica María Juárez </w:t>
      </w:r>
      <w:proofErr w:type="spellStart"/>
      <w:r w:rsidR="00D91F64">
        <w:rPr>
          <w:rFonts w:ascii="Arial" w:hAnsi="Arial" w:cs="Arial"/>
          <w:sz w:val="18"/>
          <w:szCs w:val="18"/>
        </w:rPr>
        <w:t>Texis</w:t>
      </w:r>
      <w:proofErr w:type="spellEnd"/>
      <w:r w:rsidR="00B4710C">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Pr>
          <w:rFonts w:ascii="Arial" w:hAnsi="Arial" w:cs="Arial"/>
          <w:sz w:val="18"/>
          <w:szCs w:val="18"/>
        </w:rPr>
        <w:t>President</w:t>
      </w:r>
      <w:r w:rsidR="00D91F64">
        <w:rPr>
          <w:rFonts w:ascii="Arial" w:hAnsi="Arial" w:cs="Arial"/>
          <w:sz w:val="18"/>
          <w:szCs w:val="18"/>
        </w:rPr>
        <w:t>e</w:t>
      </w:r>
      <w:r>
        <w:rPr>
          <w:rFonts w:ascii="Arial" w:hAnsi="Arial" w:cs="Arial"/>
          <w:sz w:val="18"/>
          <w:szCs w:val="18"/>
        </w:rPr>
        <w:t xml:space="preserve"> </w:t>
      </w:r>
      <w:r w:rsidR="0030166A" w:rsidRPr="00AF6A66">
        <w:rPr>
          <w:rFonts w:ascii="Arial" w:hAnsi="Arial" w:cs="Arial"/>
          <w:sz w:val="18"/>
          <w:szCs w:val="18"/>
        </w:rPr>
        <w:t>de la C</w:t>
      </w:r>
      <w:r w:rsidR="00AF6A66" w:rsidRPr="00AF6A66">
        <w:rPr>
          <w:rFonts w:ascii="Arial" w:hAnsi="Arial" w:cs="Arial"/>
          <w:sz w:val="18"/>
          <w:szCs w:val="18"/>
        </w:rPr>
        <w:t>.</w:t>
      </w:r>
      <w:r w:rsidR="0030166A" w:rsidRPr="00AF6A66">
        <w:rPr>
          <w:rFonts w:ascii="Arial" w:hAnsi="Arial" w:cs="Arial"/>
          <w:sz w:val="18"/>
          <w:szCs w:val="18"/>
        </w:rPr>
        <w:t>E</w:t>
      </w:r>
      <w:r w:rsidR="00AF6A66" w:rsidRPr="00AF6A66">
        <w:rPr>
          <w:rFonts w:ascii="Arial" w:hAnsi="Arial" w:cs="Arial"/>
          <w:sz w:val="18"/>
          <w:szCs w:val="18"/>
        </w:rPr>
        <w:t>.</w:t>
      </w:r>
      <w:r w:rsidR="0030166A" w:rsidRPr="00AF6A66">
        <w:rPr>
          <w:rFonts w:ascii="Arial" w:hAnsi="Arial" w:cs="Arial"/>
          <w:sz w:val="18"/>
          <w:szCs w:val="18"/>
        </w:rPr>
        <w:t>D</w:t>
      </w:r>
      <w:r w:rsidR="00AF6A66" w:rsidRPr="00AF6A66">
        <w:rPr>
          <w:rFonts w:ascii="Arial" w:hAnsi="Arial" w:cs="Arial"/>
          <w:sz w:val="18"/>
          <w:szCs w:val="18"/>
        </w:rPr>
        <w:t>.</w:t>
      </w:r>
      <w:r w:rsidR="0030166A" w:rsidRPr="00AF6A66">
        <w:rPr>
          <w:rFonts w:ascii="Arial" w:hAnsi="Arial" w:cs="Arial"/>
          <w:sz w:val="18"/>
          <w:szCs w:val="18"/>
        </w:rPr>
        <w:t>H</w:t>
      </w:r>
      <w:r w:rsidR="00AF6A66" w:rsidRPr="00AF6A66">
        <w:rPr>
          <w:rFonts w:ascii="Arial" w:hAnsi="Arial" w:cs="Arial"/>
          <w:sz w:val="18"/>
          <w:szCs w:val="18"/>
        </w:rPr>
        <w:t>.</w:t>
      </w:r>
      <w:r w:rsidR="0030166A" w:rsidRPr="00AF6A66">
        <w:rPr>
          <w:rFonts w:ascii="Arial" w:hAnsi="Arial" w:cs="Arial"/>
          <w:sz w:val="18"/>
          <w:szCs w:val="18"/>
        </w:rPr>
        <w:t>T</w:t>
      </w:r>
      <w:r w:rsidR="00AF6A66" w:rsidRPr="00AF6A66">
        <w:rPr>
          <w:rFonts w:ascii="Arial" w:hAnsi="Arial" w:cs="Arial"/>
          <w:sz w:val="18"/>
          <w:szCs w:val="18"/>
        </w:rPr>
        <w:t>.</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9A1EA8">
        <w:rPr>
          <w:rFonts w:ascii="Arial" w:hAnsi="Arial" w:cs="Arial"/>
          <w:sz w:val="18"/>
          <w:szCs w:val="18"/>
        </w:rPr>
        <w:t xml:space="preserve">   </w:t>
      </w:r>
      <w:r w:rsidR="0030166A"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0030166A"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w:t>
      </w:r>
      <w:r w:rsidR="00B4710C">
        <w:rPr>
          <w:rFonts w:ascii="Arial" w:hAnsi="Arial" w:cs="Arial"/>
          <w:sz w:val="18"/>
          <w:szCs w:val="18"/>
        </w:rPr>
        <w:t>a</w:t>
      </w:r>
      <w:r w:rsidR="009A1EA8">
        <w:rPr>
          <w:rFonts w:ascii="Arial" w:hAnsi="Arial" w:cs="Arial"/>
          <w:sz w:val="18"/>
          <w:szCs w:val="18"/>
        </w:rPr>
        <w:t xml:space="preserve">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CB5593" w:rsidRDefault="00CB5593" w:rsidP="0030166A">
      <w:pPr>
        <w:jc w:val="center"/>
        <w:rPr>
          <w:rFonts w:ascii="Soberana Sans Light" w:hAnsi="Soberana Sans Light"/>
        </w:rPr>
      </w:pPr>
    </w:p>
    <w:p w:rsidR="00497281" w:rsidRDefault="00497281" w:rsidP="0030166A">
      <w:pPr>
        <w:jc w:val="center"/>
        <w:rPr>
          <w:rFonts w:ascii="Soberana Sans Light" w:hAnsi="Soberana Sans Light"/>
        </w:rPr>
      </w:pPr>
    </w:p>
    <w:p w:rsidR="00497281" w:rsidRDefault="00497281" w:rsidP="0030166A">
      <w:pPr>
        <w:jc w:val="center"/>
        <w:rPr>
          <w:rFonts w:ascii="Soberana Sans Light" w:hAnsi="Soberana Sans Light"/>
        </w:rPr>
      </w:pPr>
    </w:p>
    <w:p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A668D1" w:rsidRPr="00AF6A66"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8634C0">
        <w:rPr>
          <w:rFonts w:ascii="Soberana Sans Light" w:hAnsi="Soberana Sans Light"/>
          <w:sz w:val="22"/>
          <w:szCs w:val="22"/>
        </w:rPr>
        <w:t xml:space="preserve">31 de </w:t>
      </w:r>
      <w:r w:rsidR="00BA5BED">
        <w:rPr>
          <w:rFonts w:ascii="Soberana Sans Light" w:hAnsi="Soberana Sans Light"/>
          <w:sz w:val="22"/>
          <w:szCs w:val="22"/>
        </w:rPr>
        <w:t>marzo</w:t>
      </w:r>
      <w:r w:rsidR="00D91F64">
        <w:rPr>
          <w:rFonts w:ascii="Soberana Sans Light" w:hAnsi="Soberana Sans Light"/>
          <w:sz w:val="22"/>
          <w:szCs w:val="22"/>
        </w:rPr>
        <w:t xml:space="preserve"> </w:t>
      </w:r>
      <w:r>
        <w:rPr>
          <w:rFonts w:ascii="Soberana Sans Light" w:hAnsi="Soberana Sans Light"/>
          <w:sz w:val="22"/>
          <w:szCs w:val="22"/>
        </w:rPr>
        <w:t>201</w:t>
      </w:r>
      <w:r w:rsidR="00BA5BED">
        <w:rPr>
          <w:rFonts w:ascii="Soberana Sans Light" w:hAnsi="Soberana Sans Light"/>
          <w:sz w:val="22"/>
          <w:szCs w:val="22"/>
        </w:rPr>
        <w:t>9</w:t>
      </w:r>
    </w:p>
    <w:p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rsidTr="00F62B26">
        <w:trPr>
          <w:trHeight w:val="231"/>
          <w:jc w:val="center"/>
        </w:trPr>
        <w:tc>
          <w:tcPr>
            <w:tcW w:w="0" w:type="auto"/>
            <w:shd w:val="clear" w:color="auto" w:fill="C00000"/>
            <w:noWrap/>
            <w:vAlign w:val="center"/>
            <w:hideMark/>
          </w:tcPr>
          <w:p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9</w:t>
            </w:r>
          </w:p>
        </w:tc>
        <w:tc>
          <w:tcPr>
            <w:tcW w:w="1418" w:type="dxa"/>
            <w:shd w:val="clear" w:color="auto" w:fill="C00000"/>
            <w:noWrap/>
            <w:vAlign w:val="center"/>
            <w:hideMark/>
          </w:tcPr>
          <w:p w:rsidR="00A668D1" w:rsidRPr="00D141C1" w:rsidRDefault="00A668D1" w:rsidP="004B0A5D">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201</w:t>
            </w:r>
            <w:r w:rsidR="00BA5BED">
              <w:rPr>
                <w:rFonts w:ascii="Arial" w:hAnsi="Arial" w:cs="Arial"/>
                <w:b/>
                <w:bCs/>
                <w:color w:val="FFFFFF" w:themeColor="background1"/>
                <w:sz w:val="18"/>
                <w:szCs w:val="18"/>
              </w:rPr>
              <w:t>8</w:t>
            </w:r>
          </w:p>
        </w:tc>
      </w:tr>
      <w:tr w:rsidR="00A668D1" w:rsidRPr="002F31D1" w:rsidTr="00822DAF">
        <w:trPr>
          <w:trHeight w:val="427"/>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rsidR="00A668D1" w:rsidRPr="00BC2554" w:rsidRDefault="003003B7" w:rsidP="00A92A1C">
            <w:pPr>
              <w:autoSpaceDE w:val="0"/>
              <w:autoSpaceDN w:val="0"/>
              <w:adjustRightInd w:val="0"/>
              <w:spacing w:before="80"/>
              <w:jc w:val="right"/>
              <w:rPr>
                <w:rFonts w:ascii="Arial" w:hAnsi="Arial" w:cs="Arial"/>
                <w:color w:val="000000" w:themeColor="text1"/>
                <w:sz w:val="18"/>
                <w:szCs w:val="18"/>
              </w:rPr>
            </w:pPr>
            <w:r>
              <w:rPr>
                <w:rFonts w:ascii="Arial" w:hAnsi="Arial" w:cs="Arial"/>
                <w:color w:val="000000" w:themeColor="text1"/>
                <w:sz w:val="18"/>
                <w:szCs w:val="18"/>
              </w:rPr>
              <w:t>2,070,022.16</w:t>
            </w:r>
          </w:p>
        </w:tc>
        <w:tc>
          <w:tcPr>
            <w:tcW w:w="1418" w:type="dxa"/>
            <w:shd w:val="clear" w:color="auto" w:fill="auto"/>
            <w:noWrap/>
            <w:vAlign w:val="center"/>
            <w:hideMark/>
          </w:tcPr>
          <w:p w:rsidR="00A668D1" w:rsidRPr="00BC2554" w:rsidRDefault="00BA5BED" w:rsidP="006D1C8D">
            <w:pPr>
              <w:autoSpaceDE w:val="0"/>
              <w:autoSpaceDN w:val="0"/>
              <w:adjustRightInd w:val="0"/>
              <w:spacing w:before="80"/>
              <w:jc w:val="right"/>
              <w:rPr>
                <w:rFonts w:ascii="Arial" w:hAnsi="Arial" w:cs="Arial"/>
                <w:color w:val="000000" w:themeColor="text1"/>
                <w:sz w:val="18"/>
                <w:szCs w:val="18"/>
              </w:rPr>
            </w:pPr>
            <w:r w:rsidRPr="00BA5BED">
              <w:rPr>
                <w:rFonts w:ascii="Arial" w:hAnsi="Arial" w:cs="Arial"/>
                <w:color w:val="000000" w:themeColor="text1"/>
                <w:sz w:val="18"/>
                <w:szCs w:val="18"/>
              </w:rPr>
              <w:t>556,563</w:t>
            </w:r>
          </w:p>
        </w:tc>
      </w:tr>
      <w:tr w:rsidR="00A668D1" w:rsidRPr="002F31D1" w:rsidTr="00822DAF">
        <w:trPr>
          <w:trHeight w:val="231"/>
          <w:jc w:val="center"/>
        </w:trPr>
        <w:tc>
          <w:tcPr>
            <w:tcW w:w="0" w:type="auto"/>
            <w:shd w:val="clear" w:color="auto" w:fill="auto"/>
            <w:noWrap/>
            <w:vAlign w:val="center"/>
            <w:hideMark/>
          </w:tcPr>
          <w:p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rsidR="00A668D1" w:rsidRPr="002F31D1" w:rsidRDefault="003003B7" w:rsidP="00A92A1C">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2,070,022.16</w:t>
            </w:r>
          </w:p>
        </w:tc>
        <w:tc>
          <w:tcPr>
            <w:tcW w:w="1418" w:type="dxa"/>
            <w:shd w:val="clear" w:color="auto" w:fill="auto"/>
            <w:noWrap/>
            <w:hideMark/>
          </w:tcPr>
          <w:p w:rsidR="00A668D1" w:rsidRPr="002F31D1" w:rsidRDefault="00754F68" w:rsidP="00822DA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556</w:t>
            </w:r>
            <w:r w:rsidR="008F0D3D">
              <w:rPr>
                <w:rFonts w:ascii="Arial" w:hAnsi="Arial" w:cs="Arial"/>
                <w:b/>
                <w:sz w:val="18"/>
                <w:szCs w:val="18"/>
                <w:u w:val="double"/>
              </w:rPr>
              <w:t>,</w:t>
            </w:r>
            <w:r>
              <w:rPr>
                <w:rFonts w:ascii="Arial" w:hAnsi="Arial" w:cs="Arial"/>
                <w:b/>
                <w:sz w:val="18"/>
                <w:szCs w:val="18"/>
                <w:u w:val="double"/>
              </w:rPr>
              <w:t>563</w:t>
            </w:r>
            <w:r w:rsidR="00A668D1" w:rsidRPr="002F31D1">
              <w:rPr>
                <w:rFonts w:ascii="Arial" w:hAnsi="Arial" w:cs="Arial"/>
                <w:b/>
                <w:sz w:val="18"/>
                <w:szCs w:val="18"/>
                <w:u w:val="double"/>
              </w:rPr>
              <w:t xml:space="preserve"> </w:t>
            </w:r>
          </w:p>
        </w:tc>
      </w:tr>
    </w:tbl>
    <w:p w:rsidR="00A668D1" w:rsidRPr="00AF6A66"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rsidTr="00F62B26">
        <w:trPr>
          <w:trHeight w:val="251"/>
          <w:jc w:val="center"/>
        </w:trPr>
        <w:tc>
          <w:tcPr>
            <w:tcW w:w="0" w:type="auto"/>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C00000"/>
            <w:noWrap/>
            <w:vAlign w:val="center"/>
            <w:hideMark/>
          </w:tcPr>
          <w:p w:rsidR="00A668D1" w:rsidRPr="002F31D1" w:rsidRDefault="00A668D1"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Deudores por anticipo de la tesorería a Corto Plazo</w:t>
            </w:r>
          </w:p>
        </w:tc>
        <w:tc>
          <w:tcPr>
            <w:tcW w:w="1418" w:type="dxa"/>
            <w:shd w:val="clear" w:color="auto" w:fill="auto"/>
            <w:noWrap/>
            <w:vAlign w:val="bottom"/>
            <w:hideMark/>
          </w:tcPr>
          <w:p w:rsidR="00A668D1" w:rsidRPr="002F31D1" w:rsidRDefault="007E4423" w:rsidP="007E4423">
            <w:pPr>
              <w:jc w:val="center"/>
              <w:rPr>
                <w:rFonts w:ascii="Arial" w:hAnsi="Arial" w:cs="Arial"/>
                <w:sz w:val="18"/>
                <w:szCs w:val="18"/>
              </w:rPr>
            </w:pPr>
            <w:r>
              <w:rPr>
                <w:rFonts w:ascii="Arial" w:hAnsi="Arial" w:cs="Arial"/>
                <w:sz w:val="18"/>
                <w:szCs w:val="18"/>
              </w:rPr>
              <w:t xml:space="preserve">                       </w:t>
            </w:r>
            <w:r w:rsidR="004B0A5D">
              <w:rPr>
                <w:rFonts w:ascii="Arial" w:hAnsi="Arial" w:cs="Arial"/>
                <w:sz w:val="18"/>
                <w:szCs w:val="18"/>
              </w:rPr>
              <w:t>0</w:t>
            </w:r>
          </w:p>
        </w:tc>
        <w:tc>
          <w:tcPr>
            <w:tcW w:w="1418" w:type="dxa"/>
            <w:shd w:val="clear" w:color="auto" w:fill="auto"/>
            <w:noWrap/>
            <w:vAlign w:val="bottom"/>
            <w:hideMark/>
          </w:tcPr>
          <w:p w:rsidR="00A668D1" w:rsidRPr="002F31D1" w:rsidRDefault="004B0A5D" w:rsidP="00822DAF">
            <w:pPr>
              <w:jc w:val="right"/>
              <w:rPr>
                <w:rFonts w:ascii="Arial" w:hAnsi="Arial" w:cs="Arial"/>
                <w:sz w:val="18"/>
                <w:szCs w:val="18"/>
              </w:rPr>
            </w:pPr>
            <w:r>
              <w:rPr>
                <w:rFonts w:ascii="Arial" w:hAnsi="Arial" w:cs="Arial"/>
                <w:sz w:val="18"/>
                <w:szCs w:val="18"/>
              </w:rPr>
              <w:t>0</w:t>
            </w:r>
          </w:p>
        </w:tc>
      </w:tr>
      <w:tr w:rsidR="00A668D1" w:rsidRPr="002F31D1" w:rsidTr="00822DAF">
        <w:trPr>
          <w:trHeight w:val="251"/>
          <w:jc w:val="center"/>
        </w:trPr>
        <w:tc>
          <w:tcPr>
            <w:tcW w:w="0" w:type="auto"/>
            <w:shd w:val="clear" w:color="auto" w:fill="auto"/>
            <w:noWrap/>
            <w:vAlign w:val="bottom"/>
          </w:tcPr>
          <w:p w:rsidR="00A668D1" w:rsidRPr="002F31D1" w:rsidRDefault="00A668D1" w:rsidP="00822DAF">
            <w:pPr>
              <w:rPr>
                <w:rFonts w:ascii="Arial" w:hAnsi="Arial" w:cs="Arial"/>
                <w:sz w:val="18"/>
                <w:szCs w:val="18"/>
              </w:rPr>
            </w:pPr>
            <w:r w:rsidRPr="002F31D1">
              <w:rPr>
                <w:rFonts w:ascii="Arial" w:hAnsi="Arial" w:cs="Arial"/>
                <w:sz w:val="18"/>
                <w:szCs w:val="18"/>
              </w:rPr>
              <w:t xml:space="preserve">Deudores diversos por cobrar a Corto Plazo (Gastos a </w:t>
            </w:r>
            <w:r w:rsidR="007E4423" w:rsidRPr="002F31D1">
              <w:rPr>
                <w:rFonts w:ascii="Arial" w:hAnsi="Arial" w:cs="Arial"/>
                <w:sz w:val="18"/>
                <w:szCs w:val="18"/>
              </w:rPr>
              <w:t>Comprobar)</w:t>
            </w:r>
          </w:p>
        </w:tc>
        <w:tc>
          <w:tcPr>
            <w:tcW w:w="1418" w:type="dxa"/>
            <w:shd w:val="clear" w:color="auto" w:fill="auto"/>
            <w:noWrap/>
            <w:vAlign w:val="bottom"/>
          </w:tcPr>
          <w:p w:rsidR="00A668D1" w:rsidRPr="002F31D1" w:rsidRDefault="00754F68" w:rsidP="00BC2554">
            <w:pPr>
              <w:jc w:val="right"/>
              <w:rPr>
                <w:rFonts w:ascii="Arial" w:hAnsi="Arial" w:cs="Arial"/>
                <w:sz w:val="18"/>
                <w:szCs w:val="18"/>
              </w:rPr>
            </w:pPr>
            <w:r>
              <w:rPr>
                <w:rFonts w:ascii="Arial" w:hAnsi="Arial" w:cs="Arial"/>
                <w:sz w:val="18"/>
                <w:szCs w:val="18"/>
              </w:rPr>
              <w:t>47,113</w:t>
            </w:r>
          </w:p>
        </w:tc>
        <w:tc>
          <w:tcPr>
            <w:tcW w:w="1418" w:type="dxa"/>
            <w:shd w:val="clear" w:color="auto" w:fill="auto"/>
            <w:noWrap/>
            <w:vAlign w:val="bottom"/>
          </w:tcPr>
          <w:p w:rsidR="00A668D1" w:rsidRPr="002F31D1" w:rsidRDefault="00BA5BED" w:rsidP="00822DAF">
            <w:pPr>
              <w:jc w:val="right"/>
              <w:rPr>
                <w:rFonts w:ascii="Arial" w:hAnsi="Arial" w:cs="Arial"/>
                <w:sz w:val="18"/>
                <w:szCs w:val="18"/>
              </w:rPr>
            </w:pPr>
            <w:r>
              <w:rPr>
                <w:rFonts w:ascii="Arial" w:hAnsi="Arial" w:cs="Arial"/>
                <w:sz w:val="18"/>
                <w:szCs w:val="18"/>
              </w:rPr>
              <w:t>29,960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Préstamos otorgados a Corto Plazo (Préstamos Personales)</w:t>
            </w:r>
          </w:p>
        </w:tc>
        <w:tc>
          <w:tcPr>
            <w:tcW w:w="1418" w:type="dxa"/>
            <w:shd w:val="clear" w:color="auto" w:fill="auto"/>
            <w:noWrap/>
            <w:vAlign w:val="bottom"/>
            <w:hideMark/>
          </w:tcPr>
          <w:p w:rsidR="00A668D1" w:rsidRPr="002F31D1" w:rsidRDefault="00754F68" w:rsidP="00BC2554">
            <w:pPr>
              <w:jc w:val="right"/>
              <w:rPr>
                <w:rFonts w:ascii="Arial" w:hAnsi="Arial" w:cs="Arial"/>
                <w:sz w:val="18"/>
                <w:szCs w:val="18"/>
              </w:rPr>
            </w:pPr>
            <w:r>
              <w:rPr>
                <w:rFonts w:ascii="Arial" w:hAnsi="Arial" w:cs="Arial"/>
                <w:sz w:val="18"/>
                <w:szCs w:val="18"/>
              </w:rPr>
              <w:t>39,700</w:t>
            </w:r>
          </w:p>
        </w:tc>
        <w:tc>
          <w:tcPr>
            <w:tcW w:w="1418" w:type="dxa"/>
            <w:shd w:val="clear" w:color="auto" w:fill="auto"/>
            <w:noWrap/>
            <w:vAlign w:val="bottom"/>
            <w:hideMark/>
          </w:tcPr>
          <w:p w:rsidR="00A668D1" w:rsidRPr="002F31D1" w:rsidRDefault="00C50E63" w:rsidP="00822DAF">
            <w:pPr>
              <w:jc w:val="right"/>
              <w:rPr>
                <w:rFonts w:ascii="Arial" w:hAnsi="Arial" w:cs="Arial"/>
                <w:sz w:val="18"/>
                <w:szCs w:val="18"/>
              </w:rPr>
            </w:pPr>
            <w:r>
              <w:rPr>
                <w:rFonts w:ascii="Arial" w:hAnsi="Arial" w:cs="Arial"/>
                <w:sz w:val="18"/>
                <w:szCs w:val="18"/>
              </w:rPr>
              <w:t>0</w:t>
            </w:r>
          </w:p>
        </w:tc>
      </w:tr>
      <w:tr w:rsidR="008F0D3D" w:rsidRPr="008F0D3D"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sz w:val="18"/>
                <w:szCs w:val="18"/>
              </w:rPr>
            </w:pPr>
            <w:r w:rsidRPr="002F31D1">
              <w:rPr>
                <w:rFonts w:ascii="Arial" w:hAnsi="Arial" w:cs="Arial"/>
                <w:sz w:val="18"/>
                <w:szCs w:val="18"/>
              </w:rPr>
              <w:t>Otros derechos a recibir efectivo o equivalentes a Cort</w:t>
            </w:r>
            <w:r>
              <w:rPr>
                <w:rFonts w:ascii="Arial" w:hAnsi="Arial" w:cs="Arial"/>
                <w:sz w:val="18"/>
                <w:szCs w:val="18"/>
              </w:rPr>
              <w:t>o Plazo (Subsidio al empleo</w:t>
            </w:r>
            <w:r w:rsidRPr="002F31D1">
              <w:rPr>
                <w:rFonts w:ascii="Arial" w:hAnsi="Arial" w:cs="Arial"/>
                <w:sz w:val="18"/>
                <w:szCs w:val="18"/>
              </w:rPr>
              <w:t>)</w:t>
            </w:r>
          </w:p>
        </w:tc>
        <w:tc>
          <w:tcPr>
            <w:tcW w:w="1418" w:type="dxa"/>
            <w:shd w:val="clear" w:color="auto" w:fill="auto"/>
            <w:noWrap/>
            <w:vAlign w:val="bottom"/>
            <w:hideMark/>
          </w:tcPr>
          <w:p w:rsidR="00A668D1" w:rsidRPr="002F31D1" w:rsidRDefault="00800EAD" w:rsidP="00800EAD">
            <w:pPr>
              <w:jc w:val="center"/>
              <w:rPr>
                <w:rFonts w:ascii="Arial" w:hAnsi="Arial" w:cs="Arial"/>
                <w:sz w:val="18"/>
                <w:szCs w:val="18"/>
              </w:rPr>
            </w:pPr>
            <w:r>
              <w:rPr>
                <w:rFonts w:ascii="Arial" w:hAnsi="Arial" w:cs="Arial"/>
                <w:sz w:val="18"/>
                <w:szCs w:val="18"/>
              </w:rPr>
              <w:t xml:space="preserve">        </w:t>
            </w:r>
            <w:r w:rsidR="000D0A95">
              <w:rPr>
                <w:rFonts w:ascii="Arial" w:hAnsi="Arial" w:cs="Arial"/>
                <w:sz w:val="18"/>
                <w:szCs w:val="18"/>
              </w:rPr>
              <w:t xml:space="preserve">    </w:t>
            </w:r>
            <w:r w:rsidR="00754F68">
              <w:rPr>
                <w:rFonts w:ascii="Arial" w:hAnsi="Arial" w:cs="Arial"/>
                <w:sz w:val="18"/>
                <w:szCs w:val="18"/>
              </w:rPr>
              <w:t xml:space="preserve">       253</w:t>
            </w:r>
            <w:r w:rsidR="000D0A95">
              <w:rPr>
                <w:rFonts w:ascii="Arial" w:hAnsi="Arial" w:cs="Arial"/>
                <w:sz w:val="18"/>
                <w:szCs w:val="18"/>
              </w:rPr>
              <w:t xml:space="preserve">           </w:t>
            </w:r>
            <w:r w:rsidR="00754F68">
              <w:rPr>
                <w:rFonts w:ascii="Arial" w:hAnsi="Arial" w:cs="Arial"/>
                <w:sz w:val="18"/>
                <w:szCs w:val="18"/>
              </w:rPr>
              <w:t xml:space="preserve">  </w:t>
            </w:r>
            <w:r>
              <w:rPr>
                <w:rFonts w:ascii="Arial" w:hAnsi="Arial" w:cs="Arial"/>
                <w:sz w:val="18"/>
                <w:szCs w:val="18"/>
              </w:rPr>
              <w:t xml:space="preserve">           </w:t>
            </w:r>
          </w:p>
        </w:tc>
        <w:tc>
          <w:tcPr>
            <w:tcW w:w="1418" w:type="dxa"/>
            <w:shd w:val="clear" w:color="auto" w:fill="auto"/>
            <w:noWrap/>
            <w:vAlign w:val="bottom"/>
            <w:hideMark/>
          </w:tcPr>
          <w:p w:rsidR="00A668D1" w:rsidRPr="008F0D3D" w:rsidRDefault="008F0D3D" w:rsidP="00822DAF">
            <w:pPr>
              <w:jc w:val="right"/>
              <w:rPr>
                <w:rFonts w:ascii="Arial" w:hAnsi="Arial" w:cs="Arial"/>
                <w:color w:val="000000" w:themeColor="text1"/>
                <w:sz w:val="18"/>
                <w:szCs w:val="18"/>
              </w:rPr>
            </w:pPr>
            <w:r w:rsidRPr="008F0D3D">
              <w:rPr>
                <w:rFonts w:ascii="Arial" w:hAnsi="Arial" w:cs="Arial"/>
                <w:color w:val="000000" w:themeColor="text1"/>
                <w:sz w:val="18"/>
                <w:szCs w:val="18"/>
              </w:rPr>
              <w:t>0</w:t>
            </w:r>
          </w:p>
        </w:tc>
      </w:tr>
      <w:tr w:rsidR="00A668D1" w:rsidRPr="002F31D1" w:rsidTr="00822DAF">
        <w:trPr>
          <w:trHeight w:val="251"/>
          <w:jc w:val="center"/>
        </w:trPr>
        <w:tc>
          <w:tcPr>
            <w:tcW w:w="0" w:type="auto"/>
            <w:shd w:val="clear" w:color="auto" w:fill="auto"/>
            <w:noWrap/>
            <w:vAlign w:val="bottom"/>
            <w:hideMark/>
          </w:tcPr>
          <w:p w:rsidR="00A668D1" w:rsidRPr="002F31D1" w:rsidRDefault="00A668D1" w:rsidP="00822DAF">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rsidR="00A668D1" w:rsidRPr="002F31D1" w:rsidRDefault="00754F68" w:rsidP="00800EAD">
            <w:pPr>
              <w:ind w:left="708"/>
              <w:jc w:val="center"/>
              <w:rPr>
                <w:rFonts w:ascii="Arial" w:hAnsi="Arial" w:cs="Arial"/>
                <w:b/>
                <w:bCs/>
                <w:sz w:val="18"/>
                <w:szCs w:val="18"/>
                <w:u w:val="double"/>
              </w:rPr>
            </w:pPr>
            <w:r>
              <w:rPr>
                <w:rFonts w:ascii="Arial" w:hAnsi="Arial" w:cs="Arial"/>
                <w:b/>
                <w:bCs/>
                <w:sz w:val="18"/>
                <w:szCs w:val="18"/>
                <w:u w:val="double"/>
              </w:rPr>
              <w:t>87,066</w:t>
            </w:r>
          </w:p>
        </w:tc>
        <w:tc>
          <w:tcPr>
            <w:tcW w:w="1418" w:type="dxa"/>
            <w:shd w:val="clear" w:color="auto" w:fill="auto"/>
            <w:noWrap/>
            <w:vAlign w:val="bottom"/>
            <w:hideMark/>
          </w:tcPr>
          <w:p w:rsidR="00A668D1" w:rsidRPr="002F31D1" w:rsidRDefault="00BA5BED" w:rsidP="002F2FD7">
            <w:pPr>
              <w:jc w:val="right"/>
              <w:rPr>
                <w:rFonts w:ascii="Arial" w:hAnsi="Arial" w:cs="Arial"/>
                <w:b/>
                <w:bCs/>
                <w:sz w:val="18"/>
                <w:szCs w:val="18"/>
                <w:u w:val="double"/>
              </w:rPr>
            </w:pPr>
            <w:r>
              <w:rPr>
                <w:rFonts w:ascii="Arial" w:hAnsi="Arial" w:cs="Arial"/>
                <w:b/>
                <w:bCs/>
                <w:sz w:val="18"/>
                <w:szCs w:val="18"/>
                <w:u w:val="double"/>
              </w:rPr>
              <w:t>29,960</w:t>
            </w:r>
          </w:p>
        </w:tc>
      </w:tr>
    </w:tbl>
    <w:p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6C5B47" w:rsidRDefault="00A668D1" w:rsidP="00A668D1">
      <w:pPr>
        <w:autoSpaceDE w:val="0"/>
        <w:autoSpaceDN w:val="0"/>
        <w:adjustRightInd w:val="0"/>
        <w:spacing w:before="80" w:after="0"/>
        <w:jc w:val="both"/>
        <w:rPr>
          <w:rFonts w:ascii="Arial" w:hAnsi="Arial" w:cs="Arial"/>
          <w:sz w:val="18"/>
          <w:szCs w:val="18"/>
        </w:rPr>
      </w:pPr>
    </w:p>
    <w:p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lastRenderedPageBreak/>
        <w:t>Bienes Muebles e Inmuebles:</w:t>
      </w:r>
    </w:p>
    <w:p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83" w:type="dxa"/>
        <w:jc w:val="center"/>
        <w:tblCellMar>
          <w:left w:w="70" w:type="dxa"/>
          <w:right w:w="70" w:type="dxa"/>
        </w:tblCellMar>
        <w:tblLook w:val="04A0" w:firstRow="1" w:lastRow="0" w:firstColumn="1" w:lastColumn="0" w:noHBand="0" w:noVBand="1"/>
      </w:tblPr>
      <w:tblGrid>
        <w:gridCol w:w="3882"/>
        <w:gridCol w:w="1626"/>
        <w:gridCol w:w="1275"/>
      </w:tblGrid>
      <w:tr w:rsidR="00A668D1" w:rsidRPr="002F31D1" w:rsidTr="00F62B26">
        <w:trPr>
          <w:trHeight w:val="102"/>
          <w:jc w:val="center"/>
        </w:trPr>
        <w:tc>
          <w:tcPr>
            <w:tcW w:w="3882" w:type="dxa"/>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C00000"/>
            <w:noWrap/>
            <w:vAlign w:val="center"/>
            <w:hideMark/>
          </w:tcPr>
          <w:p w:rsidR="00A668D1" w:rsidRPr="002F31D1" w:rsidRDefault="00A668D1" w:rsidP="00E83AE6">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shd w:val="clear" w:color="auto" w:fill="C00000"/>
            <w:vAlign w:val="center"/>
            <w:hideMark/>
          </w:tcPr>
          <w:p w:rsidR="00A668D1" w:rsidRPr="002F31D1" w:rsidRDefault="00A668D1" w:rsidP="002F2FD7">
            <w:pP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AB47E6" w:rsidRPr="002F31D1" w:rsidRDefault="00754F68" w:rsidP="00AB47E6">
            <w:pPr>
              <w:jc w:val="right"/>
              <w:rPr>
                <w:rFonts w:ascii="Arial" w:hAnsi="Arial" w:cs="Arial"/>
                <w:color w:val="000000"/>
                <w:sz w:val="18"/>
                <w:szCs w:val="18"/>
              </w:rPr>
            </w:pPr>
            <w:r>
              <w:rPr>
                <w:rFonts w:ascii="Arial" w:hAnsi="Arial" w:cs="Arial"/>
                <w:color w:val="000000"/>
                <w:sz w:val="18"/>
                <w:szCs w:val="18"/>
              </w:rPr>
              <w:t>1,371,549</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1,344,579</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36,023</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36,023</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5,900</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5,900</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2,164,698</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2,164,698</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AB47E6" w:rsidRPr="002F31D1" w:rsidRDefault="00461E34" w:rsidP="00AB47E6">
            <w:pPr>
              <w:jc w:val="right"/>
              <w:rPr>
                <w:rFonts w:ascii="Arial" w:hAnsi="Arial" w:cs="Arial"/>
                <w:color w:val="000000"/>
                <w:sz w:val="18"/>
                <w:szCs w:val="18"/>
              </w:rPr>
            </w:pPr>
            <w:r>
              <w:rPr>
                <w:rFonts w:ascii="Arial" w:hAnsi="Arial" w:cs="Arial"/>
                <w:color w:val="000000"/>
                <w:sz w:val="18"/>
                <w:szCs w:val="18"/>
              </w:rPr>
              <w:t>45,622</w:t>
            </w:r>
          </w:p>
        </w:tc>
        <w:tc>
          <w:tcPr>
            <w:tcW w:w="0" w:type="auto"/>
            <w:shd w:val="clear" w:color="auto" w:fill="auto"/>
            <w:noWrap/>
            <w:vAlign w:val="bottom"/>
          </w:tcPr>
          <w:p w:rsidR="00AB47E6" w:rsidRPr="002F31D1" w:rsidRDefault="00AB47E6" w:rsidP="00AB47E6">
            <w:pPr>
              <w:jc w:val="right"/>
              <w:rPr>
                <w:rFonts w:ascii="Arial" w:hAnsi="Arial" w:cs="Arial"/>
                <w:color w:val="000000"/>
                <w:sz w:val="18"/>
                <w:szCs w:val="18"/>
              </w:rPr>
            </w:pPr>
            <w:r>
              <w:rPr>
                <w:rFonts w:ascii="Arial" w:hAnsi="Arial" w:cs="Arial"/>
                <w:color w:val="000000"/>
                <w:sz w:val="18"/>
                <w:szCs w:val="18"/>
              </w:rPr>
              <w:t>45,622</w:t>
            </w:r>
          </w:p>
        </w:tc>
      </w:tr>
      <w:tr w:rsidR="00AB47E6" w:rsidRPr="002F31D1" w:rsidTr="00822DAF">
        <w:trPr>
          <w:trHeight w:val="102"/>
          <w:jc w:val="center"/>
        </w:trPr>
        <w:tc>
          <w:tcPr>
            <w:tcW w:w="3882"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w:t>
            </w:r>
            <w:r w:rsidR="00461E34">
              <w:rPr>
                <w:rFonts w:ascii="Arial" w:hAnsi="Arial" w:cs="Arial"/>
                <w:b/>
                <w:bCs/>
                <w:sz w:val="18"/>
                <w:szCs w:val="18"/>
                <w:u w:val="double"/>
              </w:rPr>
              <w:t>3,623,792</w:t>
            </w:r>
          </w:p>
        </w:tc>
        <w:tc>
          <w:tcPr>
            <w:tcW w:w="0" w:type="auto"/>
            <w:shd w:val="clear" w:color="auto" w:fill="auto"/>
            <w:noWrap/>
            <w:vAlign w:val="center"/>
            <w:hideMark/>
          </w:tcPr>
          <w:p w:rsidR="00AB47E6" w:rsidRPr="002F31D1" w:rsidRDefault="00AB47E6" w:rsidP="00AB47E6">
            <w:pPr>
              <w:jc w:val="right"/>
              <w:rPr>
                <w:rFonts w:ascii="Arial" w:hAnsi="Arial" w:cs="Arial"/>
                <w:b/>
                <w:bCs/>
                <w:sz w:val="18"/>
                <w:szCs w:val="18"/>
                <w:u w:val="double"/>
              </w:rPr>
            </w:pPr>
            <w:r>
              <w:rPr>
                <w:rFonts w:ascii="Arial" w:hAnsi="Arial" w:cs="Arial"/>
                <w:b/>
                <w:bCs/>
                <w:sz w:val="18"/>
                <w:szCs w:val="18"/>
                <w:u w:val="double"/>
              </w:rPr>
              <w:t xml:space="preserve">  3,596,822</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t xml:space="preserve">Depreciación de los activos </w:t>
      </w:r>
    </w:p>
    <w:p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rsidTr="00F62B26">
        <w:trPr>
          <w:trHeight w:val="383"/>
          <w:jc w:val="center"/>
        </w:trPr>
        <w:tc>
          <w:tcPr>
            <w:tcW w:w="3710" w:type="dxa"/>
            <w:shd w:val="clear" w:color="auto" w:fill="C00000"/>
            <w:noWrap/>
            <w:vAlign w:val="center"/>
            <w:hideMark/>
          </w:tcPr>
          <w:p w:rsidR="00822DAF" w:rsidRPr="002F31D1" w:rsidRDefault="00822DAF" w:rsidP="00822DAF">
            <w:pP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C00000"/>
          </w:tcPr>
          <w:p w:rsidR="00822DAF"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554" w:type="dxa"/>
            <w:shd w:val="clear" w:color="auto" w:fill="C00000"/>
            <w:noWrap/>
            <w:vAlign w:val="center"/>
            <w:hideMark/>
          </w:tcPr>
          <w:p w:rsidR="00822DAF" w:rsidRPr="002F31D1" w:rsidRDefault="00822DAF"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rsidR="00AB47E6" w:rsidRDefault="00AB47E6" w:rsidP="00AB47E6">
            <w:pPr>
              <w:jc w:val="right"/>
              <w:rPr>
                <w:rFonts w:ascii="Arial" w:hAnsi="Arial" w:cs="Arial"/>
                <w:color w:val="000000"/>
                <w:sz w:val="18"/>
                <w:szCs w:val="18"/>
              </w:rPr>
            </w:pPr>
            <w:r>
              <w:rPr>
                <w:rFonts w:ascii="Arial" w:hAnsi="Arial" w:cs="Arial"/>
                <w:color w:val="000000"/>
                <w:sz w:val="18"/>
                <w:szCs w:val="18"/>
              </w:rPr>
              <w:t>-</w:t>
            </w:r>
            <w:r w:rsidR="00461E34">
              <w:rPr>
                <w:rFonts w:ascii="Arial" w:hAnsi="Arial" w:cs="Arial"/>
                <w:color w:val="000000"/>
                <w:sz w:val="18"/>
                <w:szCs w:val="18"/>
              </w:rPr>
              <w:t>70,639</w:t>
            </w:r>
          </w:p>
        </w:tc>
        <w:tc>
          <w:tcPr>
            <w:tcW w:w="1554" w:type="dxa"/>
            <w:noWrap/>
            <w:hideMark/>
          </w:tcPr>
          <w:p w:rsidR="00AB47E6" w:rsidRDefault="00AB47E6" w:rsidP="00AB47E6">
            <w:pPr>
              <w:jc w:val="right"/>
              <w:rPr>
                <w:rFonts w:ascii="Arial" w:hAnsi="Arial" w:cs="Arial"/>
                <w:color w:val="000000"/>
                <w:sz w:val="18"/>
                <w:szCs w:val="18"/>
              </w:rPr>
            </w:pPr>
            <w:r>
              <w:rPr>
                <w:rFonts w:ascii="Arial" w:hAnsi="Arial" w:cs="Arial"/>
                <w:color w:val="000000"/>
                <w:sz w:val="18"/>
                <w:szCs w:val="18"/>
              </w:rPr>
              <w:t>-70,639</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color w:val="000000"/>
                <w:sz w:val="18"/>
                <w:szCs w:val="18"/>
              </w:rPr>
            </w:pPr>
            <w:r>
              <w:rPr>
                <w:rFonts w:ascii="Arial" w:hAnsi="Arial" w:cs="Arial"/>
                <w:color w:val="000000"/>
                <w:sz w:val="18"/>
                <w:szCs w:val="18"/>
              </w:rPr>
              <w:t>Equipo de transporte</w:t>
            </w:r>
          </w:p>
        </w:tc>
        <w:tc>
          <w:tcPr>
            <w:tcW w:w="1554" w:type="dxa"/>
          </w:tcPr>
          <w:p w:rsidR="00AB47E6" w:rsidRPr="00A92A1C" w:rsidRDefault="00461E34"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c>
          <w:tcPr>
            <w:tcW w:w="1554" w:type="dxa"/>
            <w:noWrap/>
            <w:hideMark/>
          </w:tcPr>
          <w:p w:rsidR="00AB47E6" w:rsidRPr="00A92A1C" w:rsidRDefault="00AB47E6" w:rsidP="00AB47E6">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AB47E6" w:rsidRPr="002F31D1" w:rsidTr="001E2791">
        <w:trPr>
          <w:trHeight w:val="100"/>
          <w:jc w:val="center"/>
        </w:trPr>
        <w:tc>
          <w:tcPr>
            <w:tcW w:w="3710" w:type="dxa"/>
            <w:shd w:val="clear" w:color="auto" w:fill="auto"/>
            <w:noWrap/>
            <w:vAlign w:val="bottom"/>
            <w:hideMark/>
          </w:tcPr>
          <w:p w:rsidR="00AB47E6" w:rsidRPr="002F31D1" w:rsidRDefault="00AB47E6" w:rsidP="00AB47E6">
            <w:pPr>
              <w:rPr>
                <w:rFonts w:ascii="Arial" w:hAnsi="Arial" w:cs="Arial"/>
                <w:sz w:val="18"/>
                <w:szCs w:val="18"/>
              </w:rPr>
            </w:pPr>
            <w:r w:rsidRPr="002F31D1">
              <w:rPr>
                <w:rFonts w:ascii="Arial" w:hAnsi="Arial" w:cs="Arial"/>
                <w:b/>
                <w:sz w:val="18"/>
                <w:szCs w:val="18"/>
              </w:rPr>
              <w:t>Total</w:t>
            </w:r>
          </w:p>
        </w:tc>
        <w:tc>
          <w:tcPr>
            <w:tcW w:w="1554" w:type="dxa"/>
          </w:tcPr>
          <w:p w:rsidR="00AB47E6" w:rsidRDefault="00461E34" w:rsidP="00AB47E6">
            <w:pPr>
              <w:jc w:val="right"/>
              <w:rPr>
                <w:rFonts w:ascii="Arial" w:hAnsi="Arial" w:cs="Arial"/>
                <w:b/>
                <w:bCs/>
                <w:sz w:val="18"/>
                <w:szCs w:val="18"/>
                <w:u w:val="double"/>
              </w:rPr>
            </w:pPr>
            <w:r>
              <w:rPr>
                <w:rFonts w:ascii="Arial" w:hAnsi="Arial" w:cs="Arial"/>
                <w:b/>
                <w:bCs/>
                <w:sz w:val="18"/>
                <w:szCs w:val="18"/>
                <w:u w:val="double"/>
              </w:rPr>
              <w:t>-422,739</w:t>
            </w:r>
          </w:p>
        </w:tc>
        <w:tc>
          <w:tcPr>
            <w:tcW w:w="1554" w:type="dxa"/>
            <w:noWrap/>
            <w:hideMark/>
          </w:tcPr>
          <w:p w:rsidR="00AB47E6" w:rsidRDefault="00AB47E6" w:rsidP="00AB47E6">
            <w:pPr>
              <w:jc w:val="right"/>
              <w:rPr>
                <w:rFonts w:ascii="Arial" w:hAnsi="Arial" w:cs="Arial"/>
                <w:b/>
                <w:bCs/>
                <w:sz w:val="18"/>
                <w:szCs w:val="18"/>
                <w:u w:val="double"/>
              </w:rPr>
            </w:pPr>
            <w:r>
              <w:rPr>
                <w:rFonts w:ascii="Arial" w:hAnsi="Arial" w:cs="Arial"/>
                <w:b/>
                <w:bCs/>
                <w:sz w:val="18"/>
                <w:szCs w:val="18"/>
                <w:u w:val="double"/>
              </w:rPr>
              <w:t>-422,739</w:t>
            </w:r>
          </w:p>
        </w:tc>
      </w:tr>
    </w:tbl>
    <w:p w:rsidR="00A668D1" w:rsidRDefault="00A668D1" w:rsidP="00A668D1">
      <w:pPr>
        <w:autoSpaceDE w:val="0"/>
        <w:autoSpaceDN w:val="0"/>
        <w:adjustRightInd w:val="0"/>
        <w:spacing w:before="80"/>
        <w:jc w:val="both"/>
        <w:rPr>
          <w:rFonts w:ascii="Arial" w:hAnsi="Arial" w:cs="Arial"/>
          <w:b/>
          <w:sz w:val="18"/>
          <w:szCs w:val="18"/>
        </w:rPr>
      </w:pPr>
    </w:p>
    <w:p w:rsidR="00A668D1" w:rsidRDefault="00A668D1" w:rsidP="00A668D1">
      <w:pPr>
        <w:autoSpaceDE w:val="0"/>
        <w:autoSpaceDN w:val="0"/>
        <w:adjustRightInd w:val="0"/>
        <w:spacing w:before="80"/>
        <w:ind w:left="426"/>
        <w:jc w:val="both"/>
        <w:rPr>
          <w:rFonts w:ascii="Arial" w:hAnsi="Arial" w:cs="Arial"/>
          <w:b/>
          <w:sz w:val="18"/>
          <w:szCs w:val="18"/>
        </w:rPr>
      </w:pPr>
      <w:r>
        <w:rPr>
          <w:rFonts w:ascii="Arial" w:hAnsi="Arial" w:cs="Arial"/>
          <w:b/>
          <w:sz w:val="18"/>
          <w:szCs w:val="18"/>
        </w:rPr>
        <w:tab/>
      </w:r>
    </w:p>
    <w:p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 y 2019</w:t>
      </w:r>
      <w:r w:rsidR="00E82E12">
        <w:rPr>
          <w:rFonts w:ascii="Arial" w:hAnsi="Arial" w:cs="Arial"/>
          <w:sz w:val="18"/>
          <w:szCs w:val="18"/>
        </w:rPr>
        <w:t xml:space="preserve"> no se han realizado las depreciaciones.</w:t>
      </w:r>
    </w:p>
    <w:p w:rsidR="00A668D1" w:rsidRDefault="00A668D1" w:rsidP="00A668D1">
      <w:pPr>
        <w:pStyle w:val="Prrafodelista"/>
        <w:autoSpaceDE w:val="0"/>
        <w:autoSpaceDN w:val="0"/>
        <w:adjustRightInd w:val="0"/>
        <w:spacing w:before="80"/>
        <w:jc w:val="both"/>
        <w:rPr>
          <w:rFonts w:ascii="Arial" w:hAnsi="Arial" w:cs="Arial"/>
          <w:sz w:val="18"/>
          <w:szCs w:val="18"/>
        </w:rPr>
      </w:pPr>
    </w:p>
    <w:p w:rsidR="00A668D1" w:rsidRDefault="00A668D1" w:rsidP="00A668D1">
      <w:pPr>
        <w:autoSpaceDE w:val="0"/>
        <w:autoSpaceDN w:val="0"/>
        <w:adjustRightInd w:val="0"/>
        <w:spacing w:before="80"/>
        <w:jc w:val="both"/>
        <w:rPr>
          <w:rFonts w:ascii="Arial" w:hAnsi="Arial" w:cs="Arial"/>
          <w:b/>
          <w:sz w:val="18"/>
          <w:szCs w:val="18"/>
        </w:rPr>
      </w:pPr>
    </w:p>
    <w:p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rsidTr="00F62B26">
        <w:trPr>
          <w:trHeight w:val="199"/>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418" w:type="dxa"/>
            <w:shd w:val="clear" w:color="auto" w:fill="C00000"/>
            <w:vAlign w:val="center"/>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668D1" w:rsidRPr="002F31D1" w:rsidTr="00822DAF">
        <w:trPr>
          <w:trHeight w:val="199"/>
          <w:jc w:val="center"/>
        </w:trPr>
        <w:tc>
          <w:tcPr>
            <w:tcW w:w="0" w:type="auto"/>
            <w:shd w:val="clear" w:color="auto" w:fill="auto"/>
            <w:noWrap/>
            <w:vAlign w:val="center"/>
            <w:hideMark/>
          </w:tcPr>
          <w:p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rsidTr="00822DAF">
        <w:trPr>
          <w:trHeight w:val="235"/>
          <w:jc w:val="center"/>
        </w:trPr>
        <w:tc>
          <w:tcPr>
            <w:tcW w:w="0" w:type="auto"/>
            <w:shd w:val="clear" w:color="auto" w:fill="auto"/>
            <w:noWrap/>
            <w:vAlign w:val="bottom"/>
            <w:hideMark/>
          </w:tcPr>
          <w:p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rsidR="00A668D1" w:rsidRPr="006C3DDB" w:rsidRDefault="00A668D1" w:rsidP="00A668D1">
      <w:pPr>
        <w:autoSpaceDE w:val="0"/>
        <w:autoSpaceDN w:val="0"/>
        <w:adjustRightInd w:val="0"/>
        <w:spacing w:before="80" w:after="0"/>
        <w:jc w:val="both"/>
        <w:rPr>
          <w:rFonts w:ascii="Arial" w:hAnsi="Arial" w:cs="Arial"/>
          <w:sz w:val="18"/>
          <w:szCs w:val="18"/>
        </w:rPr>
      </w:pPr>
    </w:p>
    <w:p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rsidTr="00F62B26">
        <w:trPr>
          <w:trHeight w:val="312"/>
          <w:jc w:val="center"/>
        </w:trPr>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9</w:t>
            </w:r>
          </w:p>
        </w:tc>
        <w:tc>
          <w:tcPr>
            <w:tcW w:w="1418" w:type="dxa"/>
            <w:shd w:val="clear" w:color="auto" w:fill="C00000"/>
            <w:noWrap/>
            <w:vAlign w:val="center"/>
            <w:hideMark/>
          </w:tcPr>
          <w:p w:rsidR="00A668D1" w:rsidRPr="002F31D1" w:rsidRDefault="00A668D1" w:rsidP="005917DB">
            <w:pPr>
              <w:jc w:val="center"/>
              <w:rPr>
                <w:rFonts w:ascii="Arial" w:hAnsi="Arial" w:cs="Arial"/>
                <w:b/>
                <w:bCs/>
                <w:color w:val="FFFFFF"/>
                <w:sz w:val="18"/>
                <w:szCs w:val="18"/>
              </w:rPr>
            </w:pPr>
            <w:r>
              <w:rPr>
                <w:rFonts w:ascii="Arial" w:hAnsi="Arial" w:cs="Arial"/>
                <w:b/>
                <w:bCs/>
                <w:color w:val="FFFFFF"/>
                <w:sz w:val="18"/>
                <w:szCs w:val="18"/>
              </w:rPr>
              <w:t>201</w:t>
            </w:r>
            <w:r w:rsidR="00461E34">
              <w:rPr>
                <w:rFonts w:ascii="Arial" w:hAnsi="Arial" w:cs="Arial"/>
                <w:b/>
                <w:bCs/>
                <w:color w:val="FFFFFF"/>
                <w:sz w:val="18"/>
                <w:szCs w:val="18"/>
              </w:rPr>
              <w:t>8</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461E34">
              <w:rPr>
                <w:rFonts w:ascii="Arial" w:hAnsi="Arial" w:cs="Arial"/>
                <w:sz w:val="18"/>
                <w:szCs w:val="18"/>
              </w:rPr>
              <w:t>145,354</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 xml:space="preserve">  471,562</w:t>
            </w:r>
          </w:p>
        </w:tc>
      </w:tr>
      <w:tr w:rsidR="00215D25" w:rsidRPr="00215D25" w:rsidTr="00822DAF">
        <w:trPr>
          <w:trHeight w:val="312"/>
          <w:jc w:val="center"/>
        </w:trPr>
        <w:tc>
          <w:tcPr>
            <w:tcW w:w="0" w:type="auto"/>
            <w:shd w:val="clear" w:color="000000" w:fill="FFFFFF"/>
            <w:noWrap/>
            <w:vAlign w:val="bottom"/>
          </w:tcPr>
          <w:p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2,809</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rsidR="00AB47E6" w:rsidRPr="002F31D1" w:rsidRDefault="00461E34" w:rsidP="00AB47E6">
            <w:pPr>
              <w:jc w:val="right"/>
              <w:rPr>
                <w:rFonts w:ascii="Arial" w:hAnsi="Arial" w:cs="Arial"/>
                <w:sz w:val="18"/>
                <w:szCs w:val="18"/>
              </w:rPr>
            </w:pPr>
            <w:r>
              <w:rPr>
                <w:rFonts w:ascii="Arial" w:hAnsi="Arial" w:cs="Arial"/>
                <w:sz w:val="18"/>
                <w:szCs w:val="18"/>
              </w:rPr>
              <w:t>906</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903</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rsidR="00AB47E6" w:rsidRDefault="00AB47E6"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215D25" w:rsidRPr="00215D25" w:rsidTr="00822DAF">
        <w:trPr>
          <w:trHeight w:val="312"/>
          <w:jc w:val="center"/>
        </w:trPr>
        <w:tc>
          <w:tcPr>
            <w:tcW w:w="0" w:type="auto"/>
            <w:shd w:val="clear" w:color="000000" w:fill="FFFFFF"/>
            <w:noWrap/>
            <w:vAlign w:val="bottom"/>
            <w:hideMark/>
          </w:tcPr>
          <w:p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rsidR="00AB47E6" w:rsidRPr="002F31D1" w:rsidRDefault="00461E34" w:rsidP="00AB47E6">
            <w:pPr>
              <w:jc w:val="right"/>
              <w:rPr>
                <w:rFonts w:ascii="Arial" w:hAnsi="Arial" w:cs="Arial"/>
                <w:sz w:val="18"/>
                <w:szCs w:val="18"/>
              </w:rPr>
            </w:pPr>
            <w:r>
              <w:rPr>
                <w:rFonts w:ascii="Arial" w:hAnsi="Arial" w:cs="Arial"/>
                <w:sz w:val="18"/>
                <w:szCs w:val="18"/>
              </w:rPr>
              <w:t>36,026</w:t>
            </w:r>
          </w:p>
        </w:tc>
        <w:tc>
          <w:tcPr>
            <w:tcW w:w="1418" w:type="dxa"/>
            <w:shd w:val="clear" w:color="000000" w:fill="FFFFFF"/>
            <w:noWrap/>
            <w:vAlign w:val="center"/>
          </w:tcPr>
          <w:p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89,658</w:t>
            </w:r>
          </w:p>
        </w:tc>
      </w:tr>
      <w:tr w:rsidR="00215D25" w:rsidRPr="00215D25" w:rsidTr="00822DAF">
        <w:trPr>
          <w:trHeight w:val="312"/>
          <w:jc w:val="center"/>
        </w:trPr>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rsidR="00AB47E6" w:rsidRPr="008B1EB7" w:rsidRDefault="00461E34" w:rsidP="00AB47E6">
            <w:pPr>
              <w:jc w:val="right"/>
              <w:rPr>
                <w:rFonts w:ascii="Arial" w:hAnsi="Arial" w:cs="Arial"/>
                <w:b/>
                <w:bCs/>
                <w:sz w:val="18"/>
                <w:szCs w:val="18"/>
                <w:u w:val="double"/>
              </w:rPr>
            </w:pPr>
            <w:r>
              <w:rPr>
                <w:rFonts w:ascii="Arial" w:hAnsi="Arial" w:cs="Arial"/>
                <w:b/>
                <w:bCs/>
                <w:sz w:val="18"/>
                <w:szCs w:val="18"/>
                <w:u w:val="double"/>
              </w:rPr>
              <w:t>182,286</w:t>
            </w:r>
          </w:p>
        </w:tc>
        <w:tc>
          <w:tcPr>
            <w:tcW w:w="1418" w:type="dxa"/>
            <w:shd w:val="clear" w:color="000000" w:fill="FFFFFF"/>
            <w:noWrap/>
            <w:hideMark/>
          </w:tcPr>
          <w:p w:rsidR="00AB47E6" w:rsidRPr="00215D25" w:rsidRDefault="005609D8" w:rsidP="00AB47E6">
            <w:pPr>
              <w:jc w:val="right"/>
              <w:rPr>
                <w:rFonts w:ascii="Arial" w:hAnsi="Arial" w:cs="Arial"/>
                <w:b/>
                <w:bCs/>
                <w:color w:val="000000" w:themeColor="text1"/>
                <w:sz w:val="18"/>
                <w:szCs w:val="18"/>
                <w:u w:val="double"/>
              </w:rPr>
            </w:pPr>
            <w:r w:rsidRPr="00215D25">
              <w:rPr>
                <w:rFonts w:ascii="Arial" w:hAnsi="Arial" w:cs="Arial"/>
                <w:b/>
                <w:bCs/>
                <w:color w:val="000000" w:themeColor="text1"/>
                <w:sz w:val="18"/>
                <w:szCs w:val="18"/>
                <w:u w:val="double"/>
              </w:rPr>
              <w:t>568,132</w:t>
            </w:r>
          </w:p>
        </w:tc>
      </w:tr>
    </w:tbl>
    <w:p w:rsidR="00A668D1" w:rsidRDefault="00A668D1"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B2428A" w:rsidRDefault="00B2428A" w:rsidP="00A668D1">
      <w:pPr>
        <w:autoSpaceDE w:val="0"/>
        <w:autoSpaceDN w:val="0"/>
        <w:adjustRightInd w:val="0"/>
        <w:spacing w:before="80"/>
        <w:jc w:val="both"/>
        <w:rPr>
          <w:rFonts w:ascii="Arial" w:hAnsi="Arial" w:cs="Arial"/>
          <w:color w:val="000000"/>
          <w:sz w:val="18"/>
          <w:szCs w:val="18"/>
        </w:rPr>
      </w:pPr>
    </w:p>
    <w:p w:rsidR="00095904" w:rsidRDefault="00095904" w:rsidP="00A668D1">
      <w:pPr>
        <w:autoSpaceDE w:val="0"/>
        <w:autoSpaceDN w:val="0"/>
        <w:adjustRightInd w:val="0"/>
        <w:spacing w:before="80"/>
        <w:jc w:val="both"/>
        <w:rPr>
          <w:rFonts w:ascii="Arial" w:hAnsi="Arial" w:cs="Arial"/>
          <w:color w:val="000000"/>
          <w:sz w:val="18"/>
          <w:szCs w:val="18"/>
        </w:rPr>
      </w:pPr>
    </w:p>
    <w:p w:rsidR="00F62B26" w:rsidRDefault="00F62B26" w:rsidP="00A668D1">
      <w:pPr>
        <w:autoSpaceDE w:val="0"/>
        <w:autoSpaceDN w:val="0"/>
        <w:adjustRightInd w:val="0"/>
        <w:spacing w:before="80"/>
        <w:jc w:val="both"/>
        <w:rPr>
          <w:rFonts w:ascii="Arial" w:hAnsi="Arial" w:cs="Arial"/>
          <w:color w:val="000000"/>
          <w:sz w:val="18"/>
          <w:szCs w:val="18"/>
        </w:rPr>
      </w:pPr>
    </w:p>
    <w:p w:rsidR="00A668D1" w:rsidRPr="002F31D1" w:rsidRDefault="00A668D1" w:rsidP="00A668D1">
      <w:pPr>
        <w:autoSpaceDE w:val="0"/>
        <w:autoSpaceDN w:val="0"/>
        <w:adjustRightInd w:val="0"/>
        <w:spacing w:before="80"/>
        <w:jc w:val="both"/>
        <w:rPr>
          <w:rFonts w:ascii="Arial" w:hAnsi="Arial" w:cs="Arial"/>
          <w:color w:val="000000"/>
          <w:sz w:val="18"/>
          <w:szCs w:val="18"/>
        </w:rPr>
      </w:pPr>
    </w:p>
    <w:p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Notas al Estado de Actividades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rsidTr="002B4DD8">
        <w:trPr>
          <w:trHeight w:val="526"/>
        </w:trPr>
        <w:tc>
          <w:tcPr>
            <w:tcW w:w="7376"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C00000"/>
            <w:noWrap/>
            <w:vAlign w:val="center"/>
            <w:hideMark/>
          </w:tcPr>
          <w:p w:rsidR="00A668D1" w:rsidRPr="002F31D1" w:rsidRDefault="00A668D1" w:rsidP="00160E1E">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2128" w:type="dxa"/>
            <w:tcBorders>
              <w:top w:val="nil"/>
              <w:left w:val="nil"/>
              <w:bottom w:val="nil"/>
              <w:right w:val="nil"/>
            </w:tcBorders>
            <w:shd w:val="clear" w:color="auto" w:fill="C00000"/>
            <w:vAlign w:val="center"/>
            <w:hideMark/>
          </w:tcPr>
          <w:p w:rsidR="00A668D1" w:rsidRPr="002F31D1" w:rsidRDefault="00A668D1" w:rsidP="0034464C">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AB47E6" w:rsidRPr="002F31D1" w:rsidRDefault="006C7CD7" w:rsidP="00AB47E6">
            <w:pPr>
              <w:jc w:val="center"/>
              <w:rPr>
                <w:rFonts w:ascii="Arial" w:hAnsi="Arial" w:cs="Arial"/>
                <w:color w:val="000000"/>
                <w:sz w:val="18"/>
                <w:szCs w:val="18"/>
              </w:rPr>
            </w:pPr>
            <w:r>
              <w:rPr>
                <w:rFonts w:ascii="Arial" w:hAnsi="Arial" w:cs="Arial"/>
                <w:color w:val="000000"/>
                <w:sz w:val="18"/>
                <w:szCs w:val="18"/>
              </w:rPr>
              <w:t>7,041,271</w:t>
            </w:r>
          </w:p>
        </w:tc>
        <w:tc>
          <w:tcPr>
            <w:tcW w:w="2128" w:type="dxa"/>
            <w:tcBorders>
              <w:top w:val="nil"/>
              <w:left w:val="nil"/>
              <w:bottom w:val="nil"/>
              <w:right w:val="nil"/>
            </w:tcBorders>
            <w:shd w:val="clear" w:color="000000" w:fill="FFFFFF"/>
            <w:noWrap/>
            <w:vAlign w:val="center"/>
            <w:hideMark/>
          </w:tcPr>
          <w:p w:rsidR="00AB47E6" w:rsidRPr="002F31D1" w:rsidRDefault="00AB47E6" w:rsidP="00AB47E6">
            <w:pPr>
              <w:jc w:val="center"/>
              <w:rPr>
                <w:rFonts w:ascii="Arial" w:hAnsi="Arial" w:cs="Arial"/>
                <w:color w:val="000000"/>
                <w:sz w:val="18"/>
                <w:szCs w:val="18"/>
              </w:rPr>
            </w:pPr>
            <w:r>
              <w:rPr>
                <w:rFonts w:ascii="Arial" w:hAnsi="Arial" w:cs="Arial"/>
                <w:color w:val="000000"/>
                <w:sz w:val="18"/>
                <w:szCs w:val="18"/>
              </w:rPr>
              <w:t>24,421,289</w:t>
            </w:r>
          </w:p>
        </w:tc>
      </w:tr>
      <w:tr w:rsidR="00AB47E6" w:rsidRPr="002F31D1" w:rsidTr="00822DAF">
        <w:trPr>
          <w:trHeight w:val="255"/>
        </w:trPr>
        <w:tc>
          <w:tcPr>
            <w:tcW w:w="7376" w:type="dxa"/>
            <w:tcBorders>
              <w:top w:val="nil"/>
              <w:left w:val="nil"/>
              <w:bottom w:val="nil"/>
              <w:right w:val="nil"/>
            </w:tcBorders>
            <w:shd w:val="clear" w:color="000000" w:fill="FFFFFF"/>
            <w:noWrap/>
            <w:vAlign w:val="center"/>
            <w:hideMark/>
          </w:tcPr>
          <w:p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AB47E6" w:rsidRPr="00EA6951" w:rsidRDefault="006C7CD7" w:rsidP="00AB47E6">
            <w:pPr>
              <w:jc w:val="center"/>
              <w:rPr>
                <w:rFonts w:ascii="Arial" w:hAnsi="Arial" w:cs="Arial"/>
                <w:b/>
                <w:color w:val="000000"/>
                <w:sz w:val="18"/>
                <w:szCs w:val="18"/>
                <w:u w:val="double"/>
              </w:rPr>
            </w:pPr>
            <w:r>
              <w:rPr>
                <w:rFonts w:ascii="Arial" w:hAnsi="Arial" w:cs="Arial"/>
                <w:b/>
                <w:color w:val="000000"/>
                <w:sz w:val="18"/>
                <w:szCs w:val="18"/>
                <w:u w:val="double"/>
              </w:rPr>
              <w:t>7,041,271</w:t>
            </w:r>
          </w:p>
        </w:tc>
        <w:tc>
          <w:tcPr>
            <w:tcW w:w="2128" w:type="dxa"/>
            <w:tcBorders>
              <w:top w:val="nil"/>
              <w:left w:val="nil"/>
              <w:bottom w:val="nil"/>
              <w:right w:val="nil"/>
            </w:tcBorders>
            <w:shd w:val="clear" w:color="000000" w:fill="FFFFFF"/>
            <w:noWrap/>
            <w:vAlign w:val="center"/>
            <w:hideMark/>
          </w:tcPr>
          <w:p w:rsidR="00AB47E6" w:rsidRPr="00EA6951" w:rsidRDefault="00AB47E6" w:rsidP="00AB47E6">
            <w:pPr>
              <w:jc w:val="center"/>
              <w:rPr>
                <w:rFonts w:ascii="Arial" w:hAnsi="Arial" w:cs="Arial"/>
                <w:b/>
                <w:color w:val="000000"/>
                <w:sz w:val="18"/>
                <w:szCs w:val="18"/>
                <w:u w:val="double"/>
              </w:rPr>
            </w:pPr>
            <w:r>
              <w:rPr>
                <w:rFonts w:ascii="Arial" w:hAnsi="Arial" w:cs="Arial"/>
                <w:b/>
                <w:color w:val="000000"/>
                <w:sz w:val="18"/>
                <w:szCs w:val="18"/>
                <w:u w:val="double"/>
              </w:rPr>
              <w:t>24,421,289</w:t>
            </w:r>
          </w:p>
        </w:tc>
      </w:tr>
    </w:tbl>
    <w:p w:rsidR="00A668D1" w:rsidRDefault="00A668D1" w:rsidP="00A668D1">
      <w:pPr>
        <w:autoSpaceDE w:val="0"/>
        <w:autoSpaceDN w:val="0"/>
        <w:adjustRightInd w:val="0"/>
        <w:spacing w:before="80"/>
        <w:jc w:val="both"/>
        <w:rPr>
          <w:rFonts w:ascii="Arial" w:hAnsi="Arial" w:cs="Arial"/>
          <w:sz w:val="18"/>
          <w:szCs w:val="18"/>
        </w:rPr>
      </w:pPr>
    </w:p>
    <w:p w:rsidR="00A668D1" w:rsidRPr="00AF6A66" w:rsidRDefault="00A668D1" w:rsidP="00A668D1">
      <w:pPr>
        <w:autoSpaceDE w:val="0"/>
        <w:autoSpaceDN w:val="0"/>
        <w:adjustRightInd w:val="0"/>
        <w:spacing w:before="80"/>
        <w:jc w:val="both"/>
        <w:rPr>
          <w:rFonts w:ascii="Arial" w:hAnsi="Arial" w:cs="Arial"/>
          <w:sz w:val="18"/>
          <w:szCs w:val="18"/>
        </w:rPr>
      </w:pPr>
    </w:p>
    <w:p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3553"/>
        <w:gridCol w:w="1091"/>
        <w:gridCol w:w="951"/>
        <w:gridCol w:w="1191"/>
        <w:gridCol w:w="1700"/>
        <w:gridCol w:w="210"/>
      </w:tblGrid>
      <w:tr w:rsidR="00A668D1" w:rsidRPr="002F31D1" w:rsidTr="008F0D3D">
        <w:trPr>
          <w:gridAfter w:val="1"/>
          <w:wAfter w:w="210" w:type="dxa"/>
          <w:trHeight w:val="255"/>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C00000"/>
            <w:noWrap/>
            <w:vAlign w:val="center"/>
            <w:hideMark/>
          </w:tcPr>
          <w:p w:rsidR="00A668D1" w:rsidRPr="002F31D1" w:rsidRDefault="00A668D1" w:rsidP="00404B94">
            <w:pPr>
              <w:jc w:val="center"/>
              <w:rPr>
                <w:rFonts w:ascii="Arial" w:hAnsi="Arial" w:cs="Arial"/>
                <w:b/>
                <w:bCs/>
                <w:color w:val="FFFFFF"/>
                <w:sz w:val="18"/>
                <w:szCs w:val="18"/>
              </w:rPr>
            </w:pPr>
            <w:r w:rsidRPr="002F31D1">
              <w:rPr>
                <w:rFonts w:ascii="Arial" w:hAnsi="Arial" w:cs="Arial"/>
                <w:b/>
                <w:bCs/>
                <w:color w:val="FFFFFF"/>
                <w:sz w:val="18"/>
                <w:szCs w:val="18"/>
              </w:rPr>
              <w:t>201</w:t>
            </w:r>
            <w:r w:rsidR="00AB47E6">
              <w:rPr>
                <w:rFonts w:ascii="Arial" w:hAnsi="Arial" w:cs="Arial"/>
                <w:b/>
                <w:bCs/>
                <w:color w:val="FFFFFF"/>
                <w:sz w:val="18"/>
                <w:szCs w:val="18"/>
              </w:rPr>
              <w:t>8</w:t>
            </w:r>
          </w:p>
        </w:tc>
        <w:tc>
          <w:tcPr>
            <w:tcW w:w="1700" w:type="dxa"/>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rsidR="00AB47E6" w:rsidRPr="002F31D1" w:rsidRDefault="006C7CD7" w:rsidP="00AB47E6">
            <w:pPr>
              <w:jc w:val="right"/>
              <w:rPr>
                <w:rFonts w:ascii="Arial" w:hAnsi="Arial" w:cs="Arial"/>
                <w:sz w:val="18"/>
                <w:szCs w:val="18"/>
              </w:rPr>
            </w:pPr>
            <w:r>
              <w:rPr>
                <w:rFonts w:ascii="Arial" w:hAnsi="Arial" w:cs="Arial"/>
                <w:sz w:val="18"/>
                <w:szCs w:val="18"/>
              </w:rPr>
              <w:t>4,261,621</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83.65</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18,938,000</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77.6%</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rsidR="00AB47E6" w:rsidRPr="002F31D1" w:rsidRDefault="006C7CD7" w:rsidP="00AB47E6">
            <w:pPr>
              <w:jc w:val="right"/>
              <w:rPr>
                <w:rFonts w:ascii="Arial" w:hAnsi="Arial" w:cs="Arial"/>
                <w:sz w:val="18"/>
                <w:szCs w:val="18"/>
              </w:rPr>
            </w:pPr>
            <w:r>
              <w:rPr>
                <w:rFonts w:ascii="Arial" w:hAnsi="Arial" w:cs="Arial"/>
                <w:sz w:val="18"/>
                <w:szCs w:val="18"/>
              </w:rPr>
              <w:t>246,593</w:t>
            </w:r>
          </w:p>
        </w:tc>
        <w:tc>
          <w:tcPr>
            <w:tcW w:w="0" w:type="auto"/>
            <w:tcBorders>
              <w:top w:val="nil"/>
              <w:left w:val="nil"/>
              <w:bottom w:val="nil"/>
              <w:right w:val="nil"/>
            </w:tcBorders>
            <w:shd w:val="clear" w:color="auto" w:fill="auto"/>
            <w:noWrap/>
            <w:vAlign w:val="center"/>
          </w:tcPr>
          <w:p w:rsidR="00AB47E6" w:rsidRPr="002F31D1" w:rsidRDefault="00F25236" w:rsidP="00AB47E6">
            <w:pPr>
              <w:jc w:val="center"/>
              <w:rPr>
                <w:rFonts w:ascii="Arial" w:hAnsi="Arial" w:cs="Arial"/>
                <w:sz w:val="18"/>
                <w:szCs w:val="18"/>
              </w:rPr>
            </w:pPr>
            <w:r>
              <w:rPr>
                <w:rFonts w:ascii="Arial" w:hAnsi="Arial" w:cs="Arial"/>
                <w:sz w:val="18"/>
                <w:szCs w:val="18"/>
              </w:rPr>
              <w:t xml:space="preserve">     4.84</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1,650,299</w:t>
            </w:r>
          </w:p>
        </w:tc>
        <w:tc>
          <w:tcPr>
            <w:tcW w:w="1910" w:type="dxa"/>
            <w:gridSpan w:val="2"/>
            <w:tcBorders>
              <w:top w:val="nil"/>
              <w:left w:val="nil"/>
              <w:bottom w:val="nil"/>
              <w:right w:val="nil"/>
            </w:tcBorders>
            <w:shd w:val="clear" w:color="auto" w:fill="auto"/>
            <w:noWrap/>
            <w:vAlign w:val="center"/>
            <w:hideMark/>
          </w:tcPr>
          <w:p w:rsidR="00AB47E6" w:rsidRPr="002F31D1" w:rsidRDefault="004F3657" w:rsidP="00AB47E6">
            <w:pPr>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6.76%</w:t>
            </w:r>
          </w:p>
        </w:tc>
      </w:tr>
      <w:tr w:rsidR="00AB47E6" w:rsidRPr="002F31D1" w:rsidTr="00E43F88">
        <w:trPr>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rsidR="00AB47E6" w:rsidRPr="002F31D1" w:rsidRDefault="006C7CD7" w:rsidP="00AB47E6">
            <w:pPr>
              <w:jc w:val="right"/>
              <w:rPr>
                <w:rFonts w:ascii="Arial" w:hAnsi="Arial" w:cs="Arial"/>
                <w:sz w:val="18"/>
                <w:szCs w:val="18"/>
              </w:rPr>
            </w:pPr>
            <w:r>
              <w:rPr>
                <w:rFonts w:ascii="Arial" w:hAnsi="Arial" w:cs="Arial"/>
                <w:sz w:val="18"/>
                <w:szCs w:val="18"/>
              </w:rPr>
              <w:t>559,676</w:t>
            </w:r>
          </w:p>
        </w:tc>
        <w:tc>
          <w:tcPr>
            <w:tcW w:w="0" w:type="auto"/>
            <w:tcBorders>
              <w:top w:val="nil"/>
              <w:left w:val="nil"/>
              <w:bottom w:val="nil"/>
              <w:right w:val="nil"/>
            </w:tcBorders>
            <w:shd w:val="clear" w:color="auto" w:fill="auto"/>
            <w:noWrap/>
            <w:vAlign w:val="center"/>
          </w:tcPr>
          <w:p w:rsidR="00AB47E6" w:rsidRPr="002F31D1" w:rsidRDefault="00F25236" w:rsidP="00AB47E6">
            <w:pPr>
              <w:jc w:val="right"/>
              <w:rPr>
                <w:rFonts w:ascii="Arial" w:hAnsi="Arial" w:cs="Arial"/>
                <w:sz w:val="18"/>
                <w:szCs w:val="18"/>
              </w:rPr>
            </w:pPr>
            <w:r>
              <w:rPr>
                <w:rFonts w:ascii="Arial" w:hAnsi="Arial" w:cs="Arial"/>
                <w:sz w:val="18"/>
                <w:szCs w:val="18"/>
              </w:rPr>
              <w:t>10.99</w:t>
            </w:r>
            <w:r w:rsidR="00AB47E6">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Pr="002F31D1" w:rsidRDefault="00AB47E6" w:rsidP="00AB47E6">
            <w:pPr>
              <w:jc w:val="right"/>
              <w:rPr>
                <w:rFonts w:ascii="Arial" w:hAnsi="Arial" w:cs="Arial"/>
                <w:sz w:val="18"/>
                <w:szCs w:val="18"/>
              </w:rPr>
            </w:pPr>
            <w:r>
              <w:rPr>
                <w:rFonts w:ascii="Arial" w:hAnsi="Arial" w:cs="Arial"/>
                <w:sz w:val="18"/>
                <w:szCs w:val="18"/>
              </w:rPr>
              <w:t>3,476,048</w:t>
            </w:r>
          </w:p>
        </w:tc>
        <w:tc>
          <w:tcPr>
            <w:tcW w:w="1910" w:type="dxa"/>
            <w:gridSpan w:val="2"/>
            <w:tcBorders>
              <w:top w:val="nil"/>
              <w:left w:val="nil"/>
              <w:bottom w:val="nil"/>
              <w:right w:val="nil"/>
            </w:tcBorders>
            <w:shd w:val="clear" w:color="auto" w:fill="auto"/>
            <w:noWrap/>
            <w:vAlign w:val="center"/>
            <w:hideMark/>
          </w:tcPr>
          <w:p w:rsidR="00AB47E6" w:rsidRPr="002F31D1" w:rsidRDefault="00AB47E6" w:rsidP="00AB47E6">
            <w:pPr>
              <w:jc w:val="center"/>
              <w:rPr>
                <w:rFonts w:ascii="Arial" w:hAnsi="Arial" w:cs="Arial"/>
                <w:sz w:val="18"/>
                <w:szCs w:val="18"/>
              </w:rPr>
            </w:pPr>
            <w:r>
              <w:rPr>
                <w:rFonts w:ascii="Arial" w:hAnsi="Arial" w:cs="Arial"/>
                <w:sz w:val="18"/>
                <w:szCs w:val="18"/>
              </w:rPr>
              <w:t>14.25%</w:t>
            </w:r>
          </w:p>
        </w:tc>
      </w:tr>
      <w:tr w:rsidR="00AB47E6" w:rsidRPr="002F31D1" w:rsidTr="00E43F88">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rPr>
                <w:rFonts w:ascii="Arial" w:hAnsi="Arial" w:cs="Arial"/>
                <w:sz w:val="18"/>
                <w:szCs w:val="18"/>
              </w:rPr>
            </w:pPr>
            <w:r>
              <w:rPr>
                <w:rFonts w:ascii="Arial" w:hAnsi="Arial" w:cs="Arial"/>
                <w:sz w:val="18"/>
                <w:szCs w:val="18"/>
              </w:rPr>
              <w:t xml:space="preserve">   Bienes muebles, inmuebles e intangibles</w:t>
            </w:r>
          </w:p>
        </w:tc>
        <w:tc>
          <w:tcPr>
            <w:tcW w:w="0" w:type="auto"/>
            <w:tcBorders>
              <w:top w:val="nil"/>
              <w:left w:val="nil"/>
              <w:bottom w:val="nil"/>
              <w:right w:val="nil"/>
            </w:tcBorders>
            <w:shd w:val="clear" w:color="auto" w:fill="auto"/>
            <w:noWrap/>
            <w:vAlign w:val="center"/>
          </w:tcPr>
          <w:p w:rsidR="00AB47E6" w:rsidRDefault="006C7CD7" w:rsidP="00AB47E6">
            <w:pPr>
              <w:jc w:val="right"/>
              <w:rPr>
                <w:rFonts w:ascii="Arial" w:hAnsi="Arial" w:cs="Arial"/>
                <w:sz w:val="18"/>
                <w:szCs w:val="18"/>
              </w:rPr>
            </w:pPr>
            <w:r>
              <w:rPr>
                <w:rFonts w:ascii="Arial" w:hAnsi="Arial" w:cs="Arial"/>
                <w:sz w:val="18"/>
                <w:szCs w:val="18"/>
              </w:rPr>
              <w:t>26,970</w:t>
            </w:r>
          </w:p>
        </w:tc>
        <w:tc>
          <w:tcPr>
            <w:tcW w:w="0" w:type="auto"/>
            <w:tcBorders>
              <w:top w:val="nil"/>
              <w:left w:val="nil"/>
              <w:bottom w:val="nil"/>
              <w:right w:val="nil"/>
            </w:tcBorders>
            <w:shd w:val="clear" w:color="auto" w:fill="auto"/>
            <w:noWrap/>
            <w:vAlign w:val="center"/>
          </w:tcPr>
          <w:p w:rsidR="00AB47E6" w:rsidRDefault="00AB47E6" w:rsidP="00AB47E6">
            <w:pPr>
              <w:rPr>
                <w:rFonts w:ascii="Arial" w:hAnsi="Arial" w:cs="Arial"/>
                <w:sz w:val="18"/>
                <w:szCs w:val="18"/>
              </w:rPr>
            </w:pPr>
            <w:r>
              <w:rPr>
                <w:rFonts w:ascii="Arial" w:hAnsi="Arial" w:cs="Arial"/>
                <w:sz w:val="18"/>
                <w:szCs w:val="18"/>
              </w:rPr>
              <w:t xml:space="preserve"> </w:t>
            </w:r>
            <w:r w:rsidR="00F25236">
              <w:rPr>
                <w:rFonts w:ascii="Arial" w:hAnsi="Arial" w:cs="Arial"/>
                <w:sz w:val="18"/>
                <w:szCs w:val="18"/>
              </w:rPr>
              <w:t xml:space="preserve">     </w:t>
            </w:r>
            <w:r>
              <w:rPr>
                <w:rFonts w:ascii="Arial" w:hAnsi="Arial" w:cs="Arial"/>
                <w:sz w:val="18"/>
                <w:szCs w:val="18"/>
              </w:rPr>
              <w:t>0</w:t>
            </w:r>
            <w:r w:rsidR="00F25236">
              <w:rPr>
                <w:rFonts w:ascii="Arial" w:hAnsi="Arial" w:cs="Arial"/>
                <w:sz w:val="18"/>
                <w:szCs w:val="18"/>
              </w:rPr>
              <w:t>.53</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AB47E6" w:rsidRDefault="00AB47E6" w:rsidP="00AB47E6">
            <w:pPr>
              <w:jc w:val="right"/>
              <w:rPr>
                <w:rFonts w:ascii="Arial" w:hAnsi="Arial" w:cs="Arial"/>
                <w:sz w:val="18"/>
                <w:szCs w:val="18"/>
              </w:rPr>
            </w:pPr>
            <w:r>
              <w:rPr>
                <w:rFonts w:ascii="Arial" w:hAnsi="Arial" w:cs="Arial"/>
                <w:sz w:val="18"/>
                <w:szCs w:val="18"/>
              </w:rPr>
              <w:t>322,657</w:t>
            </w:r>
          </w:p>
        </w:tc>
        <w:tc>
          <w:tcPr>
            <w:tcW w:w="1700" w:type="dxa"/>
            <w:tcBorders>
              <w:top w:val="nil"/>
              <w:left w:val="nil"/>
              <w:bottom w:val="nil"/>
              <w:right w:val="nil"/>
            </w:tcBorders>
            <w:shd w:val="clear" w:color="auto" w:fill="auto"/>
            <w:noWrap/>
            <w:vAlign w:val="center"/>
            <w:hideMark/>
          </w:tcPr>
          <w:p w:rsidR="00AB47E6" w:rsidRDefault="004F3657" w:rsidP="00AB47E6">
            <w:pPr>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1.39%</w:t>
            </w:r>
          </w:p>
        </w:tc>
      </w:tr>
      <w:tr w:rsidR="00AB47E6"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w:t>
            </w:r>
            <w:r w:rsidR="006C7CD7">
              <w:rPr>
                <w:rFonts w:ascii="Arial" w:hAnsi="Arial" w:cs="Arial"/>
                <w:b/>
                <w:bCs/>
                <w:sz w:val="18"/>
                <w:szCs w:val="18"/>
                <w:u w:val="double"/>
              </w:rPr>
              <w:t>5,094,860</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b/>
                <w:bCs/>
                <w:sz w:val="18"/>
                <w:szCs w:val="18"/>
              </w:rPr>
            </w:pPr>
            <w:r>
              <w:rPr>
                <w:rFonts w:ascii="Arial" w:hAnsi="Arial" w:cs="Arial"/>
                <w:b/>
                <w:bCs/>
                <w:sz w:val="18"/>
                <w:szCs w:val="18"/>
              </w:rPr>
              <w:t xml:space="preserve">  </w:t>
            </w:r>
            <w:r w:rsidR="00F25236">
              <w:rPr>
                <w:rFonts w:ascii="Arial" w:hAnsi="Arial" w:cs="Arial"/>
                <w:b/>
                <w:bCs/>
                <w:sz w:val="18"/>
                <w:szCs w:val="18"/>
              </w:rPr>
              <w:t>100.0</w:t>
            </w:r>
            <w:r>
              <w:rPr>
                <w:rFonts w:ascii="Arial" w:hAnsi="Arial" w:cs="Arial"/>
                <w:b/>
                <w:bCs/>
                <w:sz w:val="18"/>
                <w:szCs w:val="18"/>
              </w:rPr>
              <w:t>0%</w:t>
            </w:r>
          </w:p>
        </w:tc>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24,387,004</w:t>
            </w:r>
          </w:p>
        </w:tc>
        <w:tc>
          <w:tcPr>
            <w:tcW w:w="1700" w:type="dxa"/>
            <w:tcBorders>
              <w:top w:val="nil"/>
              <w:left w:val="nil"/>
              <w:bottom w:val="nil"/>
              <w:right w:val="nil"/>
            </w:tcBorders>
            <w:shd w:val="clear" w:color="auto" w:fill="auto"/>
            <w:noWrap/>
            <w:vAlign w:val="center"/>
            <w:hideMark/>
          </w:tcPr>
          <w:p w:rsidR="00AB47E6" w:rsidRPr="002F31D1" w:rsidRDefault="004F3657" w:rsidP="00AB47E6">
            <w:pPr>
              <w:spacing w:before="80"/>
              <w:jc w:val="center"/>
              <w:rPr>
                <w:rFonts w:ascii="Arial" w:hAnsi="Arial" w:cs="Arial"/>
                <w:b/>
                <w:bCs/>
                <w:sz w:val="18"/>
                <w:szCs w:val="18"/>
              </w:rPr>
            </w:pPr>
            <w:r>
              <w:rPr>
                <w:rFonts w:ascii="Arial" w:hAnsi="Arial" w:cs="Arial"/>
                <w:b/>
                <w:bCs/>
                <w:sz w:val="18"/>
                <w:szCs w:val="18"/>
              </w:rPr>
              <w:t xml:space="preserve">  </w:t>
            </w:r>
            <w:r w:rsidR="00AB47E6">
              <w:rPr>
                <w:rFonts w:ascii="Arial" w:hAnsi="Arial" w:cs="Arial"/>
                <w:b/>
                <w:bCs/>
                <w:sz w:val="18"/>
                <w:szCs w:val="18"/>
              </w:rPr>
              <w:t>100</w:t>
            </w:r>
            <w:r>
              <w:rPr>
                <w:rFonts w:ascii="Arial" w:hAnsi="Arial" w:cs="Arial"/>
                <w:b/>
                <w:bCs/>
                <w:sz w:val="18"/>
                <w:szCs w:val="18"/>
              </w:rPr>
              <w:t>.00</w:t>
            </w:r>
            <w:r w:rsidR="00AB47E6">
              <w:rPr>
                <w:rFonts w:ascii="Arial" w:hAnsi="Arial" w:cs="Arial"/>
                <w:b/>
                <w:bCs/>
                <w:sz w:val="18"/>
                <w:szCs w:val="18"/>
              </w:rPr>
              <w:t>%</w:t>
            </w:r>
          </w:p>
        </w:tc>
      </w:tr>
      <w:tr w:rsidR="008F0D3D" w:rsidRPr="002F31D1"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rsidR="008F0D3D" w:rsidRPr="002F31D1" w:rsidRDefault="008F0D3D" w:rsidP="008F0D3D">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rsidR="008F0D3D" w:rsidRDefault="008F0D3D" w:rsidP="008F0D3D">
            <w:pPr>
              <w:spacing w:before="80"/>
              <w:jc w:val="both"/>
              <w:rPr>
                <w:rFonts w:ascii="Arial" w:hAnsi="Arial" w:cs="Arial"/>
                <w:b/>
                <w:bCs/>
                <w:sz w:val="18"/>
                <w:szCs w:val="18"/>
              </w:rPr>
            </w:pPr>
          </w:p>
        </w:tc>
      </w:tr>
    </w:tbl>
    <w:p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AB47E6">
        <w:rPr>
          <w:rFonts w:ascii="Arial" w:hAnsi="Arial" w:cs="Arial"/>
          <w:sz w:val="18"/>
          <w:szCs w:val="18"/>
        </w:rPr>
        <w:t>primer</w:t>
      </w:r>
      <w:r w:rsidR="00160E1E">
        <w:rPr>
          <w:rFonts w:ascii="Arial" w:hAnsi="Arial" w:cs="Arial"/>
          <w:sz w:val="18"/>
          <w:szCs w:val="18"/>
        </w:rPr>
        <w:t xml:space="preserve"> trimestre</w:t>
      </w:r>
      <w:r>
        <w:rPr>
          <w:rFonts w:ascii="Arial" w:hAnsi="Arial" w:cs="Arial"/>
          <w:sz w:val="18"/>
          <w:szCs w:val="18"/>
        </w:rPr>
        <w:t xml:space="preserve"> 201</w:t>
      </w:r>
      <w:r w:rsidR="00AB47E6">
        <w:rPr>
          <w:rFonts w:ascii="Arial" w:hAnsi="Arial" w:cs="Arial"/>
          <w:sz w:val="18"/>
          <w:szCs w:val="18"/>
        </w:rPr>
        <w:t>9</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83.65</w:t>
      </w:r>
      <w:r w:rsidR="001B4C3B" w:rsidRPr="00AB47E6">
        <w:rPr>
          <w:rFonts w:ascii="Arial" w:hAnsi="Arial" w:cs="Arial"/>
          <w:color w:val="FF0000"/>
          <w:sz w:val="18"/>
          <w:szCs w:val="18"/>
        </w:rPr>
        <w:t xml:space="preserve"> </w:t>
      </w:r>
      <w:r w:rsidRPr="00433B5F">
        <w:rPr>
          <w:rFonts w:ascii="Arial" w:hAnsi="Arial" w:cs="Arial"/>
          <w:color w:val="000000" w:themeColor="text1"/>
          <w:sz w:val="18"/>
          <w:szCs w:val="18"/>
        </w:rPr>
        <w:t>%</w:t>
      </w:r>
      <w:r w:rsidR="00730959">
        <w:rPr>
          <w:rFonts w:ascii="Arial" w:hAnsi="Arial" w:cs="Arial"/>
          <w:color w:val="000000" w:themeColor="text1"/>
          <w:sz w:val="18"/>
          <w:szCs w:val="18"/>
        </w:rPr>
        <w:t xml:space="preserve"> del 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rsidR="00A668D1" w:rsidRDefault="00A668D1"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E74F66" w:rsidRDefault="00E74F66"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095904" w:rsidRDefault="00095904" w:rsidP="00A668D1">
      <w:pPr>
        <w:autoSpaceDE w:val="0"/>
        <w:autoSpaceDN w:val="0"/>
        <w:adjustRightInd w:val="0"/>
        <w:spacing w:before="80"/>
        <w:jc w:val="both"/>
        <w:rPr>
          <w:rFonts w:ascii="Arial" w:hAnsi="Arial" w:cs="Arial"/>
          <w:sz w:val="18"/>
          <w:szCs w:val="18"/>
        </w:rPr>
      </w:pPr>
    </w:p>
    <w:p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201</w:t>
      </w:r>
      <w:r w:rsidR="00AB47E6">
        <w:rPr>
          <w:rFonts w:ascii="Arial" w:hAnsi="Arial" w:cs="Arial"/>
          <w:sz w:val="18"/>
          <w:szCs w:val="18"/>
        </w:rPr>
        <w:t>9</w:t>
      </w:r>
      <w:r>
        <w:rPr>
          <w:rFonts w:ascii="Arial" w:hAnsi="Arial" w:cs="Arial"/>
          <w:sz w:val="18"/>
          <w:szCs w:val="18"/>
        </w:rPr>
        <w:t xml:space="preserve"> </w:t>
      </w:r>
      <w:r w:rsidRPr="002F31D1">
        <w:rPr>
          <w:rFonts w:ascii="Arial" w:hAnsi="Arial" w:cs="Arial"/>
          <w:sz w:val="18"/>
          <w:szCs w:val="18"/>
        </w:rPr>
        <w:t xml:space="preserve">de esta Comisión son los siguientes: </w:t>
      </w:r>
    </w:p>
    <w:p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rsidTr="00F62B26">
        <w:trPr>
          <w:trHeight w:val="300"/>
          <w:jc w:val="center"/>
        </w:trPr>
        <w:tc>
          <w:tcPr>
            <w:tcW w:w="0" w:type="auto"/>
            <w:tcBorders>
              <w:top w:val="nil"/>
              <w:left w:val="nil"/>
              <w:bottom w:val="nil"/>
              <w:right w:val="nil"/>
            </w:tcBorders>
            <w:shd w:val="clear" w:color="auto" w:fill="C00000"/>
            <w:noWrap/>
            <w:vAlign w:val="center"/>
            <w:hideMark/>
          </w:tcPr>
          <w:p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C00000"/>
            <w:noWrap/>
            <w:vAlign w:val="center"/>
            <w:hideMark/>
          </w:tcPr>
          <w:p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Pr>
                <w:rFonts w:ascii="Arial" w:hAnsi="Arial" w:cs="Arial"/>
                <w:b/>
                <w:bCs/>
                <w:color w:val="FFFFFF"/>
                <w:sz w:val="18"/>
                <w:szCs w:val="18"/>
              </w:rPr>
              <w:t xml:space="preserve"> 201</w:t>
            </w:r>
            <w:r w:rsidR="00AB47E6">
              <w:rPr>
                <w:rFonts w:ascii="Arial" w:hAnsi="Arial" w:cs="Arial"/>
                <w:b/>
                <w:bCs/>
                <w:color w:val="FFFFFF"/>
                <w:sz w:val="18"/>
                <w:szCs w:val="18"/>
              </w:rPr>
              <w:t>9</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rsidR="00A668D1" w:rsidRPr="00771E65" w:rsidRDefault="0055221D" w:rsidP="0074627B">
            <w:pPr>
              <w:jc w:val="right"/>
              <w:rPr>
                <w:rFonts w:ascii="Arial" w:hAnsi="Arial" w:cs="Arial"/>
                <w:sz w:val="18"/>
                <w:szCs w:val="18"/>
              </w:rPr>
            </w:pPr>
            <w:r>
              <w:rPr>
                <w:rFonts w:ascii="Arial" w:hAnsi="Arial" w:cs="Arial"/>
                <w:sz w:val="18"/>
                <w:szCs w:val="18"/>
              </w:rPr>
              <w:t>3,295,165</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A668D1" w:rsidRPr="00771E65" w:rsidRDefault="00444366" w:rsidP="009E3806">
            <w:pPr>
              <w:jc w:val="right"/>
              <w:rPr>
                <w:rFonts w:ascii="Arial" w:hAnsi="Arial" w:cs="Arial"/>
                <w:sz w:val="18"/>
                <w:szCs w:val="18"/>
              </w:rPr>
            </w:pPr>
            <w:r w:rsidRPr="00771E65">
              <w:rPr>
                <w:rFonts w:ascii="Arial" w:hAnsi="Arial" w:cs="Arial"/>
                <w:sz w:val="18"/>
                <w:szCs w:val="18"/>
              </w:rPr>
              <w:t>356,941</w:t>
            </w:r>
          </w:p>
        </w:tc>
      </w:tr>
      <w:tr w:rsidR="00A668D1" w:rsidRPr="002F31D1" w:rsidTr="00822DAF">
        <w:trPr>
          <w:trHeight w:val="300"/>
          <w:jc w:val="center"/>
        </w:trPr>
        <w:tc>
          <w:tcPr>
            <w:tcW w:w="0" w:type="auto"/>
            <w:tcBorders>
              <w:top w:val="nil"/>
              <w:left w:val="nil"/>
              <w:bottom w:val="nil"/>
              <w:right w:val="nil"/>
            </w:tcBorders>
            <w:shd w:val="clear" w:color="auto" w:fill="auto"/>
            <w:noWrap/>
            <w:vAlign w:val="center"/>
            <w:hideMark/>
          </w:tcPr>
          <w:p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A668D1" w:rsidRPr="00771E65" w:rsidRDefault="00771E65" w:rsidP="00551984">
            <w:pPr>
              <w:jc w:val="right"/>
              <w:rPr>
                <w:rFonts w:ascii="Arial" w:hAnsi="Arial" w:cs="Arial"/>
                <w:sz w:val="18"/>
                <w:szCs w:val="18"/>
              </w:rPr>
            </w:pPr>
            <w:r>
              <w:rPr>
                <w:rFonts w:ascii="Arial" w:hAnsi="Arial" w:cs="Arial"/>
                <w:sz w:val="18"/>
                <w:szCs w:val="18"/>
              </w:rPr>
              <w:t>690,368</w:t>
            </w:r>
          </w:p>
        </w:tc>
      </w:tr>
      <w:tr w:rsidR="003123A1" w:rsidRPr="003123A1" w:rsidTr="00822DAF">
        <w:trPr>
          <w:trHeight w:val="300"/>
          <w:jc w:val="center"/>
        </w:trPr>
        <w:tc>
          <w:tcPr>
            <w:tcW w:w="0" w:type="auto"/>
            <w:tcBorders>
              <w:top w:val="nil"/>
              <w:left w:val="nil"/>
              <w:bottom w:val="nil"/>
              <w:right w:val="nil"/>
            </w:tcBorders>
            <w:shd w:val="clear" w:color="auto" w:fill="auto"/>
            <w:noWrap/>
            <w:vAlign w:val="center"/>
          </w:tcPr>
          <w:p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Saldo Neto en la Hacienda Pública /Patrimonio 201</w:t>
            </w:r>
            <w:r w:rsidR="003123A1">
              <w:rPr>
                <w:rFonts w:ascii="Arial" w:hAnsi="Arial" w:cs="Arial"/>
                <w:color w:val="000000"/>
                <w:sz w:val="18"/>
                <w:szCs w:val="18"/>
              </w:rPr>
              <w:t>9</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rsidR="00A668D1" w:rsidRPr="003123A1" w:rsidRDefault="0055221D"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4,342,474</w:t>
            </w:r>
          </w:p>
        </w:tc>
      </w:tr>
    </w:tbl>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6C5B47" w:rsidRDefault="00A668D1" w:rsidP="00A668D1">
      <w:pPr>
        <w:autoSpaceDE w:val="0"/>
        <w:autoSpaceDN w:val="0"/>
        <w:adjustRightInd w:val="0"/>
        <w:spacing w:before="80" w:after="0"/>
        <w:jc w:val="both"/>
        <w:rPr>
          <w:rFonts w:ascii="Arial" w:hAnsi="Arial" w:cs="Arial"/>
          <w:b/>
          <w:sz w:val="18"/>
          <w:szCs w:val="18"/>
        </w:rPr>
      </w:pPr>
    </w:p>
    <w:p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bookmarkStart w:id="4" w:name="_GoBack"/>
      <w:bookmarkEnd w:id="4"/>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rsidTr="00F62B26">
        <w:trPr>
          <w:trHeight w:val="330"/>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C00000"/>
            <w:noWrap/>
            <w:vAlign w:val="bottom"/>
            <w:hideMark/>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9</w:t>
            </w:r>
          </w:p>
        </w:tc>
        <w:tc>
          <w:tcPr>
            <w:tcW w:w="1174" w:type="dxa"/>
            <w:tcBorders>
              <w:top w:val="nil"/>
              <w:left w:val="nil"/>
              <w:bottom w:val="nil"/>
              <w:right w:val="nil"/>
            </w:tcBorders>
            <w:shd w:val="clear" w:color="auto" w:fill="C00000"/>
          </w:tcPr>
          <w:p w:rsidR="00A668D1" w:rsidRPr="002F31D1" w:rsidRDefault="00A668D1"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574263">
              <w:rPr>
                <w:rFonts w:ascii="Arial" w:hAnsi="Arial" w:cs="Arial"/>
                <w:b/>
                <w:bCs/>
                <w:color w:val="FFFFFF"/>
                <w:sz w:val="18"/>
                <w:szCs w:val="18"/>
              </w:rPr>
              <w:t>8</w:t>
            </w:r>
          </w:p>
        </w:tc>
      </w:tr>
      <w:tr w:rsidR="00AB47E6" w:rsidRPr="002F31D1" w:rsidTr="008722FD">
        <w:trPr>
          <w:trHeight w:val="330"/>
          <w:jc w:val="center"/>
        </w:trPr>
        <w:tc>
          <w:tcPr>
            <w:tcW w:w="0" w:type="auto"/>
            <w:tcBorders>
              <w:top w:val="nil"/>
              <w:left w:val="nil"/>
              <w:bottom w:val="nil"/>
              <w:right w:val="nil"/>
            </w:tcBorders>
            <w:shd w:val="clear" w:color="auto" w:fill="auto"/>
            <w:noWrap/>
            <w:vAlign w:val="center"/>
            <w:hideMark/>
          </w:tcPr>
          <w:p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rsidR="00AB47E6" w:rsidRPr="002F31D1" w:rsidRDefault="005609D8" w:rsidP="00AB47E6">
            <w:pPr>
              <w:spacing w:before="80"/>
              <w:jc w:val="right"/>
              <w:rPr>
                <w:rFonts w:ascii="Arial" w:hAnsi="Arial" w:cs="Arial"/>
                <w:sz w:val="18"/>
                <w:szCs w:val="18"/>
              </w:rPr>
            </w:pPr>
            <w:r>
              <w:rPr>
                <w:rFonts w:ascii="Arial" w:hAnsi="Arial" w:cs="Arial"/>
                <w:sz w:val="18"/>
                <w:szCs w:val="18"/>
              </w:rPr>
              <w:t>2,070,022</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sz w:val="18"/>
                <w:szCs w:val="18"/>
              </w:rPr>
            </w:pPr>
            <w:r>
              <w:rPr>
                <w:rFonts w:ascii="Arial" w:hAnsi="Arial" w:cs="Arial"/>
                <w:sz w:val="18"/>
                <w:szCs w:val="18"/>
              </w:rPr>
              <w:t>566,563</w:t>
            </w:r>
          </w:p>
        </w:tc>
      </w:tr>
      <w:tr w:rsidR="00AB47E6" w:rsidRPr="002F31D1" w:rsidTr="008722FD">
        <w:trPr>
          <w:trHeight w:val="330"/>
          <w:jc w:val="center"/>
        </w:trPr>
        <w:tc>
          <w:tcPr>
            <w:tcW w:w="0" w:type="auto"/>
            <w:tcBorders>
              <w:top w:val="nil"/>
              <w:left w:val="nil"/>
              <w:bottom w:val="nil"/>
              <w:right w:val="nil"/>
            </w:tcBorders>
            <w:shd w:val="clear" w:color="auto" w:fill="auto"/>
            <w:noWrap/>
            <w:vAlign w:val="bottom"/>
          </w:tcPr>
          <w:p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rsidR="00AB47E6" w:rsidRPr="002F31D1" w:rsidRDefault="005609D8" w:rsidP="00AB47E6">
            <w:pPr>
              <w:spacing w:before="80"/>
              <w:jc w:val="right"/>
              <w:rPr>
                <w:rFonts w:ascii="Arial" w:hAnsi="Arial" w:cs="Arial"/>
                <w:b/>
                <w:sz w:val="18"/>
                <w:szCs w:val="18"/>
                <w:u w:val="double"/>
              </w:rPr>
            </w:pPr>
            <w:r>
              <w:rPr>
                <w:rFonts w:ascii="Arial" w:hAnsi="Arial" w:cs="Arial"/>
                <w:b/>
                <w:sz w:val="18"/>
                <w:szCs w:val="18"/>
                <w:u w:val="double"/>
              </w:rPr>
              <w:t>2,070,022</w:t>
            </w:r>
          </w:p>
        </w:tc>
        <w:tc>
          <w:tcPr>
            <w:tcW w:w="1174" w:type="dxa"/>
            <w:tcBorders>
              <w:top w:val="nil"/>
              <w:left w:val="nil"/>
              <w:bottom w:val="nil"/>
              <w:right w:val="nil"/>
            </w:tcBorders>
            <w:shd w:val="clear" w:color="auto" w:fill="auto"/>
            <w:vAlign w:val="bottom"/>
          </w:tcPr>
          <w:p w:rsidR="00AB47E6" w:rsidRPr="002F31D1" w:rsidRDefault="00AB47E6" w:rsidP="00AB47E6">
            <w:pPr>
              <w:spacing w:before="80"/>
              <w:jc w:val="right"/>
              <w:rPr>
                <w:rFonts w:ascii="Arial" w:hAnsi="Arial" w:cs="Arial"/>
                <w:b/>
                <w:sz w:val="18"/>
                <w:szCs w:val="18"/>
                <w:u w:val="double"/>
              </w:rPr>
            </w:pPr>
            <w:r>
              <w:rPr>
                <w:rFonts w:ascii="Arial" w:hAnsi="Arial" w:cs="Arial"/>
                <w:b/>
                <w:sz w:val="18"/>
                <w:szCs w:val="18"/>
                <w:u w:val="double"/>
              </w:rPr>
              <w:t>566,563</w:t>
            </w:r>
          </w:p>
        </w:tc>
      </w:tr>
    </w:tbl>
    <w:p w:rsidR="00A668D1" w:rsidRDefault="00A668D1"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903AEF" w:rsidRDefault="00903AEF"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p>
    <w:p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Pr="00CD3853">
        <w:rPr>
          <w:rFonts w:ascii="Arial" w:hAnsi="Arial" w:cs="Arial"/>
          <w:sz w:val="18"/>
          <w:szCs w:val="18"/>
        </w:rPr>
        <w:t>201</w:t>
      </w:r>
      <w:r w:rsidR="00AB47E6">
        <w:rPr>
          <w:rFonts w:ascii="Arial" w:hAnsi="Arial" w:cs="Arial"/>
          <w:sz w:val="18"/>
          <w:szCs w:val="18"/>
        </w:rPr>
        <w:t>9</w:t>
      </w:r>
      <w:r w:rsidRPr="00CD3853">
        <w:rPr>
          <w:rFonts w:ascii="Arial" w:hAnsi="Arial" w:cs="Arial"/>
          <w:sz w:val="18"/>
          <w:szCs w:val="18"/>
        </w:rPr>
        <w:t>:</w:t>
      </w:r>
    </w:p>
    <w:p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rsidTr="00F62B26">
        <w:trPr>
          <w:trHeight w:val="182"/>
          <w:jc w:val="center"/>
        </w:trPr>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C00000"/>
            <w:noWrap/>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A668D1" w:rsidRPr="002F31D1" w:rsidRDefault="00A668D1" w:rsidP="00822DA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r>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rsidR="00A668D1" w:rsidRPr="009D7A6E" w:rsidRDefault="00FB1229" w:rsidP="0074627B">
            <w:pPr>
              <w:spacing w:before="80"/>
              <w:jc w:val="right"/>
              <w:rPr>
                <w:rFonts w:ascii="Arial" w:hAnsi="Arial" w:cs="Arial"/>
                <w:sz w:val="18"/>
                <w:szCs w:val="18"/>
              </w:rPr>
            </w:pPr>
            <w:r>
              <w:rPr>
                <w:rFonts w:ascii="Arial" w:hAnsi="Arial" w:cs="Arial"/>
                <w:sz w:val="18"/>
                <w:szCs w:val="18"/>
              </w:rPr>
              <w:t>26,970</w:t>
            </w:r>
          </w:p>
        </w:tc>
      </w:tr>
      <w:tr w:rsidR="0074627B" w:rsidRPr="002F31D1" w:rsidTr="00F357DC">
        <w:trPr>
          <w:trHeight w:val="182"/>
          <w:jc w:val="center"/>
        </w:trPr>
        <w:tc>
          <w:tcPr>
            <w:tcW w:w="0" w:type="auto"/>
            <w:tcBorders>
              <w:top w:val="nil"/>
              <w:left w:val="nil"/>
              <w:bottom w:val="nil"/>
              <w:right w:val="nil"/>
            </w:tcBorders>
            <w:shd w:val="clear" w:color="auto" w:fill="auto"/>
            <w:noWrap/>
            <w:vAlign w:val="bottom"/>
            <w:hideMark/>
          </w:tcPr>
          <w:p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rsidR="0074627B" w:rsidRPr="009D7A6E" w:rsidRDefault="00FB1229" w:rsidP="00DE363C">
            <w:pPr>
              <w:spacing w:before="80"/>
              <w:jc w:val="right"/>
              <w:rPr>
                <w:rFonts w:ascii="Arial" w:hAnsi="Arial" w:cs="Arial"/>
                <w:sz w:val="18"/>
                <w:szCs w:val="18"/>
              </w:rPr>
            </w:pPr>
            <w:r>
              <w:rPr>
                <w:rFonts w:ascii="Arial" w:hAnsi="Arial" w:cs="Arial"/>
                <w:sz w:val="18"/>
                <w:szCs w:val="18"/>
              </w:rPr>
              <w:t>0</w:t>
            </w: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rsidR="00A668D1" w:rsidRPr="00CB7331" w:rsidRDefault="00A668D1" w:rsidP="00822DAF">
            <w:pPr>
              <w:spacing w:before="80"/>
              <w:jc w:val="right"/>
              <w:rPr>
                <w:rFonts w:ascii="Arial" w:hAnsi="Arial" w:cs="Arial"/>
                <w:sz w:val="18"/>
                <w:szCs w:val="18"/>
              </w:rPr>
            </w:pPr>
          </w:p>
        </w:tc>
      </w:tr>
      <w:tr w:rsidR="00A668D1" w:rsidRPr="002F31D1" w:rsidTr="00F357DC">
        <w:trPr>
          <w:trHeight w:val="182"/>
          <w:jc w:val="center"/>
        </w:trPr>
        <w:tc>
          <w:tcPr>
            <w:tcW w:w="0" w:type="auto"/>
            <w:tcBorders>
              <w:top w:val="nil"/>
              <w:left w:val="nil"/>
              <w:bottom w:val="nil"/>
              <w:right w:val="nil"/>
            </w:tcBorders>
            <w:shd w:val="clear" w:color="auto" w:fill="auto"/>
            <w:noWrap/>
            <w:vAlign w:val="bottom"/>
          </w:tcPr>
          <w:p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rsidR="00A668D1" w:rsidRPr="00C34178" w:rsidRDefault="00FB1229" w:rsidP="00822DAF">
            <w:pPr>
              <w:spacing w:before="80"/>
              <w:jc w:val="right"/>
              <w:rPr>
                <w:rFonts w:ascii="Arial" w:hAnsi="Arial" w:cs="Arial"/>
                <w:b/>
                <w:sz w:val="18"/>
                <w:szCs w:val="18"/>
                <w:u w:val="double"/>
              </w:rPr>
            </w:pPr>
            <w:r>
              <w:rPr>
                <w:rFonts w:ascii="Arial" w:hAnsi="Arial" w:cs="Arial"/>
                <w:b/>
                <w:sz w:val="18"/>
                <w:szCs w:val="18"/>
                <w:u w:val="double"/>
              </w:rPr>
              <w:t>26,970</w:t>
            </w:r>
          </w:p>
        </w:tc>
      </w:tr>
    </w:tbl>
    <w:p w:rsidR="00095904" w:rsidRDefault="00095904">
      <w:pPr>
        <w:rPr>
          <w:rFonts w:ascii="Arial" w:hAnsi="Arial" w:cs="Arial"/>
          <w:sz w:val="18"/>
          <w:szCs w:val="18"/>
        </w:rPr>
      </w:pPr>
    </w:p>
    <w:p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CellMar>
          <w:left w:w="70" w:type="dxa"/>
          <w:right w:w="70" w:type="dxa"/>
        </w:tblCellMar>
        <w:tblLook w:val="04A0" w:firstRow="1" w:lastRow="0" w:firstColumn="1" w:lastColumn="0" w:noHBand="0" w:noVBand="1"/>
      </w:tblPr>
      <w:tblGrid>
        <w:gridCol w:w="3525"/>
        <w:gridCol w:w="1521"/>
        <w:gridCol w:w="160"/>
        <w:gridCol w:w="1640"/>
      </w:tblGrid>
      <w:tr w:rsidR="00A668D1" w:rsidRPr="002F31D1" w:rsidTr="00C42211">
        <w:trPr>
          <w:trHeight w:val="182"/>
          <w:jc w:val="center"/>
        </w:trPr>
        <w:tc>
          <w:tcPr>
            <w:tcW w:w="3525" w:type="dxa"/>
            <w:shd w:val="clear" w:color="auto" w:fill="C00000"/>
            <w:vAlign w:val="bottom"/>
            <w:hideMark/>
          </w:tcPr>
          <w:p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521" w:type="dxa"/>
            <w:shd w:val="clear" w:color="auto" w:fill="C00000"/>
            <w:noWrap/>
            <w:vAlign w:val="bottom"/>
            <w:hideMark/>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c>
          <w:tcPr>
            <w:tcW w:w="160" w:type="dxa"/>
            <w:shd w:val="clear" w:color="auto" w:fill="C00000"/>
          </w:tcPr>
          <w:p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C00000"/>
            <w:vAlign w:val="bottom"/>
          </w:tcPr>
          <w:p w:rsidR="00A668D1" w:rsidRPr="002F31D1" w:rsidRDefault="00A668D1"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8</w:t>
            </w:r>
          </w:p>
        </w:tc>
      </w:tr>
      <w:tr w:rsidR="00AB47E6" w:rsidRPr="002F31D1" w:rsidTr="003F7DE0">
        <w:trPr>
          <w:trHeight w:val="363"/>
          <w:jc w:val="center"/>
        </w:trPr>
        <w:tc>
          <w:tcPr>
            <w:tcW w:w="3525" w:type="dxa"/>
            <w:shd w:val="clear" w:color="auto" w:fill="auto"/>
            <w:vAlign w:val="bottom"/>
            <w:hideMark/>
          </w:tcPr>
          <w:p w:rsidR="00AB47E6" w:rsidRPr="002F31D1" w:rsidRDefault="00AB47E6" w:rsidP="00AB47E6">
            <w:pPr>
              <w:spacing w:before="80"/>
              <w:jc w:val="both"/>
              <w:rPr>
                <w:rFonts w:ascii="Arial" w:hAnsi="Arial" w:cs="Arial"/>
                <w:bCs/>
                <w:sz w:val="18"/>
                <w:szCs w:val="18"/>
              </w:rPr>
            </w:pPr>
            <w:r w:rsidRPr="00C76D92">
              <w:rPr>
                <w:rFonts w:ascii="Arial" w:hAnsi="Arial" w:cs="Arial"/>
                <w:sz w:val="18"/>
                <w:szCs w:val="18"/>
              </w:rPr>
              <w:t>Flujos de Efectivos Netos de las Actividades de Operación</w:t>
            </w:r>
          </w:p>
        </w:tc>
        <w:tc>
          <w:tcPr>
            <w:tcW w:w="1521" w:type="dxa"/>
            <w:shd w:val="clear" w:color="auto" w:fill="auto"/>
            <w:noWrap/>
            <w:vAlign w:val="bottom"/>
            <w:hideMark/>
          </w:tcPr>
          <w:p w:rsidR="00AB47E6" w:rsidRPr="00FC3DE2" w:rsidRDefault="00FB1229" w:rsidP="00AB47E6">
            <w:pPr>
              <w:spacing w:before="80"/>
              <w:jc w:val="right"/>
              <w:rPr>
                <w:rFonts w:ascii="Arial" w:hAnsi="Arial" w:cs="Arial"/>
                <w:bCs/>
                <w:sz w:val="18"/>
                <w:szCs w:val="18"/>
              </w:rPr>
            </w:pPr>
            <w:r>
              <w:rPr>
                <w:rFonts w:ascii="Arial" w:hAnsi="Arial" w:cs="Arial"/>
                <w:bCs/>
                <w:sz w:val="18"/>
                <w:szCs w:val="18"/>
              </w:rPr>
              <w:t>1,973,381</w:t>
            </w:r>
          </w:p>
        </w:tc>
        <w:tc>
          <w:tcPr>
            <w:tcW w:w="160" w:type="dxa"/>
          </w:tcPr>
          <w:p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B47E6" w:rsidRPr="002F31D1" w:rsidTr="003F7DE0">
        <w:trPr>
          <w:trHeight w:val="363"/>
          <w:jc w:val="center"/>
        </w:trPr>
        <w:tc>
          <w:tcPr>
            <w:tcW w:w="3525" w:type="dxa"/>
            <w:shd w:val="clear" w:color="auto" w:fill="auto"/>
            <w:vAlign w:val="bottom"/>
          </w:tcPr>
          <w:p w:rsidR="00AB47E6" w:rsidRPr="002F31D1" w:rsidRDefault="00AB47E6" w:rsidP="00AB47E6">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rsidR="00AB47E6" w:rsidRPr="00FC3DE2" w:rsidRDefault="00FB1229" w:rsidP="00AB47E6">
            <w:pPr>
              <w:spacing w:before="80"/>
              <w:jc w:val="right"/>
              <w:rPr>
                <w:rFonts w:ascii="Arial" w:hAnsi="Arial" w:cs="Arial"/>
                <w:bCs/>
                <w:sz w:val="18"/>
                <w:szCs w:val="18"/>
              </w:rPr>
            </w:pPr>
            <w:r>
              <w:rPr>
                <w:rFonts w:ascii="Arial" w:hAnsi="Arial" w:cs="Arial"/>
                <w:bCs/>
                <w:sz w:val="18"/>
                <w:szCs w:val="18"/>
              </w:rPr>
              <w:t>1,973,381</w:t>
            </w:r>
          </w:p>
        </w:tc>
        <w:tc>
          <w:tcPr>
            <w:tcW w:w="160" w:type="dxa"/>
          </w:tcPr>
          <w:p w:rsidR="00AB47E6" w:rsidRPr="002F31D1" w:rsidRDefault="00AB47E6" w:rsidP="00AB47E6">
            <w:pPr>
              <w:spacing w:before="80"/>
              <w:jc w:val="right"/>
              <w:rPr>
                <w:rFonts w:ascii="Arial" w:hAnsi="Arial" w:cs="Arial"/>
                <w:bCs/>
                <w:sz w:val="18"/>
                <w:szCs w:val="18"/>
              </w:rPr>
            </w:pPr>
          </w:p>
        </w:tc>
        <w:tc>
          <w:tcPr>
            <w:tcW w:w="1640" w:type="dxa"/>
            <w:shd w:val="clear" w:color="auto" w:fill="auto"/>
            <w:vAlign w:val="bottom"/>
          </w:tcPr>
          <w:p w:rsidR="00AB47E6" w:rsidRPr="00FC3DE2" w:rsidRDefault="00AB47E6" w:rsidP="00AB47E6">
            <w:pPr>
              <w:spacing w:before="80"/>
              <w:jc w:val="right"/>
              <w:rPr>
                <w:rFonts w:ascii="Arial" w:hAnsi="Arial" w:cs="Arial"/>
                <w:bCs/>
                <w:sz w:val="18"/>
                <w:szCs w:val="18"/>
              </w:rPr>
            </w:pPr>
            <w:r>
              <w:rPr>
                <w:rFonts w:ascii="Arial" w:hAnsi="Arial" w:cs="Arial"/>
                <w:bCs/>
                <w:sz w:val="18"/>
                <w:szCs w:val="18"/>
              </w:rPr>
              <w:t>356,941</w:t>
            </w:r>
          </w:p>
        </w:tc>
      </w:tr>
      <w:tr w:rsidR="00A668D1" w:rsidRPr="002F31D1" w:rsidTr="00C42211">
        <w:trPr>
          <w:trHeight w:val="363"/>
          <w:jc w:val="center"/>
        </w:trPr>
        <w:tc>
          <w:tcPr>
            <w:tcW w:w="3525" w:type="dxa"/>
            <w:shd w:val="clear" w:color="auto" w:fill="auto"/>
            <w:vAlign w:val="bottom"/>
            <w:hideMark/>
          </w:tcPr>
          <w:p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rsidR="00A668D1" w:rsidRPr="002F31D1" w:rsidRDefault="00A668D1" w:rsidP="00822DAF">
            <w:pPr>
              <w:spacing w:before="80"/>
              <w:jc w:val="right"/>
              <w:rPr>
                <w:rFonts w:ascii="Arial" w:hAnsi="Arial" w:cs="Arial"/>
                <w:sz w:val="18"/>
                <w:szCs w:val="18"/>
                <w:highlight w:val="yellow"/>
              </w:rPr>
            </w:pPr>
          </w:p>
        </w:tc>
        <w:tc>
          <w:tcPr>
            <w:tcW w:w="160" w:type="dxa"/>
          </w:tcPr>
          <w:p w:rsidR="00A668D1" w:rsidRPr="002F31D1" w:rsidRDefault="00A668D1" w:rsidP="00822DAF">
            <w:pPr>
              <w:spacing w:before="80"/>
              <w:jc w:val="right"/>
              <w:rPr>
                <w:rFonts w:ascii="Arial" w:hAnsi="Arial" w:cs="Arial"/>
                <w:sz w:val="18"/>
                <w:szCs w:val="18"/>
              </w:rPr>
            </w:pPr>
          </w:p>
        </w:tc>
        <w:tc>
          <w:tcPr>
            <w:tcW w:w="1640" w:type="dxa"/>
            <w:vAlign w:val="bottom"/>
          </w:tcPr>
          <w:p w:rsidR="00A668D1" w:rsidRPr="002F31D1" w:rsidRDefault="00A668D1" w:rsidP="00822DAF">
            <w:pPr>
              <w:spacing w:before="80"/>
              <w:jc w:val="right"/>
              <w:rPr>
                <w:rFonts w:ascii="Arial" w:hAnsi="Arial" w:cs="Arial"/>
                <w:sz w:val="18"/>
                <w:szCs w:val="18"/>
                <w:highlight w:val="yellow"/>
              </w:rPr>
            </w:pPr>
          </w:p>
        </w:tc>
      </w:tr>
    </w:tbl>
    <w:p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rsidR="00E866CE" w:rsidRDefault="00E866CE"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C82E22" w:rsidRDefault="00C82E22" w:rsidP="00C844AE">
      <w:pPr>
        <w:autoSpaceDE w:val="0"/>
        <w:autoSpaceDN w:val="0"/>
        <w:adjustRightInd w:val="0"/>
        <w:spacing w:before="80" w:after="0"/>
        <w:jc w:val="both"/>
        <w:rPr>
          <w:rFonts w:ascii="Arial" w:hAnsi="Arial" w:cs="Arial"/>
          <w:sz w:val="18"/>
          <w:szCs w:val="18"/>
        </w:rPr>
      </w:pPr>
    </w:p>
    <w:p w:rsidR="00E866CE" w:rsidRPr="0045035D" w:rsidRDefault="00E866CE" w:rsidP="00C844AE">
      <w:pPr>
        <w:autoSpaceDE w:val="0"/>
        <w:autoSpaceDN w:val="0"/>
        <w:adjustRightInd w:val="0"/>
        <w:spacing w:before="80" w:after="0"/>
        <w:jc w:val="both"/>
        <w:rPr>
          <w:rFonts w:ascii="Arial" w:hAnsi="Arial" w:cs="Arial"/>
          <w:sz w:val="2"/>
          <w:szCs w:val="18"/>
        </w:rPr>
      </w:pPr>
    </w:p>
    <w:p w:rsidR="00A668D1" w:rsidRDefault="00C844AE" w:rsidP="00C844AE">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rsidR="00A668D1" w:rsidRPr="00DC208A" w:rsidRDefault="0055221D" w:rsidP="00A668D1">
      <w:pPr>
        <w:autoSpaceDE w:val="0"/>
        <w:autoSpaceDN w:val="0"/>
        <w:adjustRightInd w:val="0"/>
        <w:spacing w:before="80"/>
        <w:jc w:val="both"/>
        <w:rPr>
          <w:rFonts w:ascii="Arial" w:hAnsi="Arial" w:cs="Arial"/>
          <w:sz w:val="18"/>
          <w:szCs w:val="18"/>
        </w:rPr>
      </w:pPr>
      <w:r>
        <w:rPr>
          <w:rFonts w:ascii="Arial" w:hAnsi="Arial" w:cs="Arial"/>
          <w:sz w:val="18"/>
          <w:szCs w:val="18"/>
        </w:rPr>
        <w:object w:dxaOrig="1440" w:dyaOrig="1440">
          <v:shape id="_x0000_s1093" type="#_x0000_t75" style="position:absolute;left:0;text-align:left;margin-left:-2.3pt;margin-top:22.9pt;width:334.35pt;height:282.3pt;z-index:251662336">
            <v:imagedata r:id="rId22" o:title=""/>
            <w10:wrap type="topAndBottom"/>
          </v:shape>
          <o:OLEObject Type="Embed" ProgID="Excel.Sheet.12" ShapeID="_x0000_s1093" DrawAspect="Content" ObjectID="_1616406726" r:id="rId23"/>
        </w:object>
      </w:r>
      <w:r>
        <w:rPr>
          <w:rFonts w:ascii="Arial" w:hAnsi="Arial" w:cs="Arial"/>
          <w:noProof/>
          <w:sz w:val="18"/>
          <w:szCs w:val="18"/>
        </w:rPr>
        <w:object w:dxaOrig="1440" w:dyaOrig="1440">
          <v:shape id="_x0000_s1132" type="#_x0000_t75" style="position:absolute;left:0;text-align:left;margin-left:351.3pt;margin-top:23.7pt;width:361.85pt;height:275.85pt;z-index:251670528">
            <v:imagedata r:id="rId24" o:title=""/>
            <w10:wrap type="topAndBottom"/>
          </v:shape>
          <o:OLEObject Type="Embed" ProgID="Excel.Sheet.12" ShapeID="_x0000_s1132" DrawAspect="Content" ObjectID="_1616406727" r:id="rId25"/>
        </w:object>
      </w:r>
    </w:p>
    <w:p w:rsidR="00C82E22" w:rsidRDefault="00C82E22" w:rsidP="005F4FD6">
      <w:pPr>
        <w:spacing w:line="240" w:lineRule="auto"/>
        <w:rPr>
          <w:rFonts w:ascii="Arial" w:hAnsi="Arial" w:cs="Arial"/>
          <w:sz w:val="18"/>
          <w:szCs w:val="18"/>
        </w:rPr>
      </w:pPr>
    </w:p>
    <w:p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55168"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DDA443" id="AutoShape 27" o:spid="_x0000_s1026" type="#_x0000_t32" style="position:absolute;margin-left:445.5pt;margin-top:16.35pt;width:194.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0Z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GUaS&#10;9LCjp4NToTRKH/yABm1ziCvlzvgW6Um+6mdFv1skVdkS2fAQ/XbWkJz4jOhdir9YDWX2wxfFIIZA&#10;gTCtU216DwlzQKewlPNtKfzkEIWPaTafLx+AHB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FQRTR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56192"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42DD71" id="AutoShape 26" o:spid="_x0000_s1026" type="#_x0000_t32" style="position:absolute;margin-left:45.75pt;margin-top:15.6pt;width:194.2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8X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G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BdIf8XIAIAAD0EAAAOAAAAAAAAAAAAAAAAAC4CAABkcnMvZTJvRG9jLnhtbFBL&#10;AQItABQABgAIAAAAIQC0ryuq3QAAAAgBAAAPAAAAAAAAAAAAAAAAAHoEAABkcnMvZG93bnJldi54&#10;bWxQSwUGAAAAAAQABADzAAAAhAUAAAAA&#10;"/>
            </w:pict>
          </mc:Fallback>
        </mc:AlternateContent>
      </w:r>
    </w:p>
    <w:p w:rsidR="0045035D" w:rsidRPr="005F4FD6" w:rsidRDefault="00AA7673" w:rsidP="005F4FD6">
      <w:pPr>
        <w:spacing w:line="240" w:lineRule="auto"/>
        <w:ind w:left="709" w:hanging="709"/>
        <w:jc w:val="center"/>
        <w:rPr>
          <w:rFonts w:ascii="Arial" w:hAnsi="Arial" w:cs="Arial"/>
          <w:sz w:val="18"/>
          <w:szCs w:val="18"/>
        </w:rPr>
      </w:pPr>
      <w:r>
        <w:rPr>
          <w:rFonts w:ascii="Arial" w:hAnsi="Arial" w:cs="Arial"/>
          <w:sz w:val="18"/>
          <w:szCs w:val="18"/>
        </w:rPr>
        <w:t xml:space="preserve">Lic. </w:t>
      </w:r>
      <w:r w:rsidR="00095904">
        <w:rPr>
          <w:rFonts w:ascii="Arial" w:hAnsi="Arial" w:cs="Arial"/>
          <w:sz w:val="18"/>
          <w:szCs w:val="18"/>
        </w:rPr>
        <w:t>Víctor</w:t>
      </w:r>
      <w:r w:rsidR="0047439F">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47439F">
        <w:rPr>
          <w:rFonts w:ascii="Arial" w:hAnsi="Arial" w:cs="Arial"/>
          <w:sz w:val="18"/>
          <w:szCs w:val="18"/>
        </w:rPr>
        <w:t xml:space="preserve">             </w:t>
      </w:r>
      <w:r w:rsidR="002E5CE4">
        <w:rPr>
          <w:rFonts w:ascii="Arial" w:hAnsi="Arial" w:cs="Arial"/>
          <w:sz w:val="18"/>
          <w:szCs w:val="18"/>
        </w:rPr>
        <w:t>Lic. A</w:t>
      </w:r>
      <w:r w:rsidR="0047439F">
        <w:rPr>
          <w:rFonts w:ascii="Arial" w:hAnsi="Arial" w:cs="Arial"/>
          <w:sz w:val="18"/>
          <w:szCs w:val="18"/>
        </w:rPr>
        <w:t xml:space="preserve">ngélica María Juárez </w:t>
      </w:r>
      <w:proofErr w:type="spellStart"/>
      <w:r w:rsidR="0047439F">
        <w:rPr>
          <w:rFonts w:ascii="Arial" w:hAnsi="Arial" w:cs="Arial"/>
          <w:sz w:val="18"/>
          <w:szCs w:val="18"/>
        </w:rPr>
        <w:t>Texis</w:t>
      </w:r>
      <w:proofErr w:type="spellEnd"/>
      <w:r w:rsidR="00A668D1">
        <w:rPr>
          <w:rFonts w:ascii="Arial" w:hAnsi="Arial" w:cs="Arial"/>
          <w:sz w:val="18"/>
          <w:szCs w:val="18"/>
        </w:rPr>
        <w:t xml:space="preserve">                                                                                               </w:t>
      </w:r>
      <w:r w:rsidR="005F4FD6">
        <w:rPr>
          <w:rFonts w:ascii="Arial" w:hAnsi="Arial" w:cs="Arial"/>
          <w:sz w:val="18"/>
          <w:szCs w:val="18"/>
        </w:rPr>
        <w:t>P</w:t>
      </w:r>
      <w:r w:rsidR="005F4FD6" w:rsidRPr="00AF6A66">
        <w:rPr>
          <w:rFonts w:ascii="Arial" w:hAnsi="Arial" w:cs="Arial"/>
          <w:sz w:val="18"/>
          <w:szCs w:val="18"/>
        </w:rPr>
        <w:t>residente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2E5CE4">
        <w:rPr>
          <w:rFonts w:ascii="Arial" w:hAnsi="Arial" w:cs="Arial"/>
          <w:sz w:val="18"/>
          <w:szCs w:val="18"/>
        </w:rPr>
        <w:t>a</w:t>
      </w:r>
      <w:r w:rsidR="00A668D1">
        <w:rPr>
          <w:rFonts w:ascii="Arial" w:hAnsi="Arial" w:cs="Arial"/>
          <w:sz w:val="18"/>
          <w:szCs w:val="18"/>
        </w:rPr>
        <w:t xml:space="preserve"> de la Dirección Administrativa</w:t>
      </w:r>
    </w:p>
    <w:p w:rsidR="0045035D" w:rsidRDefault="0045035D" w:rsidP="00095904">
      <w:pPr>
        <w:autoSpaceDE w:val="0"/>
        <w:autoSpaceDN w:val="0"/>
        <w:adjustRightInd w:val="0"/>
        <w:spacing w:before="80" w:after="0"/>
        <w:ind w:left="360"/>
        <w:jc w:val="both"/>
        <w:rPr>
          <w:rFonts w:ascii="Arial" w:hAnsi="Arial" w:cs="Arial"/>
          <w:b/>
          <w:sz w:val="18"/>
          <w:szCs w:val="18"/>
        </w:rPr>
      </w:pPr>
    </w:p>
    <w:p w:rsidR="0045035D" w:rsidRDefault="0045035D"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4D512B" w:rsidRDefault="004D512B" w:rsidP="00095904">
      <w:pPr>
        <w:autoSpaceDE w:val="0"/>
        <w:autoSpaceDN w:val="0"/>
        <w:adjustRightInd w:val="0"/>
        <w:spacing w:before="80" w:after="0"/>
        <w:ind w:left="360"/>
        <w:jc w:val="both"/>
        <w:rPr>
          <w:rFonts w:ascii="Arial" w:hAnsi="Arial" w:cs="Arial"/>
          <w:b/>
          <w:sz w:val="18"/>
          <w:szCs w:val="18"/>
        </w:rPr>
      </w:pPr>
    </w:p>
    <w:p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t>b) Notas de Memoria (Cuentas de Orden).</w:t>
      </w:r>
    </w:p>
    <w:p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rsidTr="00050077">
        <w:trPr>
          <w:trHeight w:val="205"/>
          <w:jc w:val="center"/>
        </w:trPr>
        <w:tc>
          <w:tcPr>
            <w:tcW w:w="0" w:type="auto"/>
            <w:shd w:val="clear" w:color="auto" w:fill="C00000"/>
            <w:noWrap/>
            <w:vAlign w:val="center"/>
            <w:hideMark/>
          </w:tcPr>
          <w:p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C00000"/>
            <w:noWrap/>
            <w:vAlign w:val="center"/>
            <w:hideMark/>
          </w:tcPr>
          <w:p w:rsidR="00A668D1" w:rsidRPr="002F31D1" w:rsidRDefault="00A668D1"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201</w:t>
            </w:r>
            <w:r w:rsidR="00AB47E6">
              <w:rPr>
                <w:rFonts w:ascii="Arial" w:hAnsi="Arial" w:cs="Arial"/>
                <w:b/>
                <w:bCs/>
                <w:color w:val="FFFFFF"/>
                <w:sz w:val="18"/>
                <w:szCs w:val="18"/>
              </w:rPr>
              <w:t>9</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rsidR="00A668D1" w:rsidRPr="00F60271" w:rsidRDefault="00B77C76" w:rsidP="00822DAF">
            <w:pPr>
              <w:spacing w:before="80"/>
              <w:jc w:val="right"/>
              <w:rPr>
                <w:rFonts w:ascii="Arial" w:hAnsi="Arial" w:cs="Arial"/>
                <w:sz w:val="18"/>
                <w:szCs w:val="18"/>
              </w:rPr>
            </w:pPr>
            <w:r w:rsidRPr="00F60271">
              <w:rPr>
                <w:rFonts w:ascii="Arial" w:hAnsi="Arial" w:cs="Arial"/>
                <w:sz w:val="18"/>
                <w:szCs w:val="18"/>
              </w:rPr>
              <w:t>21,</w:t>
            </w:r>
            <w:r w:rsidR="00F60271">
              <w:rPr>
                <w:rFonts w:ascii="Arial" w:hAnsi="Arial" w:cs="Arial"/>
                <w:sz w:val="18"/>
                <w:szCs w:val="18"/>
              </w:rPr>
              <w:t>8</w:t>
            </w:r>
            <w:r w:rsidRPr="00F60271">
              <w:rPr>
                <w:rFonts w:ascii="Arial" w:hAnsi="Arial" w:cs="Arial"/>
                <w:sz w:val="18"/>
                <w:szCs w:val="18"/>
              </w:rPr>
              <w:t>66,660</w:t>
            </w:r>
          </w:p>
        </w:tc>
      </w:tr>
      <w:tr w:rsidR="00B32591" w:rsidRPr="00B3259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A668D1" w:rsidRPr="00F60271" w:rsidRDefault="00F60271" w:rsidP="00D70BDA">
            <w:pPr>
              <w:spacing w:before="80"/>
              <w:jc w:val="right"/>
              <w:rPr>
                <w:rFonts w:ascii="Arial" w:hAnsi="Arial" w:cs="Arial"/>
                <w:sz w:val="18"/>
                <w:szCs w:val="18"/>
              </w:rPr>
            </w:pPr>
            <w:r>
              <w:rPr>
                <w:rFonts w:ascii="Arial" w:hAnsi="Arial" w:cs="Arial"/>
                <w:sz w:val="18"/>
                <w:szCs w:val="18"/>
              </w:rPr>
              <w:t>22</w:t>
            </w:r>
            <w:r w:rsidR="007A6F4D" w:rsidRPr="00F60271">
              <w:rPr>
                <w:rFonts w:ascii="Arial" w:hAnsi="Arial" w:cs="Arial"/>
                <w:sz w:val="18"/>
                <w:szCs w:val="18"/>
              </w:rPr>
              <w:t>,</w:t>
            </w:r>
            <w:r>
              <w:rPr>
                <w:rFonts w:ascii="Arial" w:hAnsi="Arial" w:cs="Arial"/>
                <w:sz w:val="18"/>
                <w:szCs w:val="18"/>
              </w:rPr>
              <w:t>812</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A668D1" w:rsidRPr="00F60271" w:rsidRDefault="00140819" w:rsidP="003465BC">
            <w:pPr>
              <w:spacing w:before="80"/>
              <w:jc w:val="right"/>
              <w:rPr>
                <w:rFonts w:ascii="Arial" w:hAnsi="Arial" w:cs="Arial"/>
                <w:sz w:val="18"/>
                <w:szCs w:val="18"/>
              </w:rPr>
            </w:pPr>
            <w:r w:rsidRPr="00F60271">
              <w:rPr>
                <w:rFonts w:ascii="Arial" w:hAnsi="Arial" w:cs="Arial"/>
                <w:sz w:val="18"/>
                <w:szCs w:val="18"/>
              </w:rPr>
              <w:t>2</w:t>
            </w:r>
            <w:r w:rsidR="00F60271">
              <w:rPr>
                <w:rFonts w:ascii="Arial" w:hAnsi="Arial" w:cs="Arial"/>
                <w:sz w:val="18"/>
                <w:szCs w:val="18"/>
              </w:rPr>
              <w:t>1,889,472</w:t>
            </w:r>
          </w:p>
        </w:tc>
      </w:tr>
      <w:tr w:rsidR="00A668D1" w:rsidRPr="00672941" w:rsidTr="00822DAF">
        <w:trPr>
          <w:trHeight w:val="256"/>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A668D1" w:rsidRPr="00F60271" w:rsidRDefault="00F60271" w:rsidP="003465BC">
            <w:pPr>
              <w:spacing w:before="80"/>
              <w:jc w:val="right"/>
              <w:rPr>
                <w:rFonts w:ascii="Arial" w:hAnsi="Arial" w:cs="Arial"/>
                <w:sz w:val="18"/>
                <w:szCs w:val="18"/>
              </w:rPr>
            </w:pPr>
            <w:r>
              <w:rPr>
                <w:rFonts w:ascii="Arial" w:hAnsi="Arial" w:cs="Arial"/>
                <w:sz w:val="18"/>
                <w:szCs w:val="18"/>
              </w:rPr>
              <w:t>7,041,271</w:t>
            </w:r>
          </w:p>
        </w:tc>
      </w:tr>
      <w:tr w:rsidR="00A668D1" w:rsidRPr="00672941" w:rsidTr="00822DAF">
        <w:trPr>
          <w:trHeight w:val="205"/>
          <w:jc w:val="center"/>
        </w:trPr>
        <w:tc>
          <w:tcPr>
            <w:tcW w:w="0" w:type="auto"/>
            <w:shd w:val="clear" w:color="auto" w:fill="auto"/>
            <w:noWrap/>
            <w:vAlign w:val="bottom"/>
            <w:hideMark/>
          </w:tcPr>
          <w:p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A668D1" w:rsidRPr="00F60271" w:rsidRDefault="00F60271" w:rsidP="003465BC">
            <w:pPr>
              <w:spacing w:before="80"/>
              <w:jc w:val="right"/>
              <w:rPr>
                <w:rFonts w:ascii="Arial" w:hAnsi="Arial" w:cs="Arial"/>
                <w:sz w:val="18"/>
                <w:szCs w:val="18"/>
              </w:rPr>
            </w:pPr>
            <w:r>
              <w:rPr>
                <w:rFonts w:ascii="Arial" w:hAnsi="Arial" w:cs="Arial"/>
                <w:sz w:val="18"/>
                <w:szCs w:val="18"/>
              </w:rPr>
              <w:t>7,041,271</w:t>
            </w:r>
          </w:p>
        </w:tc>
      </w:tr>
    </w:tbl>
    <w:p w:rsidR="0061168A" w:rsidRDefault="0061168A" w:rsidP="00A668D1">
      <w:pPr>
        <w:autoSpaceDE w:val="0"/>
        <w:autoSpaceDN w:val="0"/>
        <w:adjustRightInd w:val="0"/>
        <w:spacing w:before="80" w:after="0"/>
        <w:jc w:val="both"/>
        <w:rPr>
          <w:rFonts w:ascii="Arial" w:hAnsi="Arial" w:cs="Arial"/>
          <w:sz w:val="18"/>
          <w:szCs w:val="18"/>
        </w:rPr>
      </w:pPr>
    </w:p>
    <w:p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B77C76" w:rsidRPr="00F60271">
        <w:rPr>
          <w:rFonts w:ascii="Arial" w:hAnsi="Arial" w:cs="Arial"/>
          <w:sz w:val="18"/>
          <w:szCs w:val="18"/>
        </w:rPr>
        <w:t>21,</w:t>
      </w:r>
      <w:r w:rsidR="00F60271" w:rsidRPr="00F60271">
        <w:rPr>
          <w:rFonts w:ascii="Arial" w:hAnsi="Arial" w:cs="Arial"/>
          <w:sz w:val="18"/>
          <w:szCs w:val="18"/>
        </w:rPr>
        <w:t>8</w:t>
      </w:r>
      <w:r w:rsidR="00B77C76" w:rsidRPr="00F60271">
        <w:rPr>
          <w:rFonts w:ascii="Arial" w:hAnsi="Arial" w:cs="Arial"/>
          <w:sz w:val="18"/>
          <w:szCs w:val="18"/>
        </w:rPr>
        <w:t>66,660</w:t>
      </w:r>
      <w:r w:rsidRPr="00F60271">
        <w:rPr>
          <w:rFonts w:ascii="Arial" w:hAnsi="Arial" w:cs="Arial"/>
          <w:sz w:val="18"/>
          <w:szCs w:val="18"/>
        </w:rPr>
        <w:t xml:space="preserve"> </w:t>
      </w:r>
      <w:r>
        <w:rPr>
          <w:rFonts w:ascii="Arial" w:hAnsi="Arial" w:cs="Arial"/>
          <w:sz w:val="18"/>
          <w:szCs w:val="18"/>
        </w:rPr>
        <w:t xml:space="preserve">mediante el rubro de </w:t>
      </w:r>
      <w:r w:rsidR="00AE7987">
        <w:rPr>
          <w:rFonts w:ascii="Arial" w:hAnsi="Arial" w:cs="Arial"/>
          <w:sz w:val="18"/>
          <w:szCs w:val="18"/>
        </w:rPr>
        <w:t>Participaciones y Aportaciones</w:t>
      </w:r>
      <w:r>
        <w:rPr>
          <w:rFonts w:ascii="Arial" w:hAnsi="Arial" w:cs="Arial"/>
          <w:sz w:val="18"/>
          <w:szCs w:val="18"/>
        </w:rPr>
        <w:t xml:space="preserve">.  </w:t>
      </w:r>
    </w:p>
    <w:p w:rsidR="00A668D1" w:rsidRDefault="00A668D1"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294582" w:rsidRDefault="00294582" w:rsidP="00A668D1">
      <w:pPr>
        <w:autoSpaceDE w:val="0"/>
        <w:autoSpaceDN w:val="0"/>
        <w:adjustRightInd w:val="0"/>
        <w:spacing w:before="80" w:after="0"/>
        <w:jc w:val="both"/>
        <w:rPr>
          <w:rFonts w:ascii="Arial" w:hAnsi="Arial" w:cs="Arial"/>
          <w:sz w:val="18"/>
          <w:szCs w:val="18"/>
        </w:rPr>
      </w:pPr>
    </w:p>
    <w:p w:rsidR="00095904" w:rsidRDefault="00095904" w:rsidP="00A668D1">
      <w:pPr>
        <w:autoSpaceDE w:val="0"/>
        <w:autoSpaceDN w:val="0"/>
        <w:adjustRightInd w:val="0"/>
        <w:spacing w:before="80" w:after="0"/>
        <w:jc w:val="both"/>
        <w:rPr>
          <w:rFonts w:ascii="Arial" w:hAnsi="Arial" w:cs="Arial"/>
          <w:sz w:val="18"/>
          <w:szCs w:val="18"/>
        </w:rPr>
      </w:pPr>
    </w:p>
    <w:p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lastRenderedPageBreak/>
        <w:t>Las ampliaciones obtenidas se derivaron por los siguientes conceptos:</w:t>
      </w:r>
    </w:p>
    <w:p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rsidTr="006A1948">
        <w:trPr>
          <w:trHeight w:val="91"/>
          <w:jc w:val="center"/>
        </w:trPr>
        <w:tc>
          <w:tcPr>
            <w:tcW w:w="3165"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C00000"/>
          </w:tcPr>
          <w:p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C00000"/>
          </w:tcPr>
          <w:p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rsidTr="006A1948">
        <w:trPr>
          <w:trHeight w:val="338"/>
          <w:jc w:val="center"/>
        </w:trPr>
        <w:tc>
          <w:tcPr>
            <w:tcW w:w="3165" w:type="dxa"/>
          </w:tcPr>
          <w:p w:rsidR="00A668D1" w:rsidRDefault="006454E0" w:rsidP="00822DAF">
            <w:pPr>
              <w:autoSpaceDE w:val="0"/>
              <w:autoSpaceDN w:val="0"/>
              <w:adjustRightInd w:val="0"/>
              <w:spacing w:before="80"/>
              <w:jc w:val="both"/>
              <w:rPr>
                <w:rFonts w:ascii="Arial" w:hAnsi="Arial" w:cs="Arial"/>
                <w:sz w:val="18"/>
                <w:szCs w:val="18"/>
              </w:rPr>
            </w:pPr>
            <w:r>
              <w:rPr>
                <w:rFonts w:ascii="Arial" w:hAnsi="Arial" w:cs="Arial"/>
                <w:sz w:val="18"/>
                <w:szCs w:val="18"/>
              </w:rPr>
              <w:t>Laudo laboral</w:t>
            </w:r>
            <w:r w:rsidR="00A668D1">
              <w:rPr>
                <w:rFonts w:ascii="Arial" w:hAnsi="Arial" w:cs="Arial"/>
                <w:sz w:val="18"/>
                <w:szCs w:val="18"/>
              </w:rPr>
              <w:t xml:space="preserve"> </w:t>
            </w:r>
          </w:p>
        </w:tc>
        <w:tc>
          <w:tcPr>
            <w:tcW w:w="1584" w:type="dxa"/>
          </w:tcPr>
          <w:p w:rsidR="00A668D1" w:rsidRDefault="004E79ED" w:rsidP="00140819">
            <w:pPr>
              <w:autoSpaceDE w:val="0"/>
              <w:autoSpaceDN w:val="0"/>
              <w:adjustRightInd w:val="0"/>
              <w:spacing w:before="80"/>
              <w:rPr>
                <w:rFonts w:ascii="Arial" w:hAnsi="Arial" w:cs="Arial"/>
                <w:sz w:val="18"/>
                <w:szCs w:val="18"/>
              </w:rPr>
            </w:pPr>
            <w:r>
              <w:rPr>
                <w:rFonts w:ascii="Arial" w:hAnsi="Arial" w:cs="Arial"/>
                <w:sz w:val="18"/>
                <w:szCs w:val="18"/>
              </w:rPr>
              <w:t xml:space="preserve">       </w:t>
            </w:r>
          </w:p>
        </w:tc>
        <w:tc>
          <w:tcPr>
            <w:tcW w:w="1714" w:type="dxa"/>
          </w:tcPr>
          <w:p w:rsidR="00D70BDA" w:rsidRDefault="00FA2162" w:rsidP="006A1948">
            <w:pPr>
              <w:tabs>
                <w:tab w:val="left" w:pos="460"/>
              </w:tabs>
              <w:autoSpaceDE w:val="0"/>
              <w:autoSpaceDN w:val="0"/>
              <w:adjustRightInd w:val="0"/>
              <w:spacing w:before="80"/>
              <w:ind w:left="-107"/>
              <w:jc w:val="center"/>
              <w:rPr>
                <w:rFonts w:ascii="Arial" w:hAnsi="Arial" w:cs="Arial"/>
                <w:sz w:val="18"/>
                <w:szCs w:val="18"/>
              </w:rPr>
            </w:pPr>
            <w:r>
              <w:rPr>
                <w:rFonts w:ascii="Arial" w:hAnsi="Arial" w:cs="Arial"/>
                <w:sz w:val="18"/>
                <w:szCs w:val="18"/>
              </w:rPr>
              <w:t xml:space="preserve">   </w:t>
            </w:r>
            <w:r w:rsidR="00140819">
              <w:rPr>
                <w:rFonts w:ascii="Arial" w:hAnsi="Arial" w:cs="Arial"/>
                <w:sz w:val="18"/>
                <w:szCs w:val="18"/>
              </w:rPr>
              <w:t>0</w:t>
            </w:r>
          </w:p>
          <w:p w:rsidR="00A668D1" w:rsidRDefault="00A668D1" w:rsidP="006A1948">
            <w:pPr>
              <w:tabs>
                <w:tab w:val="left" w:pos="460"/>
              </w:tabs>
              <w:autoSpaceDE w:val="0"/>
              <w:autoSpaceDN w:val="0"/>
              <w:adjustRightInd w:val="0"/>
              <w:spacing w:before="80"/>
              <w:ind w:left="-233" w:firstLine="126"/>
              <w:jc w:val="center"/>
              <w:rPr>
                <w:rFonts w:ascii="Arial" w:hAnsi="Arial" w:cs="Arial"/>
                <w:sz w:val="18"/>
                <w:szCs w:val="18"/>
              </w:rPr>
            </w:pPr>
          </w:p>
        </w:tc>
      </w:tr>
      <w:tr w:rsidR="006A1948" w:rsidTr="006A1948">
        <w:trPr>
          <w:trHeight w:val="88"/>
          <w:jc w:val="center"/>
        </w:trPr>
        <w:tc>
          <w:tcPr>
            <w:tcW w:w="3165" w:type="dxa"/>
          </w:tcPr>
          <w:p w:rsidR="006A1948" w:rsidRDefault="006A1948" w:rsidP="00822DAF">
            <w:pPr>
              <w:autoSpaceDE w:val="0"/>
              <w:autoSpaceDN w:val="0"/>
              <w:adjustRightInd w:val="0"/>
              <w:spacing w:before="80"/>
              <w:jc w:val="both"/>
              <w:rPr>
                <w:rFonts w:ascii="Arial" w:hAnsi="Arial" w:cs="Arial"/>
                <w:sz w:val="18"/>
                <w:szCs w:val="18"/>
              </w:rPr>
            </w:pPr>
          </w:p>
        </w:tc>
        <w:tc>
          <w:tcPr>
            <w:tcW w:w="1584" w:type="dxa"/>
          </w:tcPr>
          <w:p w:rsidR="006A1948" w:rsidRDefault="006A1948" w:rsidP="006A1948">
            <w:pPr>
              <w:autoSpaceDE w:val="0"/>
              <w:autoSpaceDN w:val="0"/>
              <w:adjustRightInd w:val="0"/>
              <w:spacing w:before="80"/>
              <w:rPr>
                <w:rFonts w:ascii="Arial" w:hAnsi="Arial" w:cs="Arial"/>
                <w:sz w:val="18"/>
                <w:szCs w:val="18"/>
              </w:rPr>
            </w:pPr>
          </w:p>
        </w:tc>
        <w:tc>
          <w:tcPr>
            <w:tcW w:w="1714" w:type="dxa"/>
          </w:tcPr>
          <w:p w:rsidR="006A1948" w:rsidRDefault="006A1948" w:rsidP="006A1948">
            <w:pPr>
              <w:tabs>
                <w:tab w:val="left" w:pos="460"/>
              </w:tabs>
              <w:autoSpaceDE w:val="0"/>
              <w:autoSpaceDN w:val="0"/>
              <w:adjustRightInd w:val="0"/>
              <w:spacing w:before="80"/>
              <w:ind w:left="-107"/>
              <w:jc w:val="center"/>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jc w:val="both"/>
              <w:rPr>
                <w:rFonts w:ascii="Arial" w:hAnsi="Arial" w:cs="Arial"/>
                <w:sz w:val="18"/>
                <w:szCs w:val="18"/>
              </w:rPr>
            </w:pPr>
            <w:r>
              <w:rPr>
                <w:rFonts w:ascii="Arial" w:hAnsi="Arial" w:cs="Arial"/>
                <w:sz w:val="18"/>
                <w:szCs w:val="18"/>
              </w:rPr>
              <w:t xml:space="preserve">Devolución de ISR por concepto de sueldos y salarios </w:t>
            </w:r>
          </w:p>
        </w:tc>
        <w:tc>
          <w:tcPr>
            <w:tcW w:w="1584" w:type="dxa"/>
          </w:tcPr>
          <w:p w:rsidR="00A668D1" w:rsidRDefault="004E79ED" w:rsidP="00AB47E6">
            <w:pPr>
              <w:autoSpaceDE w:val="0"/>
              <w:autoSpaceDN w:val="0"/>
              <w:adjustRightInd w:val="0"/>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0</w:t>
            </w:r>
          </w:p>
        </w:tc>
        <w:tc>
          <w:tcPr>
            <w:tcW w:w="1714" w:type="dxa"/>
          </w:tcPr>
          <w:p w:rsidR="00A668D1" w:rsidRDefault="009361FB" w:rsidP="00AB47E6">
            <w:pPr>
              <w:autoSpaceDE w:val="0"/>
              <w:autoSpaceDN w:val="0"/>
              <w:adjustRightInd w:val="0"/>
              <w:jc w:val="center"/>
              <w:rPr>
                <w:rFonts w:ascii="Arial" w:hAnsi="Arial" w:cs="Arial"/>
                <w:sz w:val="18"/>
                <w:szCs w:val="18"/>
              </w:rPr>
            </w:pPr>
            <w:r>
              <w:rPr>
                <w:rFonts w:ascii="Arial" w:hAnsi="Arial" w:cs="Arial"/>
                <w:sz w:val="18"/>
                <w:szCs w:val="18"/>
              </w:rPr>
              <w:t xml:space="preserve"> </w:t>
            </w:r>
            <w:r w:rsidR="00AB47E6">
              <w:rPr>
                <w:rFonts w:ascii="Arial" w:hAnsi="Arial" w:cs="Arial"/>
                <w:sz w:val="18"/>
                <w:szCs w:val="18"/>
              </w:rPr>
              <w:t>0</w:t>
            </w: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B47E6" w:rsidTr="006A1948">
        <w:trPr>
          <w:gridAfter w:val="2"/>
          <w:wAfter w:w="3298" w:type="dxa"/>
          <w:trHeight w:val="88"/>
          <w:jc w:val="center"/>
        </w:trPr>
        <w:tc>
          <w:tcPr>
            <w:tcW w:w="3165" w:type="dxa"/>
          </w:tcPr>
          <w:p w:rsidR="00AB47E6" w:rsidRDefault="00AB47E6" w:rsidP="007C4003">
            <w:pPr>
              <w:autoSpaceDE w:val="0"/>
              <w:autoSpaceDN w:val="0"/>
              <w:adjustRightInd w:val="0"/>
              <w:jc w:val="both"/>
              <w:rPr>
                <w:rFonts w:ascii="Arial" w:hAnsi="Arial" w:cs="Arial"/>
                <w:sz w:val="18"/>
                <w:szCs w:val="18"/>
              </w:rPr>
            </w:pPr>
          </w:p>
        </w:tc>
      </w:tr>
      <w:tr w:rsidR="00A668D1" w:rsidTr="006A1948">
        <w:trPr>
          <w:trHeight w:val="88"/>
          <w:jc w:val="center"/>
        </w:trPr>
        <w:tc>
          <w:tcPr>
            <w:tcW w:w="3165" w:type="dxa"/>
          </w:tcPr>
          <w:p w:rsidR="00A668D1" w:rsidRDefault="00A668D1" w:rsidP="007C4003">
            <w:pPr>
              <w:autoSpaceDE w:val="0"/>
              <w:autoSpaceDN w:val="0"/>
              <w:adjustRightInd w:val="0"/>
              <w:ind w:firstLine="708"/>
              <w:jc w:val="both"/>
              <w:rPr>
                <w:rFonts w:ascii="Arial" w:hAnsi="Arial" w:cs="Arial"/>
                <w:sz w:val="18"/>
                <w:szCs w:val="18"/>
              </w:rPr>
            </w:pPr>
          </w:p>
        </w:tc>
        <w:tc>
          <w:tcPr>
            <w:tcW w:w="1584" w:type="dxa"/>
          </w:tcPr>
          <w:p w:rsidR="00A668D1" w:rsidRDefault="00A668D1" w:rsidP="007C4003">
            <w:pPr>
              <w:autoSpaceDE w:val="0"/>
              <w:autoSpaceDN w:val="0"/>
              <w:adjustRightInd w:val="0"/>
              <w:jc w:val="center"/>
              <w:rPr>
                <w:rFonts w:ascii="Arial" w:hAnsi="Arial" w:cs="Arial"/>
                <w:sz w:val="18"/>
                <w:szCs w:val="18"/>
              </w:rPr>
            </w:pPr>
          </w:p>
        </w:tc>
        <w:tc>
          <w:tcPr>
            <w:tcW w:w="1714" w:type="dxa"/>
          </w:tcPr>
          <w:p w:rsidR="00A668D1" w:rsidRDefault="00A668D1" w:rsidP="007C4003">
            <w:pPr>
              <w:autoSpaceDE w:val="0"/>
              <w:autoSpaceDN w:val="0"/>
              <w:adjustRightInd w:val="0"/>
              <w:jc w:val="right"/>
              <w:rPr>
                <w:rFonts w:ascii="Arial" w:hAnsi="Arial" w:cs="Arial"/>
                <w:sz w:val="18"/>
                <w:szCs w:val="18"/>
              </w:rPr>
            </w:pPr>
          </w:p>
        </w:tc>
      </w:tr>
      <w:tr w:rsidR="00A668D1" w:rsidTr="006A1948">
        <w:trPr>
          <w:trHeight w:val="128"/>
          <w:jc w:val="center"/>
        </w:trPr>
        <w:tc>
          <w:tcPr>
            <w:tcW w:w="4749" w:type="dxa"/>
            <w:gridSpan w:val="2"/>
          </w:tcPr>
          <w:p w:rsidR="00512181" w:rsidRDefault="00512181" w:rsidP="007C4003">
            <w:pPr>
              <w:autoSpaceDE w:val="0"/>
              <w:autoSpaceDN w:val="0"/>
              <w:adjustRightInd w:val="0"/>
              <w:jc w:val="right"/>
              <w:rPr>
                <w:rFonts w:ascii="Arial" w:hAnsi="Arial" w:cs="Arial"/>
                <w:b/>
                <w:sz w:val="18"/>
                <w:szCs w:val="18"/>
              </w:rPr>
            </w:pPr>
          </w:p>
          <w:p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rsidR="00512181" w:rsidRDefault="00512181" w:rsidP="007C4003">
            <w:pPr>
              <w:autoSpaceDE w:val="0"/>
              <w:autoSpaceDN w:val="0"/>
              <w:adjustRightInd w:val="0"/>
              <w:jc w:val="right"/>
              <w:rPr>
                <w:rFonts w:ascii="Arial" w:hAnsi="Arial" w:cs="Arial"/>
                <w:b/>
                <w:sz w:val="18"/>
                <w:szCs w:val="18"/>
              </w:rPr>
            </w:pPr>
          </w:p>
          <w:p w:rsidR="00A668D1" w:rsidRPr="00BD5912" w:rsidRDefault="009361FB" w:rsidP="00AB47E6">
            <w:pPr>
              <w:autoSpaceDE w:val="0"/>
              <w:autoSpaceDN w:val="0"/>
              <w:adjustRightInd w:val="0"/>
              <w:rPr>
                <w:rFonts w:ascii="Arial" w:hAnsi="Arial" w:cs="Arial"/>
                <w:b/>
                <w:sz w:val="18"/>
                <w:szCs w:val="18"/>
              </w:rPr>
            </w:pPr>
            <w:r>
              <w:rPr>
                <w:rFonts w:ascii="Arial" w:hAnsi="Arial" w:cs="Arial"/>
                <w:b/>
                <w:sz w:val="18"/>
                <w:szCs w:val="18"/>
              </w:rPr>
              <w:t xml:space="preserve">    </w:t>
            </w:r>
            <w:r w:rsidR="00BF3910">
              <w:rPr>
                <w:rFonts w:ascii="Arial" w:hAnsi="Arial" w:cs="Arial"/>
                <w:b/>
                <w:sz w:val="18"/>
                <w:szCs w:val="18"/>
              </w:rPr>
              <w:t xml:space="preserve">  </w:t>
            </w:r>
            <w:r>
              <w:rPr>
                <w:rFonts w:ascii="Arial" w:hAnsi="Arial" w:cs="Arial"/>
                <w:b/>
                <w:sz w:val="18"/>
                <w:szCs w:val="18"/>
              </w:rPr>
              <w:t xml:space="preserve"> $</w:t>
            </w:r>
            <w:r w:rsidR="00AB47E6">
              <w:rPr>
                <w:rFonts w:ascii="Arial" w:hAnsi="Arial" w:cs="Arial"/>
                <w:b/>
                <w:sz w:val="18"/>
                <w:szCs w:val="18"/>
              </w:rPr>
              <w:t>0</w:t>
            </w:r>
          </w:p>
        </w:tc>
      </w:tr>
    </w:tbl>
    <w:p w:rsidR="00F93E52" w:rsidRDefault="00F93E52" w:rsidP="007C4003">
      <w:pPr>
        <w:autoSpaceDE w:val="0"/>
        <w:autoSpaceDN w:val="0"/>
        <w:adjustRightInd w:val="0"/>
        <w:spacing w:before="80" w:after="0"/>
        <w:jc w:val="both"/>
        <w:rPr>
          <w:rFonts w:ascii="Arial" w:hAnsi="Arial" w:cs="Arial"/>
          <w:color w:val="FFFFFF"/>
          <w:sz w:val="18"/>
          <w:szCs w:val="18"/>
        </w:rPr>
      </w:pPr>
    </w:p>
    <w:p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rsidTr="00050077">
        <w:trPr>
          <w:trHeight w:val="240"/>
          <w:jc w:val="center"/>
        </w:trPr>
        <w:tc>
          <w:tcPr>
            <w:tcW w:w="0" w:type="auto"/>
            <w:shd w:val="clear" w:color="auto" w:fill="C00000"/>
            <w:noWrap/>
            <w:vAlign w:val="center"/>
            <w:hideMark/>
          </w:tcPr>
          <w:p w:rsidR="00A668D1" w:rsidRPr="002F31D1" w:rsidRDefault="00A668D1" w:rsidP="00822DA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C00000"/>
            <w:noWrap/>
            <w:vAlign w:val="center"/>
            <w:hideMark/>
          </w:tcPr>
          <w:p w:rsidR="00A668D1" w:rsidRPr="002F31D1" w:rsidRDefault="00A668D1"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201</w:t>
            </w:r>
            <w:r w:rsidR="00AB47E6">
              <w:rPr>
                <w:rFonts w:ascii="Arial" w:hAnsi="Arial" w:cs="Arial"/>
                <w:b/>
                <w:bCs/>
                <w:color w:val="FFFFFF"/>
                <w:sz w:val="18"/>
                <w:szCs w:val="18"/>
              </w:rPr>
              <w:t>9</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A668D1" w:rsidRPr="00F60271" w:rsidRDefault="00D678FD" w:rsidP="007C4003">
            <w:pPr>
              <w:spacing w:line="240" w:lineRule="auto"/>
              <w:jc w:val="right"/>
              <w:rPr>
                <w:rFonts w:ascii="Arial" w:hAnsi="Arial" w:cs="Arial"/>
                <w:sz w:val="18"/>
                <w:szCs w:val="18"/>
              </w:rPr>
            </w:pPr>
            <w:r w:rsidRPr="00F60271">
              <w:rPr>
                <w:rFonts w:ascii="Arial" w:hAnsi="Arial" w:cs="Arial"/>
                <w:sz w:val="18"/>
                <w:szCs w:val="18"/>
              </w:rPr>
              <w:t>21,</w:t>
            </w:r>
            <w:r w:rsidR="00F60271">
              <w:rPr>
                <w:rFonts w:ascii="Arial" w:hAnsi="Arial" w:cs="Arial"/>
                <w:sz w:val="18"/>
                <w:szCs w:val="18"/>
              </w:rPr>
              <w:t>900</w:t>
            </w:r>
            <w:r w:rsidRPr="00F60271">
              <w:rPr>
                <w:rFonts w:ascii="Arial" w:hAnsi="Arial" w:cs="Arial"/>
                <w:sz w:val="18"/>
                <w:szCs w:val="18"/>
              </w:rPr>
              <w:t>,</w:t>
            </w:r>
            <w:r w:rsidR="00F60271">
              <w:rPr>
                <w:rFonts w:ascii="Arial" w:hAnsi="Arial" w:cs="Arial"/>
                <w:sz w:val="18"/>
                <w:szCs w:val="18"/>
              </w:rPr>
              <w:t>945</w:t>
            </w:r>
          </w:p>
        </w:tc>
      </w:tr>
      <w:tr w:rsidR="00AB47E6" w:rsidRPr="00AB47E6" w:rsidTr="00822DAF">
        <w:trPr>
          <w:trHeight w:val="30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A668D1" w:rsidRPr="00F60271" w:rsidRDefault="00F60271" w:rsidP="00F93E52">
            <w:pPr>
              <w:spacing w:line="240" w:lineRule="auto"/>
              <w:jc w:val="right"/>
              <w:rPr>
                <w:rFonts w:ascii="Arial" w:hAnsi="Arial" w:cs="Arial"/>
                <w:sz w:val="18"/>
                <w:szCs w:val="18"/>
              </w:rPr>
            </w:pPr>
            <w:r>
              <w:rPr>
                <w:rFonts w:ascii="Arial" w:hAnsi="Arial" w:cs="Arial"/>
                <w:sz w:val="18"/>
                <w:szCs w:val="18"/>
              </w:rPr>
              <w:t>22,812</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rsidR="00A668D1" w:rsidRPr="00F60271" w:rsidRDefault="000E143A" w:rsidP="007C4003">
            <w:pPr>
              <w:spacing w:line="240" w:lineRule="auto"/>
              <w:jc w:val="right"/>
              <w:rPr>
                <w:rFonts w:ascii="Arial" w:hAnsi="Arial" w:cs="Arial"/>
                <w:sz w:val="18"/>
                <w:szCs w:val="18"/>
              </w:rPr>
            </w:pPr>
            <w:r w:rsidRPr="00F60271">
              <w:rPr>
                <w:rFonts w:ascii="Arial" w:hAnsi="Arial" w:cs="Arial"/>
                <w:sz w:val="18"/>
                <w:szCs w:val="18"/>
              </w:rPr>
              <w:t>2</w:t>
            </w:r>
            <w:r w:rsidR="00F60271">
              <w:rPr>
                <w:rFonts w:ascii="Arial" w:hAnsi="Arial" w:cs="Arial"/>
                <w:sz w:val="18"/>
                <w:szCs w:val="18"/>
              </w:rPr>
              <w:t>1,923,757</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A668D1" w:rsidRPr="00F60271" w:rsidRDefault="00F60271" w:rsidP="007C4003">
            <w:pPr>
              <w:spacing w:line="240" w:lineRule="auto"/>
              <w:jc w:val="right"/>
              <w:rPr>
                <w:rFonts w:ascii="Arial" w:hAnsi="Arial" w:cs="Arial"/>
                <w:sz w:val="18"/>
                <w:szCs w:val="18"/>
              </w:rPr>
            </w:pPr>
            <w:r>
              <w:rPr>
                <w:rFonts w:ascii="Arial" w:hAnsi="Arial" w:cs="Arial"/>
                <w:sz w:val="18"/>
                <w:szCs w:val="18"/>
              </w:rPr>
              <w:t>5,094,860</w:t>
            </w:r>
          </w:p>
        </w:tc>
      </w:tr>
      <w:tr w:rsidR="00AB47E6" w:rsidRPr="00AB47E6" w:rsidTr="00822DAF">
        <w:trPr>
          <w:trHeight w:val="240"/>
          <w:jc w:val="center"/>
        </w:trPr>
        <w:tc>
          <w:tcPr>
            <w:tcW w:w="0" w:type="auto"/>
            <w:shd w:val="clear" w:color="auto" w:fill="auto"/>
            <w:noWrap/>
            <w:vAlign w:val="bottom"/>
            <w:hideMark/>
          </w:tcPr>
          <w:p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E75042" w:rsidRPr="00F60271" w:rsidRDefault="00F60271" w:rsidP="007C4003">
            <w:pPr>
              <w:spacing w:line="240" w:lineRule="auto"/>
              <w:jc w:val="right"/>
              <w:rPr>
                <w:rFonts w:ascii="Arial" w:hAnsi="Arial" w:cs="Arial"/>
                <w:sz w:val="18"/>
                <w:szCs w:val="18"/>
              </w:rPr>
            </w:pPr>
            <w:r>
              <w:rPr>
                <w:rFonts w:ascii="Arial" w:hAnsi="Arial" w:cs="Arial"/>
                <w:sz w:val="18"/>
                <w:szCs w:val="18"/>
              </w:rPr>
              <w:t>5,058,834</w:t>
            </w:r>
          </w:p>
        </w:tc>
      </w:tr>
    </w:tbl>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F93E52" w:rsidRDefault="00F93E52" w:rsidP="00A668D1">
      <w:pPr>
        <w:autoSpaceDE w:val="0"/>
        <w:autoSpaceDN w:val="0"/>
        <w:adjustRightInd w:val="0"/>
        <w:spacing w:before="80"/>
        <w:contextualSpacing/>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404675" w:rsidP="00A668D1">
      <w:pPr>
        <w:spacing w:line="240" w:lineRule="auto"/>
        <w:jc w:val="center"/>
        <w:rPr>
          <w:rFonts w:ascii="Arial" w:hAnsi="Arial" w:cs="Arial"/>
          <w:sz w:val="18"/>
          <w:szCs w:val="18"/>
        </w:rPr>
      </w:pPr>
      <w:r>
        <w:rPr>
          <w:rFonts w:ascii="Arial" w:hAnsi="Arial" w:cs="Arial"/>
          <w:noProof/>
          <w:sz w:val="18"/>
          <w:szCs w:val="18"/>
          <w:lang w:eastAsia="es-MX"/>
        </w:rPr>
        <mc:AlternateContent>
          <mc:Choice Requires="wps">
            <w:drawing>
              <wp:anchor distT="4294967295" distB="4294967295" distL="114300" distR="114300" simplePos="0" relativeHeight="251661312" behindDoc="0" locked="0" layoutInCell="1" allowOverlap="1">
                <wp:simplePos x="0" y="0"/>
                <wp:positionH relativeFrom="column">
                  <wp:posOffset>5657850</wp:posOffset>
                </wp:positionH>
                <wp:positionV relativeFrom="paragraph">
                  <wp:posOffset>207644</wp:posOffset>
                </wp:positionV>
                <wp:extent cx="2466975"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30D756" id="AutoShape 27" o:spid="_x0000_s1026" type="#_x0000_t32" style="position:absolute;margin-left:445.5pt;margin-top:16.35pt;width:19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"/>
            </w:pict>
          </mc:Fallback>
        </mc:AlternateContent>
      </w:r>
      <w:r>
        <w:rPr>
          <w:rFonts w:ascii="Arial" w:hAnsi="Arial" w:cs="Arial"/>
          <w:noProof/>
          <w:sz w:val="18"/>
          <w:szCs w:val="18"/>
          <w:lang w:eastAsia="es-MX"/>
        </w:rPr>
        <mc:AlternateContent>
          <mc:Choice Requires="wps">
            <w:drawing>
              <wp:anchor distT="4294967295" distB="4294967295" distL="114300" distR="114300" simplePos="0" relativeHeight="251660288" behindDoc="0" locked="0" layoutInCell="1" allowOverlap="1">
                <wp:simplePos x="0" y="0"/>
                <wp:positionH relativeFrom="column">
                  <wp:posOffset>581025</wp:posOffset>
                </wp:positionH>
                <wp:positionV relativeFrom="paragraph">
                  <wp:posOffset>198119</wp:posOffset>
                </wp:positionV>
                <wp:extent cx="2466975" cy="0"/>
                <wp:effectExtent l="0" t="0" r="0" b="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7BE502" id="AutoShape 26" o:spid="_x0000_s1026" type="#_x0000_t32" style="position:absolute;margin-left:45.75pt;margin-top:15.6pt;width:194.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V3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"/>
            </w:pict>
          </mc:Fallback>
        </mc:AlternateContent>
      </w:r>
    </w:p>
    <w:p w:rsidR="00A668D1" w:rsidRDefault="00A86A37"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E77638">
        <w:rPr>
          <w:rFonts w:ascii="Arial" w:hAnsi="Arial" w:cs="Arial"/>
          <w:sz w:val="18"/>
          <w:szCs w:val="18"/>
        </w:rPr>
        <w:t>Víctor</w:t>
      </w:r>
      <w:r w:rsidR="003465BC">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FA004F">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F65E69">
        <w:rPr>
          <w:rFonts w:ascii="Arial" w:hAnsi="Arial" w:cs="Arial"/>
          <w:sz w:val="18"/>
          <w:szCs w:val="18"/>
        </w:rPr>
        <w:t xml:space="preserve">             </w:t>
      </w:r>
      <w:r w:rsidR="00D81D96">
        <w:rPr>
          <w:rFonts w:ascii="Arial" w:hAnsi="Arial" w:cs="Arial"/>
          <w:sz w:val="18"/>
          <w:szCs w:val="18"/>
        </w:rPr>
        <w:t xml:space="preserve">Lic. </w:t>
      </w:r>
      <w:r w:rsidR="00F65E69">
        <w:rPr>
          <w:rFonts w:ascii="Arial" w:hAnsi="Arial" w:cs="Arial"/>
          <w:sz w:val="18"/>
          <w:szCs w:val="18"/>
        </w:rPr>
        <w:t xml:space="preserve">Angélica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3465BC">
        <w:rPr>
          <w:rFonts w:ascii="Arial" w:hAnsi="Arial" w:cs="Arial"/>
          <w:sz w:val="18"/>
          <w:szCs w:val="18"/>
        </w:rPr>
        <w:t>e</w:t>
      </w:r>
      <w:r w:rsidR="00A668D1" w:rsidRPr="00AF6A66">
        <w:rPr>
          <w:rFonts w:ascii="Arial" w:hAnsi="Arial" w:cs="Arial"/>
          <w:sz w:val="18"/>
          <w:szCs w:val="18"/>
        </w:rPr>
        <w:t xml:space="preserve"> de la C.E.D.H.T. </w:t>
      </w:r>
      <w:r w:rsidR="00A668D1">
        <w:rPr>
          <w:rFonts w:ascii="Arial" w:hAnsi="Arial" w:cs="Arial"/>
          <w:sz w:val="18"/>
          <w:szCs w:val="18"/>
        </w:rPr>
        <w:t xml:space="preserve">   </w:t>
      </w:r>
      <w:r w:rsidR="00FA004F">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D17B14" w:rsidRPr="002F31D1" w:rsidRDefault="00D17B14" w:rsidP="00A668D1">
      <w:pPr>
        <w:pStyle w:val="Prrafodelista"/>
        <w:spacing w:before="80"/>
        <w:ind w:left="0"/>
        <w:jc w:val="both"/>
        <w:rPr>
          <w:rFonts w:ascii="Arial" w:hAnsi="Arial" w:cs="Arial"/>
          <w:sz w:val="18"/>
          <w:szCs w:val="18"/>
        </w:rPr>
      </w:pPr>
    </w:p>
    <w:p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A668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rsidR="00A668D1" w:rsidRDefault="00A668D1" w:rsidP="00A668D1">
      <w:pPr>
        <w:pStyle w:val="Prrafodelista"/>
        <w:autoSpaceDE w:val="0"/>
        <w:autoSpaceDN w:val="0"/>
        <w:adjustRightInd w:val="0"/>
        <w:spacing w:before="80"/>
        <w:ind w:left="0"/>
        <w:jc w:val="both"/>
        <w:rPr>
          <w:rFonts w:ascii="Arial" w:hAnsi="Arial" w:cs="Arial"/>
          <w:sz w:val="18"/>
          <w:szCs w:val="18"/>
        </w:rPr>
      </w:pPr>
    </w:p>
    <w:p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Los Estados Financieros que se presentan corresponden</w:t>
      </w:r>
      <w:r>
        <w:rPr>
          <w:rFonts w:ascii="Arial" w:hAnsi="Arial" w:cs="Arial"/>
          <w:sz w:val="18"/>
          <w:szCs w:val="18"/>
        </w:rPr>
        <w:t xml:space="preserve"> al periodo del 1 de enero al </w:t>
      </w:r>
      <w:r w:rsidR="00AB47E6">
        <w:rPr>
          <w:rFonts w:ascii="Arial" w:hAnsi="Arial" w:cs="Arial"/>
          <w:sz w:val="18"/>
          <w:szCs w:val="18"/>
        </w:rPr>
        <w:t>31 de marzo</w:t>
      </w:r>
      <w:r>
        <w:rPr>
          <w:rFonts w:ascii="Arial" w:hAnsi="Arial" w:cs="Arial"/>
          <w:sz w:val="18"/>
          <w:szCs w:val="18"/>
        </w:rPr>
        <w:t xml:space="preserve"> del ejercicio 201</w:t>
      </w:r>
      <w:r w:rsidR="00AB47E6">
        <w:rPr>
          <w:rFonts w:ascii="Arial" w:hAnsi="Arial" w:cs="Arial"/>
          <w:sz w:val="18"/>
          <w:szCs w:val="18"/>
        </w:rPr>
        <w:t>9</w:t>
      </w:r>
      <w:r w:rsidRPr="002F31D1">
        <w:rPr>
          <w:rFonts w:ascii="Arial" w:hAnsi="Arial" w:cs="Arial"/>
          <w:sz w:val="18"/>
          <w:szCs w:val="18"/>
        </w:rPr>
        <w:t xml:space="preserve"> comparados con los del 1 de enero 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los cuales contabilizan los eventos y las transacciones económicas cuantificables de las operaciones expresadas y contabilizadas en moneda nacional.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rsidR="00A668D1" w:rsidRPr="002F31D1" w:rsidRDefault="00A668D1" w:rsidP="00A668D1">
      <w:pPr>
        <w:pStyle w:val="Prrafodelista"/>
        <w:spacing w:before="80"/>
        <w:ind w:left="0"/>
        <w:jc w:val="both"/>
        <w:rPr>
          <w:rFonts w:ascii="Arial" w:hAnsi="Arial" w:cs="Arial"/>
          <w:sz w:val="18"/>
          <w:szCs w:val="18"/>
        </w:rPr>
      </w:pPr>
    </w:p>
    <w:p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rsidR="00A668D1" w:rsidRDefault="00A668D1" w:rsidP="00A668D1">
      <w:pPr>
        <w:pStyle w:val="Prrafodelista"/>
        <w:spacing w:before="80"/>
        <w:ind w:left="0"/>
        <w:jc w:val="both"/>
        <w:rPr>
          <w:rFonts w:ascii="Arial" w:hAnsi="Arial" w:cs="Arial"/>
          <w:sz w:val="18"/>
          <w:szCs w:val="18"/>
        </w:rPr>
      </w:pPr>
    </w:p>
    <w:p w:rsidR="00A668D1" w:rsidRPr="00475136" w:rsidRDefault="00A668D1" w:rsidP="00A668D1">
      <w:pPr>
        <w:pStyle w:val="Prrafodelista"/>
        <w:spacing w:before="80"/>
        <w:ind w:left="0"/>
        <w:jc w:val="both"/>
        <w:rPr>
          <w:rFonts w:ascii="Arial" w:hAnsi="Arial" w:cs="Arial"/>
          <w:b/>
          <w:sz w:val="18"/>
          <w:szCs w:val="18"/>
        </w:rPr>
      </w:pPr>
    </w:p>
    <w:p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AB47E6">
        <w:rPr>
          <w:rFonts w:ascii="Arial" w:hAnsi="Arial" w:cs="Arial"/>
          <w:sz w:val="18"/>
          <w:szCs w:val="18"/>
        </w:rPr>
        <w:t>31 de marzo</w:t>
      </w:r>
      <w:r>
        <w:rPr>
          <w:rFonts w:ascii="Arial" w:hAnsi="Arial" w:cs="Arial"/>
          <w:sz w:val="18"/>
          <w:szCs w:val="18"/>
        </w:rPr>
        <w:t xml:space="preserve"> del ejercicio 201</w:t>
      </w:r>
      <w:r w:rsidR="00AB47E6">
        <w:rPr>
          <w:rFonts w:ascii="Arial" w:hAnsi="Arial" w:cs="Arial"/>
          <w:sz w:val="18"/>
          <w:szCs w:val="18"/>
        </w:rPr>
        <w:t>9</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del ejercicio 201</w:t>
      </w:r>
      <w:r w:rsidR="00AB47E6">
        <w:rPr>
          <w:rFonts w:ascii="Arial" w:hAnsi="Arial" w:cs="Arial"/>
          <w:sz w:val="18"/>
          <w:szCs w:val="18"/>
        </w:rPr>
        <w:t>8</w:t>
      </w:r>
      <w:r w:rsidRPr="002F31D1">
        <w:rPr>
          <w:rFonts w:ascii="Arial" w:hAnsi="Arial" w:cs="Arial"/>
          <w:sz w:val="18"/>
          <w:szCs w:val="18"/>
        </w:rPr>
        <w:t>, fueron determinados y están presentados en pesos mexicanos.</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2A60DC" w:rsidRPr="002F31D1"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Diciembre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precisa que </w:t>
      </w:r>
      <w:r w:rsidRPr="00CF6075">
        <w:rPr>
          <w:rFonts w:ascii="Arial" w:hAnsi="Arial" w:cs="Arial"/>
          <w:sz w:val="18"/>
          <w:szCs w:val="18"/>
        </w:rPr>
        <w:lastRenderedPageBreak/>
        <w:t>cada ente público será el responsable de su contabilidad, de la operación del sistema, así como del cumplimiento de lo dispuesto en la ley referida y de las decisiones que emita el Consejo Nacional de Armonización Contable.</w:t>
      </w:r>
    </w:p>
    <w:p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rsidR="00A668D1" w:rsidRPr="002F31D1" w:rsidRDefault="00A668D1" w:rsidP="00A668D1">
      <w:pPr>
        <w:spacing w:before="80"/>
        <w:jc w:val="both"/>
        <w:rPr>
          <w:rFonts w:ascii="Arial" w:hAnsi="Arial" w:cs="Arial"/>
          <w:sz w:val="18"/>
          <w:szCs w:val="18"/>
        </w:rPr>
      </w:pPr>
    </w:p>
    <w:p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2A60DC" w:rsidRPr="00475136" w:rsidRDefault="002A60DC" w:rsidP="00A668D1">
      <w:pPr>
        <w:spacing w:before="80"/>
        <w:jc w:val="both"/>
        <w:rPr>
          <w:rFonts w:ascii="Arial" w:hAnsi="Arial" w:cs="Arial"/>
          <w:sz w:val="18"/>
          <w:szCs w:val="18"/>
        </w:rPr>
      </w:pPr>
    </w:p>
    <w:p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A668D1" w:rsidRDefault="00A668D1" w:rsidP="00A668D1">
      <w:pPr>
        <w:spacing w:before="80"/>
        <w:jc w:val="both"/>
        <w:rPr>
          <w:rFonts w:ascii="Arial" w:hAnsi="Arial" w:cs="Arial"/>
          <w:sz w:val="18"/>
          <w:szCs w:val="18"/>
        </w:rPr>
      </w:pPr>
      <w:r w:rsidRPr="002F31D1">
        <w:rPr>
          <w:rFonts w:ascii="Arial" w:hAnsi="Arial" w:cs="Arial"/>
          <w:sz w:val="18"/>
          <w:szCs w:val="18"/>
        </w:rPr>
        <w:lastRenderedPageBreak/>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A668D1" w:rsidRDefault="00A668D1" w:rsidP="00A668D1">
      <w:pPr>
        <w:pStyle w:val="Prrafodelista"/>
        <w:spacing w:before="80"/>
        <w:ind w:left="0"/>
        <w:jc w:val="both"/>
        <w:rPr>
          <w:rFonts w:ascii="Arial" w:hAnsi="Arial" w:cs="Arial"/>
          <w:b/>
          <w:sz w:val="18"/>
          <w:szCs w:val="18"/>
        </w:rPr>
      </w:pPr>
    </w:p>
    <w:p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rsidR="007B0B26" w:rsidRPr="00F95534" w:rsidRDefault="007B0B26" w:rsidP="00A668D1">
      <w:pPr>
        <w:pStyle w:val="Prrafodelista"/>
        <w:spacing w:before="80"/>
        <w:ind w:left="0"/>
        <w:jc w:val="both"/>
        <w:rPr>
          <w:rFonts w:ascii="Arial" w:hAnsi="Arial" w:cs="Arial"/>
          <w:b/>
          <w:sz w:val="18"/>
          <w:szCs w:val="18"/>
        </w:rPr>
      </w:pPr>
    </w:p>
    <w:p w:rsidR="00A668D1" w:rsidRPr="002F31D1" w:rsidRDefault="00A668D1" w:rsidP="00A668D1">
      <w:pPr>
        <w:pStyle w:val="Prrafodelista"/>
        <w:spacing w:before="80"/>
        <w:ind w:left="1429"/>
        <w:jc w:val="both"/>
        <w:rPr>
          <w:rFonts w:ascii="Arial" w:hAnsi="Arial" w:cs="Arial"/>
          <w:sz w:val="18"/>
          <w:szCs w:val="18"/>
        </w:rPr>
      </w:pPr>
    </w:p>
    <w:p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A668D1" w:rsidRPr="002F31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A668D1" w:rsidRDefault="00A668D1" w:rsidP="00A668D1">
      <w:pPr>
        <w:pStyle w:val="Prrafodelista"/>
        <w:spacing w:before="80"/>
        <w:ind w:left="0"/>
        <w:jc w:val="both"/>
        <w:rPr>
          <w:rFonts w:ascii="Arial" w:hAnsi="Arial" w:cs="Arial"/>
          <w:sz w:val="18"/>
          <w:szCs w:val="18"/>
        </w:rPr>
      </w:pPr>
    </w:p>
    <w:p w:rsidR="00A668D1" w:rsidRDefault="00A668D1" w:rsidP="00A668D1">
      <w:pPr>
        <w:pStyle w:val="Prrafodelista"/>
        <w:spacing w:before="80"/>
        <w:ind w:left="0"/>
        <w:jc w:val="both"/>
        <w:rPr>
          <w:rFonts w:ascii="Arial" w:hAnsi="Arial" w:cs="Arial"/>
          <w:sz w:val="18"/>
          <w:szCs w:val="18"/>
        </w:rPr>
      </w:pPr>
    </w:p>
    <w:p w:rsidR="00A668D1" w:rsidRPr="00C76D92" w:rsidRDefault="00A668D1" w:rsidP="00A668D1">
      <w:pPr>
        <w:pStyle w:val="Texto"/>
        <w:spacing w:after="0" w:line="240" w:lineRule="exact"/>
        <w:ind w:firstLine="0"/>
        <w:rPr>
          <w:rFonts w:ascii="Soberana Sans Light" w:hAnsi="Soberana Sans Light"/>
          <w:sz w:val="22"/>
          <w:szCs w:val="22"/>
        </w:rPr>
      </w:pPr>
    </w:p>
    <w:p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A668D1" w:rsidP="00A668D1">
      <w:pPr>
        <w:autoSpaceDE w:val="0"/>
        <w:autoSpaceDN w:val="0"/>
        <w:adjustRightInd w:val="0"/>
        <w:spacing w:before="80"/>
        <w:contextualSpacing/>
        <w:jc w:val="both"/>
        <w:rPr>
          <w:rFonts w:ascii="Arial" w:hAnsi="Arial" w:cs="Arial"/>
          <w:b/>
          <w:sz w:val="18"/>
          <w:szCs w:val="18"/>
        </w:rPr>
      </w:pPr>
    </w:p>
    <w:p w:rsidR="00A668D1" w:rsidRDefault="00404675" w:rsidP="00A668D1">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mc:AlternateContent>
          <mc:Choice Requires="wps">
            <w:drawing>
              <wp:anchor distT="4294967295" distB="4294967295" distL="114300" distR="114300" simplePos="0" relativeHeight="251659264" behindDoc="0" locked="0" layoutInCell="1" allowOverlap="1">
                <wp:simplePos x="0" y="0"/>
                <wp:positionH relativeFrom="column">
                  <wp:posOffset>5734050</wp:posOffset>
                </wp:positionH>
                <wp:positionV relativeFrom="paragraph">
                  <wp:posOffset>83184</wp:posOffset>
                </wp:positionV>
                <wp:extent cx="2466975" cy="0"/>
                <wp:effectExtent l="0" t="0" r="0" b="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E7AED9" id="AutoShape 30" o:spid="_x0000_s1026" type="#_x0000_t32" style="position:absolute;margin-left:451.5pt;margin-top:6.55pt;width:19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J/JIQIAAD0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"/>
            </w:pict>
          </mc:Fallback>
        </mc:AlternateContent>
      </w:r>
      <w:r>
        <w:rPr>
          <w:rFonts w:ascii="Arial" w:hAnsi="Arial" w:cs="Arial"/>
          <w:b/>
          <w:noProof/>
          <w:sz w:val="18"/>
          <w:szCs w:val="18"/>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628650</wp:posOffset>
                </wp:positionH>
                <wp:positionV relativeFrom="paragraph">
                  <wp:posOffset>73659</wp:posOffset>
                </wp:positionV>
                <wp:extent cx="2466975" cy="0"/>
                <wp:effectExtent l="0" t="0" r="0" b="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0206ED" id="AutoShape 28" o:spid="_x0000_s1026" type="#_x0000_t32" style="position:absolute;margin-left:49.5pt;margin-top:5.8pt;width:194.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DTt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"/>
            </w:pict>
          </mc:Fallback>
        </mc:AlternateContent>
      </w:r>
    </w:p>
    <w:p w:rsidR="00A668D1" w:rsidRDefault="00FA004F" w:rsidP="00A668D1">
      <w:pPr>
        <w:spacing w:line="240" w:lineRule="auto"/>
        <w:ind w:left="709" w:hanging="709"/>
        <w:jc w:val="center"/>
        <w:rPr>
          <w:rFonts w:ascii="Arial" w:hAnsi="Arial" w:cs="Arial"/>
          <w:sz w:val="18"/>
          <w:szCs w:val="18"/>
        </w:rPr>
      </w:pPr>
      <w:r>
        <w:rPr>
          <w:rFonts w:ascii="Arial" w:hAnsi="Arial" w:cs="Arial"/>
          <w:sz w:val="18"/>
          <w:szCs w:val="18"/>
        </w:rPr>
        <w:t xml:space="preserve">Lic. </w:t>
      </w:r>
      <w:r w:rsidR="001468FC">
        <w:rPr>
          <w:rFonts w:ascii="Arial" w:hAnsi="Arial" w:cs="Arial"/>
          <w:sz w:val="18"/>
          <w:szCs w:val="18"/>
        </w:rPr>
        <w:t>Víctor</w:t>
      </w:r>
      <w:r w:rsidR="00F65E69">
        <w:rPr>
          <w:rFonts w:ascii="Arial" w:hAnsi="Arial" w:cs="Arial"/>
          <w:sz w:val="18"/>
          <w:szCs w:val="18"/>
        </w:rPr>
        <w:t xml:space="preserve"> Manuel Cid del Prado Pineda</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A668D1" w:rsidRPr="00AF6A66">
        <w:rPr>
          <w:rFonts w:ascii="Arial" w:hAnsi="Arial" w:cs="Arial"/>
          <w:sz w:val="18"/>
          <w:szCs w:val="18"/>
        </w:rPr>
        <w:t xml:space="preserve">         </w:t>
      </w:r>
      <w:r w:rsidR="00D81D96">
        <w:rPr>
          <w:rFonts w:ascii="Arial" w:hAnsi="Arial" w:cs="Arial"/>
          <w:sz w:val="18"/>
          <w:szCs w:val="18"/>
        </w:rPr>
        <w:t>Lic. A</w:t>
      </w:r>
      <w:r w:rsidR="00F65E69">
        <w:rPr>
          <w:rFonts w:ascii="Arial" w:hAnsi="Arial" w:cs="Arial"/>
          <w:sz w:val="18"/>
          <w:szCs w:val="18"/>
        </w:rPr>
        <w:t xml:space="preserve">ngélica María Juárez </w:t>
      </w:r>
      <w:proofErr w:type="spellStart"/>
      <w:r w:rsidR="00F65E69">
        <w:rPr>
          <w:rFonts w:ascii="Arial" w:hAnsi="Arial" w:cs="Arial"/>
          <w:sz w:val="18"/>
          <w:szCs w:val="18"/>
        </w:rPr>
        <w:t>Texis</w:t>
      </w:r>
      <w:proofErr w:type="spellEnd"/>
      <w:r w:rsidR="00A668D1">
        <w:rPr>
          <w:rFonts w:ascii="Arial" w:hAnsi="Arial" w:cs="Arial"/>
          <w:sz w:val="18"/>
          <w:szCs w:val="18"/>
        </w:rPr>
        <w:t xml:space="preserve">                                                                                               </w:t>
      </w:r>
      <w:r>
        <w:rPr>
          <w:rFonts w:ascii="Arial" w:hAnsi="Arial" w:cs="Arial"/>
          <w:sz w:val="18"/>
          <w:szCs w:val="18"/>
        </w:rPr>
        <w:t>President</w:t>
      </w:r>
      <w:r w:rsidR="00F65E69">
        <w:rPr>
          <w:rFonts w:ascii="Arial" w:hAnsi="Arial" w:cs="Arial"/>
          <w:sz w:val="18"/>
          <w:szCs w:val="18"/>
        </w:rPr>
        <w:t>e</w:t>
      </w:r>
      <w:r>
        <w:rPr>
          <w:rFonts w:ascii="Arial" w:hAnsi="Arial" w:cs="Arial"/>
          <w:sz w:val="18"/>
          <w:szCs w:val="18"/>
        </w:rPr>
        <w:t xml:space="preserve"> </w:t>
      </w:r>
      <w:r w:rsidR="00A668D1" w:rsidRPr="00AF6A66">
        <w:rPr>
          <w:rFonts w:ascii="Arial" w:hAnsi="Arial" w:cs="Arial"/>
          <w:sz w:val="18"/>
          <w:szCs w:val="18"/>
        </w:rPr>
        <w:t xml:space="preserve">de la C.E.D.H.T. </w:t>
      </w:r>
      <w:r w:rsidR="00A668D1">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 xml:space="preserve">                  </w:t>
      </w:r>
      <w:r w:rsidR="00EF65DE">
        <w:rPr>
          <w:rFonts w:ascii="Arial" w:hAnsi="Arial" w:cs="Arial"/>
          <w:sz w:val="18"/>
          <w:szCs w:val="18"/>
        </w:rPr>
        <w:t xml:space="preserve">         </w:t>
      </w:r>
      <w:r w:rsidR="00A668D1" w:rsidRPr="00AF6A66">
        <w:rPr>
          <w:rFonts w:ascii="Arial" w:hAnsi="Arial" w:cs="Arial"/>
          <w:sz w:val="18"/>
          <w:szCs w:val="18"/>
        </w:rPr>
        <w:t xml:space="preserve">  </w:t>
      </w:r>
      <w:r w:rsidR="00A668D1">
        <w:rPr>
          <w:rFonts w:ascii="Arial" w:hAnsi="Arial" w:cs="Arial"/>
          <w:sz w:val="18"/>
          <w:szCs w:val="18"/>
        </w:rPr>
        <w:t>Encargad</w:t>
      </w:r>
      <w:r w:rsidR="00D81D96">
        <w:rPr>
          <w:rFonts w:ascii="Arial" w:hAnsi="Arial" w:cs="Arial"/>
          <w:sz w:val="18"/>
          <w:szCs w:val="18"/>
        </w:rPr>
        <w:t>a</w:t>
      </w:r>
      <w:r w:rsidR="00A668D1">
        <w:rPr>
          <w:rFonts w:ascii="Arial" w:hAnsi="Arial" w:cs="Arial"/>
          <w:sz w:val="18"/>
          <w:szCs w:val="18"/>
        </w:rPr>
        <w:t xml:space="preserve"> de la Dirección Administrativa</w:t>
      </w:r>
    </w:p>
    <w:p w:rsidR="00A668D1" w:rsidRPr="00475136" w:rsidRDefault="00A668D1" w:rsidP="00A668D1">
      <w:pPr>
        <w:spacing w:line="240" w:lineRule="auto"/>
        <w:jc w:val="center"/>
        <w:rPr>
          <w:rFonts w:ascii="Arial" w:hAnsi="Arial" w:cs="Arial"/>
          <w:sz w:val="18"/>
          <w:szCs w:val="18"/>
        </w:rPr>
      </w:pPr>
    </w:p>
    <w:p w:rsidR="00AF6A66" w:rsidRPr="00475136" w:rsidRDefault="00AF6A66" w:rsidP="00520523">
      <w:pPr>
        <w:pStyle w:val="Texto"/>
        <w:spacing w:after="0" w:line="240" w:lineRule="exact"/>
        <w:jc w:val="center"/>
        <w:rPr>
          <w:szCs w:val="18"/>
        </w:rPr>
      </w:pPr>
    </w:p>
    <w:sectPr w:rsidR="00AF6A66" w:rsidRPr="00475136" w:rsidSect="00723CBC">
      <w:headerReference w:type="even" r:id="rId26"/>
      <w:headerReference w:type="default" r:id="rId27"/>
      <w:footerReference w:type="even" r:id="rId28"/>
      <w:footerReference w:type="default" r:id="rId29"/>
      <w:pgSz w:w="15840" w:h="12240" w:orient="landscape"/>
      <w:pgMar w:top="1440" w:right="123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D4B" w:rsidRDefault="004A5D4B" w:rsidP="00EA5418">
      <w:pPr>
        <w:spacing w:after="0" w:line="240" w:lineRule="auto"/>
      </w:pPr>
      <w:r>
        <w:separator/>
      </w:r>
    </w:p>
  </w:endnote>
  <w:endnote w:type="continuationSeparator" w:id="0">
    <w:p w:rsidR="004A5D4B" w:rsidRDefault="004A5D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CAE6BF"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5221D" w:rsidRPr="0055221D">
          <w:rPr>
            <w:rFonts w:ascii="Soberana Sans Light" w:hAnsi="Soberana Sans Light"/>
            <w:noProof/>
            <w:lang w:val="es-ES"/>
          </w:rPr>
          <w:t>20</w:t>
        </w:r>
        <w:r w:rsidRPr="0013011C">
          <w:rPr>
            <w:rFonts w:ascii="Soberana Sans Light" w:hAnsi="Soberana Sans Light"/>
          </w:rPr>
          <w:fldChar w:fldCharType="end"/>
        </w:r>
      </w:sdtContent>
    </w:sdt>
  </w:p>
  <w:p w:rsidR="00B172CF" w:rsidRDefault="00B172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8E3652" w:rsidRDefault="00B172C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12065" b="254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B8AB3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5221D" w:rsidRPr="0055221D">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D4B" w:rsidRDefault="004A5D4B" w:rsidP="00EA5418">
      <w:pPr>
        <w:spacing w:after="0" w:line="240" w:lineRule="auto"/>
      </w:pPr>
      <w:r>
        <w:separator/>
      </w:r>
    </w:p>
  </w:footnote>
  <w:footnote w:type="continuationSeparator" w:id="0">
    <w:p w:rsidR="004A5D4B" w:rsidRDefault="004A5D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Default="00B172CF">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635"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827" cy="4315"/>
                          <a:chOff x="0" y="0"/>
                          <a:chExt cx="8827"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172CF" w:rsidRDefault="00B172C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172CF" w:rsidRDefault="00B172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172CF" w:rsidRPr="00275FC6" w:rsidRDefault="00B172C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BA5BED">
                          <w:rPr>
                            <w:rFonts w:ascii="Soberana Titular" w:hAnsi="Soberana Titular" w:cs="Arial"/>
                            <w:color w:val="808080" w:themeColor="background1" w:themeShade="80"/>
                            <w:sz w:val="42"/>
                            <w:szCs w:val="42"/>
                          </w:rPr>
                          <w:t>9</w:t>
                        </w:r>
                      </w:p>
                      <w:p w:rsidR="00B172CF" w:rsidRDefault="00B172C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172CF" w:rsidRPr="00275FC6" w:rsidRDefault="00B172C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7F545C"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2CF" w:rsidRPr="0013011C" w:rsidRDefault="00B172C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12065" b="254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A6623A"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380D"/>
    <w:rsid w:val="00021359"/>
    <w:rsid w:val="00031663"/>
    <w:rsid w:val="00031B24"/>
    <w:rsid w:val="00040466"/>
    <w:rsid w:val="00041C5E"/>
    <w:rsid w:val="00045A10"/>
    <w:rsid w:val="000473FD"/>
    <w:rsid w:val="00047EA5"/>
    <w:rsid w:val="00050077"/>
    <w:rsid w:val="00052384"/>
    <w:rsid w:val="00057159"/>
    <w:rsid w:val="000639C3"/>
    <w:rsid w:val="00066038"/>
    <w:rsid w:val="00066BB7"/>
    <w:rsid w:val="000733B6"/>
    <w:rsid w:val="00073B6A"/>
    <w:rsid w:val="00094DFC"/>
    <w:rsid w:val="00095904"/>
    <w:rsid w:val="000A148C"/>
    <w:rsid w:val="000A2655"/>
    <w:rsid w:val="000A266E"/>
    <w:rsid w:val="000A2C9A"/>
    <w:rsid w:val="000A41BB"/>
    <w:rsid w:val="000A6F34"/>
    <w:rsid w:val="000B2F78"/>
    <w:rsid w:val="000C261B"/>
    <w:rsid w:val="000C5990"/>
    <w:rsid w:val="000C74ED"/>
    <w:rsid w:val="000C79A2"/>
    <w:rsid w:val="000D0A95"/>
    <w:rsid w:val="000D5C9A"/>
    <w:rsid w:val="000E143A"/>
    <w:rsid w:val="000E6452"/>
    <w:rsid w:val="000F38B4"/>
    <w:rsid w:val="000F464C"/>
    <w:rsid w:val="000F7B0E"/>
    <w:rsid w:val="00100648"/>
    <w:rsid w:val="00101476"/>
    <w:rsid w:val="00104DDE"/>
    <w:rsid w:val="0013011C"/>
    <w:rsid w:val="00140819"/>
    <w:rsid w:val="001459C9"/>
    <w:rsid w:val="001468FC"/>
    <w:rsid w:val="001542E0"/>
    <w:rsid w:val="00155F63"/>
    <w:rsid w:val="00160E1E"/>
    <w:rsid w:val="00165BB4"/>
    <w:rsid w:val="001707E2"/>
    <w:rsid w:val="001718C3"/>
    <w:rsid w:val="00172E6B"/>
    <w:rsid w:val="00183C9A"/>
    <w:rsid w:val="00185057"/>
    <w:rsid w:val="00187B94"/>
    <w:rsid w:val="00187DC3"/>
    <w:rsid w:val="00191005"/>
    <w:rsid w:val="00192EFD"/>
    <w:rsid w:val="00196B37"/>
    <w:rsid w:val="00197E12"/>
    <w:rsid w:val="001B1734"/>
    <w:rsid w:val="001B1B72"/>
    <w:rsid w:val="001B344D"/>
    <w:rsid w:val="001B3B5A"/>
    <w:rsid w:val="001B4C3B"/>
    <w:rsid w:val="001B60EF"/>
    <w:rsid w:val="001C403F"/>
    <w:rsid w:val="001C41CB"/>
    <w:rsid w:val="001C604C"/>
    <w:rsid w:val="001C6FD8"/>
    <w:rsid w:val="001D0B94"/>
    <w:rsid w:val="001D294F"/>
    <w:rsid w:val="001D4C79"/>
    <w:rsid w:val="001D4DD2"/>
    <w:rsid w:val="001E03F2"/>
    <w:rsid w:val="001E166A"/>
    <w:rsid w:val="001E6B9F"/>
    <w:rsid w:val="001E7072"/>
    <w:rsid w:val="001F4213"/>
    <w:rsid w:val="001F590D"/>
    <w:rsid w:val="001F6F86"/>
    <w:rsid w:val="00204C86"/>
    <w:rsid w:val="00212216"/>
    <w:rsid w:val="00212C7D"/>
    <w:rsid w:val="00213FD0"/>
    <w:rsid w:val="00215D25"/>
    <w:rsid w:val="002236BA"/>
    <w:rsid w:val="00227A55"/>
    <w:rsid w:val="002307B2"/>
    <w:rsid w:val="0023714D"/>
    <w:rsid w:val="002441F0"/>
    <w:rsid w:val="00247169"/>
    <w:rsid w:val="002475E1"/>
    <w:rsid w:val="002554E7"/>
    <w:rsid w:val="002559B4"/>
    <w:rsid w:val="00263394"/>
    <w:rsid w:val="00264426"/>
    <w:rsid w:val="0027202F"/>
    <w:rsid w:val="00274A1C"/>
    <w:rsid w:val="00276654"/>
    <w:rsid w:val="00277404"/>
    <w:rsid w:val="00281DF1"/>
    <w:rsid w:val="0028567A"/>
    <w:rsid w:val="00293F82"/>
    <w:rsid w:val="00294582"/>
    <w:rsid w:val="002961F1"/>
    <w:rsid w:val="00297074"/>
    <w:rsid w:val="0029791A"/>
    <w:rsid w:val="002A60DC"/>
    <w:rsid w:val="002A70B3"/>
    <w:rsid w:val="002B392B"/>
    <w:rsid w:val="002B4DD8"/>
    <w:rsid w:val="002C08B4"/>
    <w:rsid w:val="002C1318"/>
    <w:rsid w:val="002C3EF3"/>
    <w:rsid w:val="002C47E6"/>
    <w:rsid w:val="002C55F7"/>
    <w:rsid w:val="002C5D41"/>
    <w:rsid w:val="002C6D14"/>
    <w:rsid w:val="002C728B"/>
    <w:rsid w:val="002D1157"/>
    <w:rsid w:val="002D29C5"/>
    <w:rsid w:val="002D45E8"/>
    <w:rsid w:val="002E390D"/>
    <w:rsid w:val="002E5CE4"/>
    <w:rsid w:val="002E7475"/>
    <w:rsid w:val="002F1516"/>
    <w:rsid w:val="002F2753"/>
    <w:rsid w:val="002F2FD7"/>
    <w:rsid w:val="002F31FF"/>
    <w:rsid w:val="002F40C2"/>
    <w:rsid w:val="002F6033"/>
    <w:rsid w:val="002F6436"/>
    <w:rsid w:val="0030014F"/>
    <w:rsid w:val="003003B7"/>
    <w:rsid w:val="0030166A"/>
    <w:rsid w:val="0030206D"/>
    <w:rsid w:val="003074EF"/>
    <w:rsid w:val="003123A1"/>
    <w:rsid w:val="003158A1"/>
    <w:rsid w:val="00321C6C"/>
    <w:rsid w:val="003233FA"/>
    <w:rsid w:val="00324E4A"/>
    <w:rsid w:val="003252B8"/>
    <w:rsid w:val="00333662"/>
    <w:rsid w:val="00334BAD"/>
    <w:rsid w:val="003351A9"/>
    <w:rsid w:val="00336586"/>
    <w:rsid w:val="00337E43"/>
    <w:rsid w:val="003414AB"/>
    <w:rsid w:val="0034201C"/>
    <w:rsid w:val="00342735"/>
    <w:rsid w:val="00343189"/>
    <w:rsid w:val="0034464C"/>
    <w:rsid w:val="003465BC"/>
    <w:rsid w:val="003471B4"/>
    <w:rsid w:val="00350990"/>
    <w:rsid w:val="00351CBA"/>
    <w:rsid w:val="00354B3D"/>
    <w:rsid w:val="00356C0F"/>
    <w:rsid w:val="003639B7"/>
    <w:rsid w:val="00371285"/>
    <w:rsid w:val="0037150E"/>
    <w:rsid w:val="00372F40"/>
    <w:rsid w:val="00380851"/>
    <w:rsid w:val="00383C22"/>
    <w:rsid w:val="00384E21"/>
    <w:rsid w:val="003853D3"/>
    <w:rsid w:val="00386103"/>
    <w:rsid w:val="00396960"/>
    <w:rsid w:val="00396B1A"/>
    <w:rsid w:val="00396C2B"/>
    <w:rsid w:val="003A0303"/>
    <w:rsid w:val="003B1216"/>
    <w:rsid w:val="003C1741"/>
    <w:rsid w:val="003C4AE1"/>
    <w:rsid w:val="003D0B80"/>
    <w:rsid w:val="003D3248"/>
    <w:rsid w:val="003D5DBF"/>
    <w:rsid w:val="003D7D5D"/>
    <w:rsid w:val="003E0A27"/>
    <w:rsid w:val="003E0E09"/>
    <w:rsid w:val="003E736B"/>
    <w:rsid w:val="003E7FD0"/>
    <w:rsid w:val="003F0EA4"/>
    <w:rsid w:val="003F1111"/>
    <w:rsid w:val="003F53A3"/>
    <w:rsid w:val="003F6666"/>
    <w:rsid w:val="003F6EBE"/>
    <w:rsid w:val="00400726"/>
    <w:rsid w:val="00401291"/>
    <w:rsid w:val="00401BAF"/>
    <w:rsid w:val="00402328"/>
    <w:rsid w:val="00404675"/>
    <w:rsid w:val="00404B94"/>
    <w:rsid w:val="00407221"/>
    <w:rsid w:val="00415629"/>
    <w:rsid w:val="00417047"/>
    <w:rsid w:val="00420EFF"/>
    <w:rsid w:val="00424A91"/>
    <w:rsid w:val="00426902"/>
    <w:rsid w:val="004311BE"/>
    <w:rsid w:val="0043166A"/>
    <w:rsid w:val="00433B5F"/>
    <w:rsid w:val="004349FC"/>
    <w:rsid w:val="00435FC1"/>
    <w:rsid w:val="004372F6"/>
    <w:rsid w:val="0044253C"/>
    <w:rsid w:val="00442890"/>
    <w:rsid w:val="0044414E"/>
    <w:rsid w:val="00444333"/>
    <w:rsid w:val="00444366"/>
    <w:rsid w:val="0045035D"/>
    <w:rsid w:val="00451107"/>
    <w:rsid w:val="0045436B"/>
    <w:rsid w:val="004618CF"/>
    <w:rsid w:val="00461C88"/>
    <w:rsid w:val="00461E34"/>
    <w:rsid w:val="004631BD"/>
    <w:rsid w:val="0047014A"/>
    <w:rsid w:val="004714CF"/>
    <w:rsid w:val="0047439F"/>
    <w:rsid w:val="00474CC0"/>
    <w:rsid w:val="00475136"/>
    <w:rsid w:val="004769CF"/>
    <w:rsid w:val="00480209"/>
    <w:rsid w:val="00484C0D"/>
    <w:rsid w:val="00490474"/>
    <w:rsid w:val="00495566"/>
    <w:rsid w:val="00497281"/>
    <w:rsid w:val="00497D8B"/>
    <w:rsid w:val="004A2FBE"/>
    <w:rsid w:val="004A3173"/>
    <w:rsid w:val="004A3495"/>
    <w:rsid w:val="004A5D4B"/>
    <w:rsid w:val="004A6866"/>
    <w:rsid w:val="004B0A5D"/>
    <w:rsid w:val="004B115A"/>
    <w:rsid w:val="004B6FBF"/>
    <w:rsid w:val="004C002C"/>
    <w:rsid w:val="004C3407"/>
    <w:rsid w:val="004C6F54"/>
    <w:rsid w:val="004D1BA4"/>
    <w:rsid w:val="004D41B8"/>
    <w:rsid w:val="004D512B"/>
    <w:rsid w:val="004E0576"/>
    <w:rsid w:val="004E25F5"/>
    <w:rsid w:val="004E5022"/>
    <w:rsid w:val="004E79ED"/>
    <w:rsid w:val="004F1DDC"/>
    <w:rsid w:val="004F2CB0"/>
    <w:rsid w:val="004F3657"/>
    <w:rsid w:val="004F3B72"/>
    <w:rsid w:val="004F5641"/>
    <w:rsid w:val="00503782"/>
    <w:rsid w:val="00504A40"/>
    <w:rsid w:val="005111EA"/>
    <w:rsid w:val="00512181"/>
    <w:rsid w:val="00514D99"/>
    <w:rsid w:val="00516DD4"/>
    <w:rsid w:val="00517BCF"/>
    <w:rsid w:val="00520523"/>
    <w:rsid w:val="00522632"/>
    <w:rsid w:val="00522EF3"/>
    <w:rsid w:val="00526B8D"/>
    <w:rsid w:val="00540418"/>
    <w:rsid w:val="00540B56"/>
    <w:rsid w:val="00546B18"/>
    <w:rsid w:val="005500B8"/>
    <w:rsid w:val="00551984"/>
    <w:rsid w:val="0055221D"/>
    <w:rsid w:val="005609D8"/>
    <w:rsid w:val="00560BC6"/>
    <w:rsid w:val="00574263"/>
    <w:rsid w:val="00574266"/>
    <w:rsid w:val="005743A6"/>
    <w:rsid w:val="00575005"/>
    <w:rsid w:val="005762EC"/>
    <w:rsid w:val="00584BE2"/>
    <w:rsid w:val="005854A5"/>
    <w:rsid w:val="00590487"/>
    <w:rsid w:val="005917DB"/>
    <w:rsid w:val="00592ACD"/>
    <w:rsid w:val="00597BFC"/>
    <w:rsid w:val="005A38C0"/>
    <w:rsid w:val="005B7795"/>
    <w:rsid w:val="005D0EFB"/>
    <w:rsid w:val="005D2D96"/>
    <w:rsid w:val="005D3D25"/>
    <w:rsid w:val="005D6E49"/>
    <w:rsid w:val="005E0592"/>
    <w:rsid w:val="005E3C55"/>
    <w:rsid w:val="005E610B"/>
    <w:rsid w:val="005F4FD6"/>
    <w:rsid w:val="006001E4"/>
    <w:rsid w:val="00600EA2"/>
    <w:rsid w:val="00607FD2"/>
    <w:rsid w:val="0061168A"/>
    <w:rsid w:val="006132A9"/>
    <w:rsid w:val="0061351A"/>
    <w:rsid w:val="00613E99"/>
    <w:rsid w:val="00617C0A"/>
    <w:rsid w:val="0062798B"/>
    <w:rsid w:val="00630471"/>
    <w:rsid w:val="0063083E"/>
    <w:rsid w:val="00633850"/>
    <w:rsid w:val="006454E0"/>
    <w:rsid w:val="006464F8"/>
    <w:rsid w:val="00646EC2"/>
    <w:rsid w:val="00651E15"/>
    <w:rsid w:val="00656B35"/>
    <w:rsid w:val="006619C8"/>
    <w:rsid w:val="0066586D"/>
    <w:rsid w:val="00667C03"/>
    <w:rsid w:val="00670769"/>
    <w:rsid w:val="006710F0"/>
    <w:rsid w:val="0067157D"/>
    <w:rsid w:val="00672941"/>
    <w:rsid w:val="00672E13"/>
    <w:rsid w:val="00673D61"/>
    <w:rsid w:val="0067436A"/>
    <w:rsid w:val="00681BCD"/>
    <w:rsid w:val="0068477B"/>
    <w:rsid w:val="006923B8"/>
    <w:rsid w:val="00696AC3"/>
    <w:rsid w:val="006A1948"/>
    <w:rsid w:val="006A24A4"/>
    <w:rsid w:val="006A6C6E"/>
    <w:rsid w:val="006B07CA"/>
    <w:rsid w:val="006B0BC9"/>
    <w:rsid w:val="006B1FE7"/>
    <w:rsid w:val="006B2928"/>
    <w:rsid w:val="006B7975"/>
    <w:rsid w:val="006C2B86"/>
    <w:rsid w:val="006C51F4"/>
    <w:rsid w:val="006C7CD7"/>
    <w:rsid w:val="006D1C8D"/>
    <w:rsid w:val="006D28BE"/>
    <w:rsid w:val="006D428F"/>
    <w:rsid w:val="006E49B3"/>
    <w:rsid w:val="006E6104"/>
    <w:rsid w:val="006E77DD"/>
    <w:rsid w:val="006F3247"/>
    <w:rsid w:val="006F324F"/>
    <w:rsid w:val="006F68F6"/>
    <w:rsid w:val="00701527"/>
    <w:rsid w:val="0071301F"/>
    <w:rsid w:val="007166AD"/>
    <w:rsid w:val="00723CBC"/>
    <w:rsid w:val="00725078"/>
    <w:rsid w:val="007278DC"/>
    <w:rsid w:val="0073019F"/>
    <w:rsid w:val="00730959"/>
    <w:rsid w:val="00735DE2"/>
    <w:rsid w:val="0074394F"/>
    <w:rsid w:val="0074627B"/>
    <w:rsid w:val="0075465B"/>
    <w:rsid w:val="00754F68"/>
    <w:rsid w:val="007578DC"/>
    <w:rsid w:val="007620C9"/>
    <w:rsid w:val="007634A2"/>
    <w:rsid w:val="007651B7"/>
    <w:rsid w:val="00771578"/>
    <w:rsid w:val="00771E65"/>
    <w:rsid w:val="00772AB1"/>
    <w:rsid w:val="007734AF"/>
    <w:rsid w:val="00773EC7"/>
    <w:rsid w:val="00774A05"/>
    <w:rsid w:val="00775BB3"/>
    <w:rsid w:val="00783986"/>
    <w:rsid w:val="00787B5E"/>
    <w:rsid w:val="007955A3"/>
    <w:rsid w:val="0079582C"/>
    <w:rsid w:val="007A2DE2"/>
    <w:rsid w:val="007A4336"/>
    <w:rsid w:val="007A6F4D"/>
    <w:rsid w:val="007B074B"/>
    <w:rsid w:val="007B0B26"/>
    <w:rsid w:val="007B5710"/>
    <w:rsid w:val="007B788D"/>
    <w:rsid w:val="007C4003"/>
    <w:rsid w:val="007D1472"/>
    <w:rsid w:val="007D6E9A"/>
    <w:rsid w:val="007E2626"/>
    <w:rsid w:val="007E4148"/>
    <w:rsid w:val="007E4423"/>
    <w:rsid w:val="007E6596"/>
    <w:rsid w:val="007E7B78"/>
    <w:rsid w:val="007F1C1D"/>
    <w:rsid w:val="007F30E5"/>
    <w:rsid w:val="008008E6"/>
    <w:rsid w:val="00800EAD"/>
    <w:rsid w:val="00804CE2"/>
    <w:rsid w:val="0080763E"/>
    <w:rsid w:val="00810568"/>
    <w:rsid w:val="008107D4"/>
    <w:rsid w:val="00811DAC"/>
    <w:rsid w:val="0081717C"/>
    <w:rsid w:val="00821E86"/>
    <w:rsid w:val="0082294D"/>
    <w:rsid w:val="00822A67"/>
    <w:rsid w:val="00822DAF"/>
    <w:rsid w:val="00822F6A"/>
    <w:rsid w:val="0082316B"/>
    <w:rsid w:val="00823546"/>
    <w:rsid w:val="00823B00"/>
    <w:rsid w:val="00825E5E"/>
    <w:rsid w:val="0082695B"/>
    <w:rsid w:val="00830DC8"/>
    <w:rsid w:val="0083598F"/>
    <w:rsid w:val="00837102"/>
    <w:rsid w:val="00837B8E"/>
    <w:rsid w:val="008473F1"/>
    <w:rsid w:val="00847F9B"/>
    <w:rsid w:val="0085165B"/>
    <w:rsid w:val="00851B03"/>
    <w:rsid w:val="008560E7"/>
    <w:rsid w:val="0086057B"/>
    <w:rsid w:val="008634C0"/>
    <w:rsid w:val="00871A83"/>
    <w:rsid w:val="00882779"/>
    <w:rsid w:val="0088529A"/>
    <w:rsid w:val="0089054E"/>
    <w:rsid w:val="0089293E"/>
    <w:rsid w:val="00894D37"/>
    <w:rsid w:val="00895A28"/>
    <w:rsid w:val="008A0E04"/>
    <w:rsid w:val="008A6E4D"/>
    <w:rsid w:val="008A793D"/>
    <w:rsid w:val="008B0017"/>
    <w:rsid w:val="008B6958"/>
    <w:rsid w:val="008C50A0"/>
    <w:rsid w:val="008C5F39"/>
    <w:rsid w:val="008C7B9B"/>
    <w:rsid w:val="008D5DC6"/>
    <w:rsid w:val="008D7BC4"/>
    <w:rsid w:val="008D7ED1"/>
    <w:rsid w:val="008E2D1D"/>
    <w:rsid w:val="008E3652"/>
    <w:rsid w:val="008E56BF"/>
    <w:rsid w:val="008E7C84"/>
    <w:rsid w:val="008F0D3D"/>
    <w:rsid w:val="008F2C39"/>
    <w:rsid w:val="008F6D58"/>
    <w:rsid w:val="008F7CBA"/>
    <w:rsid w:val="00900B27"/>
    <w:rsid w:val="00903AEF"/>
    <w:rsid w:val="00911C20"/>
    <w:rsid w:val="00913E62"/>
    <w:rsid w:val="009219F4"/>
    <w:rsid w:val="00932857"/>
    <w:rsid w:val="00932E1E"/>
    <w:rsid w:val="0093492C"/>
    <w:rsid w:val="009361FB"/>
    <w:rsid w:val="00944F17"/>
    <w:rsid w:val="0094566D"/>
    <w:rsid w:val="0095594B"/>
    <w:rsid w:val="00957043"/>
    <w:rsid w:val="00963AB0"/>
    <w:rsid w:val="009734CE"/>
    <w:rsid w:val="0097445F"/>
    <w:rsid w:val="009A1EA8"/>
    <w:rsid w:val="009C2799"/>
    <w:rsid w:val="009C354F"/>
    <w:rsid w:val="009C4106"/>
    <w:rsid w:val="009C76A7"/>
    <w:rsid w:val="009D5D4C"/>
    <w:rsid w:val="009D5EB6"/>
    <w:rsid w:val="009D7A6E"/>
    <w:rsid w:val="009E3806"/>
    <w:rsid w:val="009E426C"/>
    <w:rsid w:val="009E47BB"/>
    <w:rsid w:val="009E6653"/>
    <w:rsid w:val="009F23C4"/>
    <w:rsid w:val="009F72AC"/>
    <w:rsid w:val="00A05CFF"/>
    <w:rsid w:val="00A06211"/>
    <w:rsid w:val="00A104BB"/>
    <w:rsid w:val="00A10C36"/>
    <w:rsid w:val="00A14498"/>
    <w:rsid w:val="00A15F69"/>
    <w:rsid w:val="00A179AD"/>
    <w:rsid w:val="00A17E51"/>
    <w:rsid w:val="00A25ED8"/>
    <w:rsid w:val="00A34DB8"/>
    <w:rsid w:val="00A363B6"/>
    <w:rsid w:val="00A40553"/>
    <w:rsid w:val="00A44572"/>
    <w:rsid w:val="00A45843"/>
    <w:rsid w:val="00A46BF5"/>
    <w:rsid w:val="00A575BC"/>
    <w:rsid w:val="00A57846"/>
    <w:rsid w:val="00A643F5"/>
    <w:rsid w:val="00A668D1"/>
    <w:rsid w:val="00A672EB"/>
    <w:rsid w:val="00A70B18"/>
    <w:rsid w:val="00A71541"/>
    <w:rsid w:val="00A724CE"/>
    <w:rsid w:val="00A726DE"/>
    <w:rsid w:val="00A7654A"/>
    <w:rsid w:val="00A8076B"/>
    <w:rsid w:val="00A80790"/>
    <w:rsid w:val="00A86A37"/>
    <w:rsid w:val="00A92A1C"/>
    <w:rsid w:val="00AA17E4"/>
    <w:rsid w:val="00AA63D3"/>
    <w:rsid w:val="00AA7673"/>
    <w:rsid w:val="00AA79FA"/>
    <w:rsid w:val="00AA7ED4"/>
    <w:rsid w:val="00AB0F61"/>
    <w:rsid w:val="00AB28E0"/>
    <w:rsid w:val="00AB3630"/>
    <w:rsid w:val="00AB404D"/>
    <w:rsid w:val="00AB47E6"/>
    <w:rsid w:val="00AB48D8"/>
    <w:rsid w:val="00AB4BEC"/>
    <w:rsid w:val="00AC517B"/>
    <w:rsid w:val="00AC5811"/>
    <w:rsid w:val="00AE6070"/>
    <w:rsid w:val="00AE7987"/>
    <w:rsid w:val="00AF2F54"/>
    <w:rsid w:val="00AF35AC"/>
    <w:rsid w:val="00AF61E9"/>
    <w:rsid w:val="00AF6A66"/>
    <w:rsid w:val="00AF7008"/>
    <w:rsid w:val="00B0294B"/>
    <w:rsid w:val="00B143AB"/>
    <w:rsid w:val="00B146E2"/>
    <w:rsid w:val="00B16D69"/>
    <w:rsid w:val="00B172CF"/>
    <w:rsid w:val="00B2428A"/>
    <w:rsid w:val="00B323B6"/>
    <w:rsid w:val="00B32591"/>
    <w:rsid w:val="00B33A56"/>
    <w:rsid w:val="00B40B4A"/>
    <w:rsid w:val="00B43C45"/>
    <w:rsid w:val="00B4710C"/>
    <w:rsid w:val="00B5438D"/>
    <w:rsid w:val="00B64EE2"/>
    <w:rsid w:val="00B71A14"/>
    <w:rsid w:val="00B739D4"/>
    <w:rsid w:val="00B75763"/>
    <w:rsid w:val="00B77C76"/>
    <w:rsid w:val="00B80799"/>
    <w:rsid w:val="00B82895"/>
    <w:rsid w:val="00B82C20"/>
    <w:rsid w:val="00B83224"/>
    <w:rsid w:val="00B849EE"/>
    <w:rsid w:val="00B84D02"/>
    <w:rsid w:val="00B949A1"/>
    <w:rsid w:val="00B952AB"/>
    <w:rsid w:val="00B97B00"/>
    <w:rsid w:val="00BA2940"/>
    <w:rsid w:val="00BA5BED"/>
    <w:rsid w:val="00BB081E"/>
    <w:rsid w:val="00BB0954"/>
    <w:rsid w:val="00BB538B"/>
    <w:rsid w:val="00BC107C"/>
    <w:rsid w:val="00BC2554"/>
    <w:rsid w:val="00BC3EA5"/>
    <w:rsid w:val="00BC617A"/>
    <w:rsid w:val="00BC78FC"/>
    <w:rsid w:val="00BD18FE"/>
    <w:rsid w:val="00BD3EBE"/>
    <w:rsid w:val="00BD5769"/>
    <w:rsid w:val="00BD6E3E"/>
    <w:rsid w:val="00BE000C"/>
    <w:rsid w:val="00BE02D4"/>
    <w:rsid w:val="00BE05ED"/>
    <w:rsid w:val="00BE0605"/>
    <w:rsid w:val="00BE3400"/>
    <w:rsid w:val="00BE370C"/>
    <w:rsid w:val="00BE626E"/>
    <w:rsid w:val="00BF3910"/>
    <w:rsid w:val="00C01699"/>
    <w:rsid w:val="00C0715E"/>
    <w:rsid w:val="00C077DC"/>
    <w:rsid w:val="00C11331"/>
    <w:rsid w:val="00C16E53"/>
    <w:rsid w:val="00C16FC2"/>
    <w:rsid w:val="00C20476"/>
    <w:rsid w:val="00C23ADB"/>
    <w:rsid w:val="00C31D7B"/>
    <w:rsid w:val="00C31D98"/>
    <w:rsid w:val="00C36B39"/>
    <w:rsid w:val="00C42211"/>
    <w:rsid w:val="00C42A49"/>
    <w:rsid w:val="00C431B4"/>
    <w:rsid w:val="00C4470E"/>
    <w:rsid w:val="00C448D7"/>
    <w:rsid w:val="00C44B91"/>
    <w:rsid w:val="00C50E63"/>
    <w:rsid w:val="00C53526"/>
    <w:rsid w:val="00C55CB4"/>
    <w:rsid w:val="00C56AC7"/>
    <w:rsid w:val="00C66B43"/>
    <w:rsid w:val="00C67AE2"/>
    <w:rsid w:val="00C715FD"/>
    <w:rsid w:val="00C725A5"/>
    <w:rsid w:val="00C72921"/>
    <w:rsid w:val="00C73DE1"/>
    <w:rsid w:val="00C75754"/>
    <w:rsid w:val="00C76D92"/>
    <w:rsid w:val="00C82E22"/>
    <w:rsid w:val="00C844AE"/>
    <w:rsid w:val="00C86C59"/>
    <w:rsid w:val="00C90858"/>
    <w:rsid w:val="00C91C5A"/>
    <w:rsid w:val="00C92CBB"/>
    <w:rsid w:val="00C94A97"/>
    <w:rsid w:val="00C96BE9"/>
    <w:rsid w:val="00CA1D84"/>
    <w:rsid w:val="00CA3D9A"/>
    <w:rsid w:val="00CA58C5"/>
    <w:rsid w:val="00CA724A"/>
    <w:rsid w:val="00CB05DD"/>
    <w:rsid w:val="00CB4F8A"/>
    <w:rsid w:val="00CB5436"/>
    <w:rsid w:val="00CB5593"/>
    <w:rsid w:val="00CB5950"/>
    <w:rsid w:val="00CB5D6F"/>
    <w:rsid w:val="00CB7331"/>
    <w:rsid w:val="00CC30CA"/>
    <w:rsid w:val="00CC6B68"/>
    <w:rsid w:val="00CC7CAF"/>
    <w:rsid w:val="00CD5A8C"/>
    <w:rsid w:val="00CD5B19"/>
    <w:rsid w:val="00CD6D9A"/>
    <w:rsid w:val="00CE32C9"/>
    <w:rsid w:val="00CE5E29"/>
    <w:rsid w:val="00CE6FD8"/>
    <w:rsid w:val="00CF0E4B"/>
    <w:rsid w:val="00CF6075"/>
    <w:rsid w:val="00D00E92"/>
    <w:rsid w:val="00D0165E"/>
    <w:rsid w:val="00D01783"/>
    <w:rsid w:val="00D0500B"/>
    <w:rsid w:val="00D055EC"/>
    <w:rsid w:val="00D05CFC"/>
    <w:rsid w:val="00D1057C"/>
    <w:rsid w:val="00D141C1"/>
    <w:rsid w:val="00D17B14"/>
    <w:rsid w:val="00D209BD"/>
    <w:rsid w:val="00D21A5E"/>
    <w:rsid w:val="00D231F2"/>
    <w:rsid w:val="00D25BD0"/>
    <w:rsid w:val="00D26A33"/>
    <w:rsid w:val="00D405D5"/>
    <w:rsid w:val="00D44728"/>
    <w:rsid w:val="00D45E17"/>
    <w:rsid w:val="00D50462"/>
    <w:rsid w:val="00D50470"/>
    <w:rsid w:val="00D50936"/>
    <w:rsid w:val="00D562FF"/>
    <w:rsid w:val="00D569BF"/>
    <w:rsid w:val="00D60927"/>
    <w:rsid w:val="00D60A46"/>
    <w:rsid w:val="00D63D81"/>
    <w:rsid w:val="00D64671"/>
    <w:rsid w:val="00D64D8E"/>
    <w:rsid w:val="00D678FD"/>
    <w:rsid w:val="00D70277"/>
    <w:rsid w:val="00D70AFD"/>
    <w:rsid w:val="00D70BDA"/>
    <w:rsid w:val="00D74B27"/>
    <w:rsid w:val="00D75214"/>
    <w:rsid w:val="00D80AB5"/>
    <w:rsid w:val="00D81D96"/>
    <w:rsid w:val="00D876AA"/>
    <w:rsid w:val="00D91F64"/>
    <w:rsid w:val="00D922D4"/>
    <w:rsid w:val="00D92AA8"/>
    <w:rsid w:val="00D9397A"/>
    <w:rsid w:val="00D95D6C"/>
    <w:rsid w:val="00DA7EC3"/>
    <w:rsid w:val="00DB4603"/>
    <w:rsid w:val="00DB5B2F"/>
    <w:rsid w:val="00DC3EDE"/>
    <w:rsid w:val="00DC7F57"/>
    <w:rsid w:val="00DD23F9"/>
    <w:rsid w:val="00DD5679"/>
    <w:rsid w:val="00DE011E"/>
    <w:rsid w:val="00DE0AD4"/>
    <w:rsid w:val="00DE363C"/>
    <w:rsid w:val="00DE3AB8"/>
    <w:rsid w:val="00DE461A"/>
    <w:rsid w:val="00DE54F2"/>
    <w:rsid w:val="00DF17A4"/>
    <w:rsid w:val="00DF1FA1"/>
    <w:rsid w:val="00DF56C9"/>
    <w:rsid w:val="00E017FD"/>
    <w:rsid w:val="00E0380A"/>
    <w:rsid w:val="00E04FCA"/>
    <w:rsid w:val="00E071BE"/>
    <w:rsid w:val="00E125D5"/>
    <w:rsid w:val="00E12B9D"/>
    <w:rsid w:val="00E12BCF"/>
    <w:rsid w:val="00E170A8"/>
    <w:rsid w:val="00E22AD9"/>
    <w:rsid w:val="00E23C2C"/>
    <w:rsid w:val="00E23FA1"/>
    <w:rsid w:val="00E27373"/>
    <w:rsid w:val="00E30318"/>
    <w:rsid w:val="00E31950"/>
    <w:rsid w:val="00E31AE9"/>
    <w:rsid w:val="00E32708"/>
    <w:rsid w:val="00E3389D"/>
    <w:rsid w:val="00E34523"/>
    <w:rsid w:val="00E50454"/>
    <w:rsid w:val="00E56CCD"/>
    <w:rsid w:val="00E633A8"/>
    <w:rsid w:val="00E6415A"/>
    <w:rsid w:val="00E71427"/>
    <w:rsid w:val="00E72D60"/>
    <w:rsid w:val="00E72FD1"/>
    <w:rsid w:val="00E74F66"/>
    <w:rsid w:val="00E75042"/>
    <w:rsid w:val="00E77638"/>
    <w:rsid w:val="00E7783D"/>
    <w:rsid w:val="00E809F4"/>
    <w:rsid w:val="00E81472"/>
    <w:rsid w:val="00E81B57"/>
    <w:rsid w:val="00E82E12"/>
    <w:rsid w:val="00E83AE6"/>
    <w:rsid w:val="00E85955"/>
    <w:rsid w:val="00E866CE"/>
    <w:rsid w:val="00E93AED"/>
    <w:rsid w:val="00E948EF"/>
    <w:rsid w:val="00E9544C"/>
    <w:rsid w:val="00E96D12"/>
    <w:rsid w:val="00EA1728"/>
    <w:rsid w:val="00EA5418"/>
    <w:rsid w:val="00EB2405"/>
    <w:rsid w:val="00EC11C5"/>
    <w:rsid w:val="00EC3208"/>
    <w:rsid w:val="00EC51F1"/>
    <w:rsid w:val="00EC6D85"/>
    <w:rsid w:val="00EC6D93"/>
    <w:rsid w:val="00ED0450"/>
    <w:rsid w:val="00ED64E7"/>
    <w:rsid w:val="00ED7254"/>
    <w:rsid w:val="00EE2409"/>
    <w:rsid w:val="00EE2832"/>
    <w:rsid w:val="00EE46FB"/>
    <w:rsid w:val="00EE5401"/>
    <w:rsid w:val="00EE63F1"/>
    <w:rsid w:val="00EF43D3"/>
    <w:rsid w:val="00EF5CE7"/>
    <w:rsid w:val="00EF65DE"/>
    <w:rsid w:val="00F021A4"/>
    <w:rsid w:val="00F05082"/>
    <w:rsid w:val="00F11FCF"/>
    <w:rsid w:val="00F12DC8"/>
    <w:rsid w:val="00F1413B"/>
    <w:rsid w:val="00F1495B"/>
    <w:rsid w:val="00F159C7"/>
    <w:rsid w:val="00F169A0"/>
    <w:rsid w:val="00F17C0D"/>
    <w:rsid w:val="00F25236"/>
    <w:rsid w:val="00F346D7"/>
    <w:rsid w:val="00F357DC"/>
    <w:rsid w:val="00F3620F"/>
    <w:rsid w:val="00F3632C"/>
    <w:rsid w:val="00F4166C"/>
    <w:rsid w:val="00F42563"/>
    <w:rsid w:val="00F425F0"/>
    <w:rsid w:val="00F54692"/>
    <w:rsid w:val="00F60086"/>
    <w:rsid w:val="00F60271"/>
    <w:rsid w:val="00F603C3"/>
    <w:rsid w:val="00F6255B"/>
    <w:rsid w:val="00F62B26"/>
    <w:rsid w:val="00F65E69"/>
    <w:rsid w:val="00F65F90"/>
    <w:rsid w:val="00F66711"/>
    <w:rsid w:val="00F707DB"/>
    <w:rsid w:val="00F71732"/>
    <w:rsid w:val="00F72FA7"/>
    <w:rsid w:val="00F755D0"/>
    <w:rsid w:val="00F755EF"/>
    <w:rsid w:val="00F764FC"/>
    <w:rsid w:val="00F93E52"/>
    <w:rsid w:val="00F9425A"/>
    <w:rsid w:val="00F9680C"/>
    <w:rsid w:val="00F97099"/>
    <w:rsid w:val="00FA004F"/>
    <w:rsid w:val="00FA127E"/>
    <w:rsid w:val="00FA2162"/>
    <w:rsid w:val="00FA334D"/>
    <w:rsid w:val="00FA5560"/>
    <w:rsid w:val="00FA6E02"/>
    <w:rsid w:val="00FB1010"/>
    <w:rsid w:val="00FB1229"/>
    <w:rsid w:val="00FB424B"/>
    <w:rsid w:val="00FC392C"/>
    <w:rsid w:val="00FC3DE2"/>
    <w:rsid w:val="00FD07FD"/>
    <w:rsid w:val="00FD179C"/>
    <w:rsid w:val="00FD445F"/>
    <w:rsid w:val="00FD584B"/>
    <w:rsid w:val="00FD5A63"/>
    <w:rsid w:val="00FE0E86"/>
    <w:rsid w:val="00FE156C"/>
    <w:rsid w:val="00FE21E4"/>
    <w:rsid w:val="00FE2871"/>
    <w:rsid w:val="00FE5A59"/>
    <w:rsid w:val="00FF0DA0"/>
    <w:rsid w:val="00FF4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0D7C27B"/>
  <w15:docId w15:val="{AFAE00C4-CDED-4558-ABC0-44EBB2E2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9645-2FC7-407A-8B86-C67F17FC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2450</Words>
  <Characters>13478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Ghia-Adm-5611</cp:lastModifiedBy>
  <cp:revision>18</cp:revision>
  <cp:lastPrinted>2019-04-09T19:33:00Z</cp:lastPrinted>
  <dcterms:created xsi:type="dcterms:W3CDTF">2019-01-11T00:53:00Z</dcterms:created>
  <dcterms:modified xsi:type="dcterms:W3CDTF">2019-04-10T18:05:00Z</dcterms:modified>
</cp:coreProperties>
</file>