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4,</w:t>
      </w:r>
      <w:r w:rsidR="00CE45FC">
        <w:rPr>
          <w:rFonts w:ascii="Arial" w:hAnsi="Arial" w:cs="Arial"/>
          <w:sz w:val="18"/>
          <w:szCs w:val="18"/>
        </w:rPr>
        <w:t>717</w:t>
      </w:r>
      <w:r>
        <w:rPr>
          <w:rFonts w:ascii="Arial" w:hAnsi="Arial" w:cs="Arial"/>
          <w:sz w:val="18"/>
          <w:szCs w:val="18"/>
        </w:rPr>
        <w:t>,</w:t>
      </w:r>
      <w:r w:rsidR="00CE45FC">
        <w:rPr>
          <w:rFonts w:ascii="Arial" w:hAnsi="Arial" w:cs="Arial"/>
          <w:sz w:val="18"/>
          <w:szCs w:val="18"/>
        </w:rPr>
        <w:t>692</w:t>
      </w:r>
      <w:r>
        <w:rPr>
          <w:rFonts w:ascii="Arial" w:hAnsi="Arial" w:cs="Arial"/>
          <w:sz w:val="18"/>
          <w:szCs w:val="18"/>
        </w:rPr>
        <w:t>,</w:t>
      </w:r>
      <w:r w:rsidR="00CE45FC">
        <w:rPr>
          <w:rFonts w:ascii="Arial" w:hAnsi="Arial" w:cs="Arial"/>
          <w:sz w:val="18"/>
          <w:szCs w:val="18"/>
        </w:rPr>
        <w:t>780</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CE45FC">
        <w:rPr>
          <w:rFonts w:ascii="Arial" w:hAnsi="Arial" w:cs="Arial"/>
          <w:sz w:val="18"/>
          <w:szCs w:val="18"/>
        </w:rPr>
        <w:t>Primer</w:t>
      </w:r>
      <w:r>
        <w:rPr>
          <w:rFonts w:ascii="Arial" w:hAnsi="Arial" w:cs="Arial"/>
          <w:sz w:val="18"/>
          <w:szCs w:val="18"/>
        </w:rPr>
        <w:t xml:space="preserve"> Ajuste Trimestral 201</w:t>
      </w:r>
      <w:r w:rsidR="00CE45FC">
        <w:rPr>
          <w:rFonts w:ascii="Arial" w:hAnsi="Arial" w:cs="Arial"/>
          <w:sz w:val="18"/>
          <w:szCs w:val="18"/>
        </w:rPr>
        <w:t>9</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142035">
        <w:rPr>
          <w:rFonts w:ascii="Arial" w:hAnsi="Arial" w:cs="Arial"/>
          <w:sz w:val="18"/>
          <w:szCs w:val="18"/>
        </w:rPr>
        <w:t>, mismo que es mayor en un 26.7% respecto al mismo periodo del 2018</w:t>
      </w:r>
      <w:r>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CE45FC">
        <w:rPr>
          <w:rFonts w:ascii="Arial" w:hAnsi="Arial" w:cs="Arial"/>
          <w:sz w:val="18"/>
          <w:szCs w:val="18"/>
        </w:rPr>
        <w:t>205</w:t>
      </w:r>
      <w:r>
        <w:rPr>
          <w:rFonts w:ascii="Arial" w:hAnsi="Arial" w:cs="Arial"/>
          <w:sz w:val="18"/>
          <w:szCs w:val="18"/>
        </w:rPr>
        <w:t>,</w:t>
      </w:r>
      <w:r w:rsidR="00CE45FC">
        <w:rPr>
          <w:rFonts w:ascii="Arial" w:hAnsi="Arial" w:cs="Arial"/>
          <w:sz w:val="18"/>
          <w:szCs w:val="18"/>
        </w:rPr>
        <w:t>397</w:t>
      </w:r>
      <w:r>
        <w:rPr>
          <w:rFonts w:ascii="Arial" w:hAnsi="Arial" w:cs="Arial"/>
          <w:sz w:val="18"/>
          <w:szCs w:val="18"/>
        </w:rPr>
        <w:t>,</w:t>
      </w:r>
      <w:r w:rsidR="00CE45FC">
        <w:rPr>
          <w:rFonts w:ascii="Arial" w:hAnsi="Arial" w:cs="Arial"/>
          <w:sz w:val="18"/>
          <w:szCs w:val="18"/>
        </w:rPr>
        <w:t>650</w:t>
      </w:r>
      <w:r w:rsidRPr="0073056A">
        <w:rPr>
          <w:rFonts w:ascii="Arial" w:hAnsi="Arial" w:cs="Arial"/>
          <w:sz w:val="18"/>
          <w:szCs w:val="18"/>
        </w:rPr>
        <w:t xml:space="preserve"> que se tiene al cierre del </w:t>
      </w:r>
      <w:r w:rsidR="00CE45FC">
        <w:rPr>
          <w:rFonts w:ascii="Arial" w:hAnsi="Arial" w:cs="Arial"/>
          <w:sz w:val="18"/>
          <w:szCs w:val="18"/>
        </w:rPr>
        <w:t xml:space="preserve">primer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3C3B3A">
        <w:rPr>
          <w:rFonts w:ascii="Arial" w:hAnsi="Arial" w:cs="Arial"/>
          <w:sz w:val="18"/>
          <w:szCs w:val="18"/>
        </w:rPr>
        <w:t>, presentando un incremento del 3.3% respecto al mismo periodo de 2018</w:t>
      </w:r>
      <w:r>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CE45FC">
        <w:rPr>
          <w:rFonts w:ascii="Arial" w:hAnsi="Arial" w:cs="Arial"/>
          <w:sz w:val="18"/>
          <w:szCs w:val="18"/>
        </w:rPr>
        <w:t>primer</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CE45FC">
        <w:rPr>
          <w:rFonts w:ascii="Arial" w:hAnsi="Arial" w:cs="Arial"/>
          <w:sz w:val="18"/>
          <w:szCs w:val="18"/>
        </w:rPr>
        <w:t xml:space="preserve">primer trimestre del </w:t>
      </w:r>
      <w:r>
        <w:rPr>
          <w:rFonts w:ascii="Arial" w:hAnsi="Arial" w:cs="Arial"/>
          <w:sz w:val="18"/>
          <w:szCs w:val="18"/>
        </w:rPr>
        <w:t>ejercicio 201</w:t>
      </w:r>
      <w:r w:rsidR="00CE45FC">
        <w:rPr>
          <w:rFonts w:ascii="Arial" w:hAnsi="Arial" w:cs="Arial"/>
          <w:sz w:val="18"/>
          <w:szCs w:val="18"/>
        </w:rPr>
        <w:t>9</w:t>
      </w:r>
      <w:r>
        <w:rPr>
          <w:rFonts w:ascii="Arial" w:hAnsi="Arial" w:cs="Arial"/>
          <w:sz w:val="18"/>
          <w:szCs w:val="18"/>
        </w:rPr>
        <w:t xml:space="preserve"> 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primer trimestre del </w:t>
      </w:r>
      <w:r>
        <w:rPr>
          <w:rFonts w:ascii="Arial" w:hAnsi="Arial" w:cs="Arial"/>
          <w:sz w:val="18"/>
          <w:szCs w:val="18"/>
        </w:rPr>
        <w:t>ejercicio 201</w:t>
      </w:r>
      <w:r w:rsidR="00142035">
        <w:rPr>
          <w:rFonts w:ascii="Arial" w:hAnsi="Arial" w:cs="Arial"/>
          <w:sz w:val="18"/>
          <w:szCs w:val="18"/>
        </w:rPr>
        <w:t>9</w:t>
      </w:r>
      <w:r>
        <w:rPr>
          <w:rFonts w:ascii="Arial" w:hAnsi="Arial" w:cs="Arial"/>
          <w:sz w:val="18"/>
          <w:szCs w:val="18"/>
        </w:rPr>
        <w:t xml:space="preserve"> el Poder Ejecutivo cuenta con Inversiones Financieras a Largo Plazo por un importe de $ 235,186,168, que respaldan los diversos fondos de contingencia del Ejecutivo del Estado</w:t>
      </w:r>
      <w:r w:rsidR="00142035">
        <w:rPr>
          <w:rFonts w:ascii="Arial" w:hAnsi="Arial" w:cs="Arial"/>
          <w:sz w:val="18"/>
          <w:szCs w:val="18"/>
        </w:rPr>
        <w:t>, presentando un incremento del 77.9% respecto del mismo periodo de 2018</w:t>
      </w:r>
      <w:r>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142035">
        <w:rPr>
          <w:rFonts w:ascii="Arial" w:hAnsi="Arial" w:cs="Arial"/>
          <w:sz w:val="18"/>
          <w:szCs w:val="18"/>
        </w:rPr>
        <w:t xml:space="preserve">mes de marzo del </w:t>
      </w:r>
      <w:r>
        <w:rPr>
          <w:rFonts w:ascii="Arial" w:hAnsi="Arial" w:cs="Arial"/>
          <w:sz w:val="18"/>
          <w:szCs w:val="18"/>
        </w:rPr>
        <w:t>ejercicio 201</w:t>
      </w:r>
      <w:r w:rsidR="00142035">
        <w:rPr>
          <w:rFonts w:ascii="Arial" w:hAnsi="Arial" w:cs="Arial"/>
          <w:sz w:val="18"/>
          <w:szCs w:val="18"/>
        </w:rPr>
        <w:t>9</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1,399,</w:t>
      </w:r>
      <w:r w:rsidR="00142035">
        <w:rPr>
          <w:rFonts w:ascii="Arial" w:hAnsi="Arial" w:cs="Arial"/>
          <w:sz w:val="18"/>
          <w:szCs w:val="18"/>
        </w:rPr>
        <w:t>276</w:t>
      </w:r>
      <w:r>
        <w:rPr>
          <w:rFonts w:ascii="Arial" w:hAnsi="Arial" w:cs="Arial"/>
          <w:sz w:val="18"/>
          <w:szCs w:val="18"/>
        </w:rPr>
        <w:t>,</w:t>
      </w:r>
      <w:r w:rsidR="00142035">
        <w:rPr>
          <w:rFonts w:ascii="Arial" w:hAnsi="Arial" w:cs="Arial"/>
          <w:sz w:val="18"/>
          <w:szCs w:val="18"/>
        </w:rPr>
        <w:t>916</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D6706B">
        <w:rPr>
          <w:rFonts w:ascii="Arial" w:hAnsi="Arial" w:cs="Arial"/>
          <w:sz w:val="18"/>
          <w:szCs w:val="18"/>
        </w:rPr>
        <w:t>, observando un incremento del 14% respecto del primer trimestre de 2018</w:t>
      </w:r>
      <w:r w:rsidRPr="0073056A">
        <w:rPr>
          <w:rFonts w:ascii="Arial" w:hAnsi="Arial" w:cs="Arial"/>
          <w:sz w:val="18"/>
          <w:szCs w:val="18"/>
        </w:rPr>
        <w:t>.</w:t>
      </w:r>
    </w:p>
    <w:p w:rsidR="00B006FD"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la cuenta de bienes inmuebles es</w:t>
      </w:r>
      <w:r w:rsidRPr="0073056A">
        <w:rPr>
          <w:rFonts w:ascii="Arial" w:hAnsi="Arial" w:cs="Arial"/>
          <w:sz w:val="18"/>
          <w:szCs w:val="18"/>
        </w:rPr>
        <w:t xml:space="preserve"> de $</w:t>
      </w:r>
      <w:r>
        <w:rPr>
          <w:rFonts w:ascii="Arial" w:hAnsi="Arial" w:cs="Arial"/>
          <w:sz w:val="18"/>
          <w:szCs w:val="18"/>
        </w:rPr>
        <w:t xml:space="preserve"> 7,683,929,200, y</w:t>
      </w:r>
      <w:r w:rsidRPr="0073056A">
        <w:rPr>
          <w:rFonts w:ascii="Arial" w:hAnsi="Arial" w:cs="Arial"/>
          <w:sz w:val="18"/>
          <w:szCs w:val="18"/>
        </w:rPr>
        <w:t xml:space="preserve"> </w:t>
      </w:r>
      <w:r>
        <w:rPr>
          <w:rFonts w:ascii="Arial" w:hAnsi="Arial" w:cs="Arial"/>
          <w:sz w:val="18"/>
          <w:szCs w:val="18"/>
        </w:rPr>
        <w:t xml:space="preserve">está </w:t>
      </w:r>
      <w:r w:rsidRPr="0073056A">
        <w:rPr>
          <w:rFonts w:ascii="Arial" w:hAnsi="Arial" w:cs="Arial"/>
          <w:sz w:val="18"/>
          <w:szCs w:val="18"/>
        </w:rPr>
        <w:t>representa</w:t>
      </w:r>
      <w:r>
        <w:rPr>
          <w:rFonts w:ascii="Arial" w:hAnsi="Arial" w:cs="Arial"/>
          <w:sz w:val="18"/>
          <w:szCs w:val="18"/>
        </w:rPr>
        <w:t xml:space="preserve">do por </w:t>
      </w:r>
      <w:r w:rsidRPr="0073056A">
        <w:rPr>
          <w:rFonts w:ascii="Arial" w:hAnsi="Arial" w:cs="Arial"/>
          <w:sz w:val="18"/>
          <w:szCs w:val="18"/>
        </w:rPr>
        <w:t>terrenos,</w:t>
      </w:r>
      <w:r>
        <w:rPr>
          <w:rFonts w:ascii="Arial" w:hAnsi="Arial" w:cs="Arial"/>
          <w:sz w:val="18"/>
          <w:szCs w:val="18"/>
        </w:rPr>
        <w:t xml:space="preserve"> viviendas y</w:t>
      </w:r>
      <w:r w:rsidRPr="0073056A">
        <w:rPr>
          <w:rFonts w:ascii="Arial" w:hAnsi="Arial" w:cs="Arial"/>
          <w:sz w:val="18"/>
          <w:szCs w:val="18"/>
        </w:rPr>
        <w:t xml:space="preserve"> edificios no habitacionales</w:t>
      </w:r>
      <w:r>
        <w:rPr>
          <w:rFonts w:ascii="Arial" w:hAnsi="Arial" w:cs="Arial"/>
          <w:sz w:val="18"/>
          <w:szCs w:val="18"/>
        </w:rPr>
        <w:t xml:space="preserve">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D6706B">
        <w:rPr>
          <w:rFonts w:ascii="Arial" w:hAnsi="Arial" w:cs="Arial"/>
          <w:sz w:val="18"/>
          <w:szCs w:val="18"/>
        </w:rPr>
        <w:t>, reflejando un incremento del 16.2% en relación al mismo periodo de 2018</w:t>
      </w:r>
      <w:r>
        <w:rPr>
          <w:rFonts w:ascii="Arial" w:hAnsi="Arial" w:cs="Arial"/>
          <w:sz w:val="18"/>
          <w:szCs w:val="18"/>
        </w:rPr>
        <w:t>.</w:t>
      </w:r>
    </w:p>
    <w:p w:rsidR="00332091" w:rsidRPr="0073056A" w:rsidRDefault="00B006FD" w:rsidP="00B006FD">
      <w:pPr>
        <w:tabs>
          <w:tab w:val="left" w:pos="284"/>
        </w:tabs>
        <w:ind w:left="284"/>
        <w:jc w:val="both"/>
        <w:rPr>
          <w:rFonts w:ascii="Arial" w:hAnsi="Arial" w:cs="Arial"/>
          <w:sz w:val="18"/>
          <w:szCs w:val="18"/>
        </w:rPr>
      </w:pPr>
      <w:r w:rsidRPr="0073056A">
        <w:rPr>
          <w:rFonts w:ascii="Arial" w:hAnsi="Arial" w:cs="Arial"/>
          <w:sz w:val="18"/>
          <w:szCs w:val="18"/>
        </w:rPr>
        <w:t>El saldo de $</w:t>
      </w:r>
      <w:r>
        <w:rPr>
          <w:rFonts w:ascii="Arial" w:hAnsi="Arial" w:cs="Arial"/>
          <w:sz w:val="18"/>
          <w:szCs w:val="18"/>
        </w:rPr>
        <w:t xml:space="preserve"> 83,106,062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sidR="00D6706B">
        <w:rPr>
          <w:rFonts w:ascii="Arial" w:hAnsi="Arial" w:cs="Arial"/>
          <w:sz w:val="18"/>
          <w:szCs w:val="18"/>
        </w:rPr>
        <w:t>; cabe hacer mención que en el mismo periodo de 2018 se tuvo un saldo de 80,160,990, lo que representó un incremento del 3.5%</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B006FD" w:rsidRPr="00FB6E0E" w:rsidRDefault="00B006FD" w:rsidP="00B006FD">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415099">
        <w:rPr>
          <w:rFonts w:ascii="Arial" w:hAnsi="Arial" w:cs="Arial"/>
          <w:sz w:val="18"/>
          <w:szCs w:val="18"/>
        </w:rPr>
        <w:t>marzo</w:t>
      </w:r>
      <w:r>
        <w:rPr>
          <w:rFonts w:ascii="Arial" w:hAnsi="Arial" w:cs="Arial"/>
          <w:sz w:val="18"/>
          <w:szCs w:val="18"/>
        </w:rPr>
        <w:t xml:space="preserve"> del ejercicio 201</w:t>
      </w:r>
      <w:r w:rsidR="00415099">
        <w:rPr>
          <w:rFonts w:ascii="Arial" w:hAnsi="Arial" w:cs="Arial"/>
          <w:sz w:val="18"/>
          <w:szCs w:val="18"/>
        </w:rPr>
        <w:t>9</w:t>
      </w:r>
      <w:r>
        <w:rPr>
          <w:rFonts w:ascii="Arial" w:hAnsi="Arial" w:cs="Arial"/>
          <w:sz w:val="18"/>
          <w:szCs w:val="18"/>
        </w:rPr>
        <w:t>, 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415099">
        <w:rPr>
          <w:rFonts w:ascii="Arial" w:hAnsi="Arial" w:cs="Arial"/>
          <w:sz w:val="18"/>
          <w:szCs w:val="18"/>
        </w:rPr>
        <w:t>3</w:t>
      </w:r>
      <w:r>
        <w:rPr>
          <w:rFonts w:ascii="Arial" w:hAnsi="Arial" w:cs="Arial"/>
          <w:sz w:val="18"/>
          <w:szCs w:val="18"/>
        </w:rPr>
        <w:t>,</w:t>
      </w:r>
      <w:r w:rsidR="00415099">
        <w:rPr>
          <w:rFonts w:ascii="Arial" w:hAnsi="Arial" w:cs="Arial"/>
          <w:sz w:val="18"/>
          <w:szCs w:val="18"/>
        </w:rPr>
        <w:t>348</w:t>
      </w:r>
      <w:r>
        <w:rPr>
          <w:rFonts w:ascii="Arial" w:hAnsi="Arial" w:cs="Arial"/>
          <w:sz w:val="18"/>
          <w:szCs w:val="18"/>
        </w:rPr>
        <w:t>,</w:t>
      </w:r>
      <w:r w:rsidR="00415099">
        <w:rPr>
          <w:rFonts w:ascii="Arial" w:hAnsi="Arial" w:cs="Arial"/>
          <w:sz w:val="18"/>
          <w:szCs w:val="18"/>
        </w:rPr>
        <w:t>398</w:t>
      </w:r>
      <w:r>
        <w:rPr>
          <w:rFonts w:ascii="Arial" w:hAnsi="Arial" w:cs="Arial"/>
          <w:sz w:val="18"/>
          <w:szCs w:val="18"/>
        </w:rPr>
        <w:t>,</w:t>
      </w:r>
      <w:r w:rsidR="00415099">
        <w:rPr>
          <w:rFonts w:ascii="Arial" w:hAnsi="Arial" w:cs="Arial"/>
          <w:sz w:val="18"/>
          <w:szCs w:val="18"/>
        </w:rPr>
        <w:t>614</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415099">
        <w:rPr>
          <w:rFonts w:ascii="Arial" w:hAnsi="Arial" w:cs="Arial"/>
          <w:sz w:val="18"/>
          <w:szCs w:val="18"/>
          <w:lang w:val="es-ES"/>
        </w:rPr>
        <w:t xml:space="preserve">primer trimestre </w:t>
      </w:r>
      <w:r>
        <w:rPr>
          <w:rFonts w:ascii="Arial" w:hAnsi="Arial" w:cs="Arial"/>
          <w:sz w:val="18"/>
          <w:szCs w:val="18"/>
        </w:rPr>
        <w:t>del ejercicio 201</w:t>
      </w:r>
      <w:r w:rsidR="00415099">
        <w:rPr>
          <w:rFonts w:ascii="Arial" w:hAnsi="Arial" w:cs="Arial"/>
          <w:sz w:val="18"/>
          <w:szCs w:val="18"/>
        </w:rPr>
        <w:t>9</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Pr>
          <w:rFonts w:ascii="Arial" w:hAnsi="Arial" w:cs="Arial"/>
          <w:sz w:val="18"/>
          <w:szCs w:val="18"/>
        </w:rPr>
        <w:t xml:space="preserve"> </w:t>
      </w:r>
      <w:r w:rsidR="00415099">
        <w:rPr>
          <w:rFonts w:ascii="Arial" w:hAnsi="Arial" w:cs="Arial"/>
          <w:sz w:val="18"/>
          <w:szCs w:val="18"/>
        </w:rPr>
        <w:t>5</w:t>
      </w:r>
      <w:r>
        <w:rPr>
          <w:rFonts w:ascii="Arial" w:hAnsi="Arial" w:cs="Arial"/>
          <w:sz w:val="18"/>
          <w:szCs w:val="18"/>
        </w:rPr>
        <w:t>,1</w:t>
      </w:r>
      <w:r w:rsidR="00415099">
        <w:rPr>
          <w:rFonts w:ascii="Arial" w:hAnsi="Arial" w:cs="Arial"/>
          <w:sz w:val="18"/>
          <w:szCs w:val="18"/>
        </w:rPr>
        <w:t>55</w:t>
      </w:r>
      <w:r>
        <w:rPr>
          <w:rFonts w:ascii="Arial" w:hAnsi="Arial" w:cs="Arial"/>
          <w:sz w:val="18"/>
          <w:szCs w:val="18"/>
        </w:rPr>
        <w:t>,</w:t>
      </w:r>
      <w:r w:rsidR="00415099">
        <w:rPr>
          <w:rFonts w:ascii="Arial" w:hAnsi="Arial" w:cs="Arial"/>
          <w:sz w:val="18"/>
          <w:szCs w:val="18"/>
        </w:rPr>
        <w:t>550</w:t>
      </w:r>
      <w:r>
        <w:rPr>
          <w:rFonts w:ascii="Arial" w:hAnsi="Arial" w:cs="Arial"/>
          <w:sz w:val="18"/>
          <w:szCs w:val="18"/>
        </w:rPr>
        <w:t>,</w:t>
      </w:r>
      <w:r w:rsidR="00415099">
        <w:rPr>
          <w:rFonts w:ascii="Arial" w:hAnsi="Arial" w:cs="Arial"/>
          <w:sz w:val="18"/>
          <w:szCs w:val="18"/>
        </w:rPr>
        <w:t>345</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Pr>
          <w:rFonts w:ascii="Arial" w:hAnsi="Arial" w:cs="Arial"/>
          <w:sz w:val="18"/>
          <w:szCs w:val="18"/>
        </w:rPr>
        <w:t xml:space="preserve"> </w:t>
      </w:r>
      <w:r w:rsidR="0008099F">
        <w:rPr>
          <w:rFonts w:ascii="Arial" w:hAnsi="Arial" w:cs="Arial"/>
          <w:sz w:val="18"/>
          <w:szCs w:val="18"/>
        </w:rPr>
        <w:t>3</w:t>
      </w:r>
      <w:r>
        <w:rPr>
          <w:rFonts w:ascii="Arial" w:hAnsi="Arial" w:cs="Arial"/>
          <w:sz w:val="18"/>
          <w:szCs w:val="18"/>
        </w:rPr>
        <w:t>,</w:t>
      </w:r>
      <w:r w:rsidR="0008099F">
        <w:rPr>
          <w:rFonts w:ascii="Arial" w:hAnsi="Arial" w:cs="Arial"/>
          <w:sz w:val="18"/>
          <w:szCs w:val="18"/>
        </w:rPr>
        <w:t>691</w:t>
      </w:r>
      <w:r>
        <w:rPr>
          <w:rFonts w:ascii="Arial" w:hAnsi="Arial" w:cs="Arial"/>
          <w:sz w:val="18"/>
          <w:szCs w:val="18"/>
        </w:rPr>
        <w:t>,</w:t>
      </w:r>
      <w:r w:rsidR="0008099F">
        <w:rPr>
          <w:rFonts w:ascii="Arial" w:hAnsi="Arial" w:cs="Arial"/>
          <w:sz w:val="18"/>
          <w:szCs w:val="18"/>
        </w:rPr>
        <w:t>971</w:t>
      </w:r>
      <w:r>
        <w:rPr>
          <w:rFonts w:ascii="Arial" w:hAnsi="Arial" w:cs="Arial"/>
          <w:sz w:val="18"/>
          <w:szCs w:val="18"/>
        </w:rPr>
        <w:t>,</w:t>
      </w:r>
      <w:r w:rsidR="0008099F">
        <w:rPr>
          <w:rFonts w:ascii="Arial" w:hAnsi="Arial" w:cs="Arial"/>
          <w:sz w:val="18"/>
          <w:szCs w:val="18"/>
        </w:rPr>
        <w:t>717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Pr>
          <w:rFonts w:ascii="Arial" w:hAnsi="Arial" w:cs="Arial"/>
          <w:sz w:val="18"/>
          <w:szCs w:val="18"/>
        </w:rPr>
        <w:t xml:space="preserve"> 1,</w:t>
      </w:r>
      <w:r w:rsidR="0008099F">
        <w:rPr>
          <w:rFonts w:ascii="Arial" w:hAnsi="Arial" w:cs="Arial"/>
          <w:sz w:val="18"/>
          <w:szCs w:val="18"/>
        </w:rPr>
        <w:t>463</w:t>
      </w:r>
      <w:r>
        <w:rPr>
          <w:rFonts w:ascii="Arial" w:hAnsi="Arial" w:cs="Arial"/>
          <w:sz w:val="18"/>
          <w:szCs w:val="18"/>
        </w:rPr>
        <w:t>,</w:t>
      </w:r>
      <w:r w:rsidR="0008099F">
        <w:rPr>
          <w:rFonts w:ascii="Arial" w:hAnsi="Arial" w:cs="Arial"/>
          <w:sz w:val="18"/>
          <w:szCs w:val="18"/>
        </w:rPr>
        <w:t>578</w:t>
      </w:r>
      <w:r>
        <w:rPr>
          <w:rFonts w:ascii="Arial" w:hAnsi="Arial" w:cs="Arial"/>
          <w:sz w:val="18"/>
          <w:szCs w:val="18"/>
        </w:rPr>
        <w:t>,</w:t>
      </w:r>
      <w:r w:rsidR="0008099F">
        <w:rPr>
          <w:rFonts w:ascii="Arial" w:hAnsi="Arial" w:cs="Arial"/>
          <w:sz w:val="18"/>
          <w:szCs w:val="18"/>
        </w:rPr>
        <w:t>628</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08099F">
        <w:rPr>
          <w:rFonts w:ascii="Arial" w:hAnsi="Arial" w:cs="Arial"/>
          <w:sz w:val="18"/>
          <w:szCs w:val="18"/>
        </w:rPr>
        <w:t>, respecto al mismo periodo del ejercicio 2018, se tuvo un incremento del 8.5%</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08099F">
        <w:rPr>
          <w:rFonts w:ascii="Arial" w:hAnsi="Arial" w:cs="Arial"/>
          <w:sz w:val="18"/>
          <w:szCs w:val="18"/>
        </w:rPr>
        <w:t>marzo</w:t>
      </w:r>
      <w:r>
        <w:rPr>
          <w:rFonts w:ascii="Arial" w:hAnsi="Arial" w:cs="Arial"/>
          <w:sz w:val="18"/>
          <w:szCs w:val="18"/>
        </w:rPr>
        <w:t xml:space="preserve"> de 201</w:t>
      </w:r>
      <w:r w:rsidR="0008099F">
        <w:rPr>
          <w:rFonts w:ascii="Arial" w:hAnsi="Arial" w:cs="Arial"/>
          <w:sz w:val="18"/>
          <w:szCs w:val="18"/>
        </w:rPr>
        <w:t>9</w:t>
      </w:r>
      <w:r w:rsidRPr="0073056A">
        <w:rPr>
          <w:rFonts w:ascii="Arial" w:hAnsi="Arial" w:cs="Arial"/>
          <w:sz w:val="18"/>
          <w:szCs w:val="18"/>
        </w:rPr>
        <w:t xml:space="preserve"> se recaudó la cantidad de $</w:t>
      </w:r>
      <w:r>
        <w:rPr>
          <w:rFonts w:ascii="Arial" w:hAnsi="Arial" w:cs="Arial"/>
          <w:sz w:val="18"/>
          <w:szCs w:val="18"/>
        </w:rPr>
        <w:t xml:space="preserve"> </w:t>
      </w:r>
      <w:r w:rsidR="0008099F">
        <w:rPr>
          <w:rFonts w:ascii="Arial" w:hAnsi="Arial" w:cs="Arial"/>
          <w:sz w:val="18"/>
          <w:szCs w:val="18"/>
        </w:rPr>
        <w:t>158</w:t>
      </w:r>
      <w:r>
        <w:rPr>
          <w:rFonts w:ascii="Arial" w:hAnsi="Arial" w:cs="Arial"/>
          <w:sz w:val="18"/>
          <w:szCs w:val="18"/>
        </w:rPr>
        <w:t>,</w:t>
      </w:r>
      <w:r w:rsidR="0008099F">
        <w:rPr>
          <w:rFonts w:ascii="Arial" w:hAnsi="Arial" w:cs="Arial"/>
          <w:sz w:val="18"/>
          <w:szCs w:val="18"/>
        </w:rPr>
        <w:t>100</w:t>
      </w:r>
      <w:r>
        <w:rPr>
          <w:rFonts w:ascii="Arial" w:hAnsi="Arial" w:cs="Arial"/>
          <w:sz w:val="18"/>
          <w:szCs w:val="18"/>
        </w:rPr>
        <w:t>,63</w:t>
      </w:r>
      <w:r w:rsidR="0008099F">
        <w:rPr>
          <w:rFonts w:ascii="Arial" w:hAnsi="Arial" w:cs="Arial"/>
          <w:sz w:val="18"/>
          <w:szCs w:val="18"/>
        </w:rPr>
        <w:t>4</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Pr>
          <w:rFonts w:ascii="Arial" w:hAnsi="Arial" w:cs="Arial"/>
          <w:sz w:val="18"/>
          <w:szCs w:val="18"/>
        </w:rPr>
        <w:t xml:space="preserve"> </w:t>
      </w:r>
      <w:r w:rsidR="00E004F0">
        <w:rPr>
          <w:rFonts w:ascii="Arial" w:hAnsi="Arial" w:cs="Arial"/>
          <w:sz w:val="18"/>
          <w:szCs w:val="18"/>
        </w:rPr>
        <w:t>149,280</w:t>
      </w:r>
      <w:r>
        <w:rPr>
          <w:rFonts w:ascii="Arial" w:hAnsi="Arial" w:cs="Arial"/>
          <w:sz w:val="18"/>
          <w:szCs w:val="18"/>
        </w:rPr>
        <w:t>,</w:t>
      </w:r>
      <w:r w:rsidR="00E004F0">
        <w:rPr>
          <w:rFonts w:ascii="Arial" w:hAnsi="Arial" w:cs="Arial"/>
          <w:sz w:val="18"/>
          <w:szCs w:val="18"/>
        </w:rPr>
        <w:t>550</w:t>
      </w:r>
      <w:r>
        <w:rPr>
          <w:rFonts w:ascii="Arial" w:hAnsi="Arial" w:cs="Arial"/>
          <w:sz w:val="18"/>
          <w:szCs w:val="18"/>
        </w:rPr>
        <w:t xml:space="preserve">; sobre la Producción, el Consumo y las transacciones por un importe de $ </w:t>
      </w:r>
      <w:r w:rsidR="00E004F0">
        <w:rPr>
          <w:rFonts w:ascii="Arial" w:hAnsi="Arial" w:cs="Arial"/>
          <w:sz w:val="18"/>
          <w:szCs w:val="18"/>
        </w:rPr>
        <w:t>5</w:t>
      </w:r>
      <w:r>
        <w:rPr>
          <w:rFonts w:ascii="Arial" w:hAnsi="Arial" w:cs="Arial"/>
          <w:sz w:val="18"/>
          <w:szCs w:val="18"/>
        </w:rPr>
        <w:t>,8</w:t>
      </w:r>
      <w:r w:rsidR="00E004F0">
        <w:rPr>
          <w:rFonts w:ascii="Arial" w:hAnsi="Arial" w:cs="Arial"/>
          <w:sz w:val="18"/>
          <w:szCs w:val="18"/>
        </w:rPr>
        <w:t>80</w:t>
      </w:r>
      <w:r>
        <w:rPr>
          <w:rFonts w:ascii="Arial" w:hAnsi="Arial" w:cs="Arial"/>
          <w:sz w:val="18"/>
          <w:szCs w:val="18"/>
        </w:rPr>
        <w:t>,0</w:t>
      </w:r>
      <w:r w:rsidR="00E004F0">
        <w:rPr>
          <w:rFonts w:ascii="Arial" w:hAnsi="Arial" w:cs="Arial"/>
          <w:sz w:val="18"/>
          <w:szCs w:val="18"/>
        </w:rPr>
        <w:t>77</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Pr>
          <w:rFonts w:ascii="Arial" w:hAnsi="Arial" w:cs="Arial"/>
          <w:sz w:val="18"/>
          <w:szCs w:val="18"/>
        </w:rPr>
        <w:t xml:space="preserve"> </w:t>
      </w:r>
      <w:r w:rsidR="00E004F0">
        <w:rPr>
          <w:rFonts w:ascii="Arial" w:hAnsi="Arial" w:cs="Arial"/>
          <w:sz w:val="18"/>
          <w:szCs w:val="18"/>
        </w:rPr>
        <w:t>1</w:t>
      </w:r>
      <w:r>
        <w:rPr>
          <w:rFonts w:ascii="Arial" w:hAnsi="Arial" w:cs="Arial"/>
          <w:sz w:val="18"/>
          <w:szCs w:val="18"/>
        </w:rPr>
        <w:t>,</w:t>
      </w:r>
      <w:r w:rsidR="00E004F0">
        <w:rPr>
          <w:rFonts w:ascii="Arial" w:hAnsi="Arial" w:cs="Arial"/>
          <w:sz w:val="18"/>
          <w:szCs w:val="18"/>
        </w:rPr>
        <w:t>608</w:t>
      </w:r>
      <w:r>
        <w:rPr>
          <w:rFonts w:ascii="Arial" w:hAnsi="Arial" w:cs="Arial"/>
          <w:sz w:val="18"/>
          <w:szCs w:val="18"/>
        </w:rPr>
        <w:t>,</w:t>
      </w:r>
      <w:r w:rsidR="00E004F0">
        <w:rPr>
          <w:rFonts w:ascii="Arial" w:hAnsi="Arial" w:cs="Arial"/>
          <w:sz w:val="18"/>
          <w:szCs w:val="18"/>
        </w:rPr>
        <w:t>181, lo que representa un incremento del 1% respecto del total observado en el mismo periodo de 2018.</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E004F0">
        <w:rPr>
          <w:rFonts w:ascii="Arial" w:hAnsi="Arial" w:cs="Arial"/>
          <w:sz w:val="18"/>
          <w:szCs w:val="18"/>
        </w:rPr>
        <w:t>marzo</w:t>
      </w:r>
      <w:r>
        <w:rPr>
          <w:rFonts w:ascii="Arial" w:hAnsi="Arial" w:cs="Arial"/>
          <w:sz w:val="18"/>
          <w:szCs w:val="18"/>
        </w:rPr>
        <w:t xml:space="preserve"> es por</w:t>
      </w:r>
      <w:r w:rsidRPr="0073056A">
        <w:rPr>
          <w:rFonts w:ascii="Arial" w:hAnsi="Arial" w:cs="Arial"/>
          <w:sz w:val="18"/>
          <w:szCs w:val="18"/>
        </w:rPr>
        <w:t xml:space="preserve"> un monto de $</w:t>
      </w:r>
      <w:r>
        <w:rPr>
          <w:rFonts w:ascii="Arial" w:hAnsi="Arial" w:cs="Arial"/>
          <w:sz w:val="18"/>
          <w:szCs w:val="18"/>
        </w:rPr>
        <w:t xml:space="preserve"> </w:t>
      </w:r>
      <w:r w:rsidR="00E004F0">
        <w:rPr>
          <w:rFonts w:ascii="Arial" w:hAnsi="Arial" w:cs="Arial"/>
          <w:sz w:val="18"/>
          <w:szCs w:val="18"/>
        </w:rPr>
        <w:t>147</w:t>
      </w:r>
      <w:r>
        <w:rPr>
          <w:rFonts w:ascii="Arial" w:hAnsi="Arial" w:cs="Arial"/>
          <w:sz w:val="18"/>
          <w:szCs w:val="18"/>
        </w:rPr>
        <w:t>,9</w:t>
      </w:r>
      <w:r w:rsidR="00E004F0">
        <w:rPr>
          <w:rFonts w:ascii="Arial" w:hAnsi="Arial" w:cs="Arial"/>
          <w:sz w:val="18"/>
          <w:szCs w:val="18"/>
        </w:rPr>
        <w:t>87</w:t>
      </w:r>
      <w:r>
        <w:rPr>
          <w:rFonts w:ascii="Arial" w:hAnsi="Arial" w:cs="Arial"/>
          <w:sz w:val="18"/>
          <w:szCs w:val="18"/>
        </w:rPr>
        <w:t>,4</w:t>
      </w:r>
      <w:r w:rsidR="00E004F0">
        <w:rPr>
          <w:rFonts w:ascii="Arial" w:hAnsi="Arial" w:cs="Arial"/>
          <w:sz w:val="18"/>
          <w:szCs w:val="18"/>
        </w:rPr>
        <w:t>89</w:t>
      </w:r>
      <w:r w:rsidR="00513E7E">
        <w:rPr>
          <w:rFonts w:ascii="Arial" w:hAnsi="Arial" w:cs="Arial"/>
          <w:sz w:val="18"/>
          <w:szCs w:val="18"/>
        </w:rPr>
        <w:t>, observándose un incremento del 15.9% respecto del monto observado en 2018</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diciembre es</w:t>
      </w:r>
      <w:r w:rsidRPr="0073056A">
        <w:rPr>
          <w:rFonts w:ascii="Arial" w:hAnsi="Arial" w:cs="Arial"/>
          <w:sz w:val="18"/>
          <w:szCs w:val="18"/>
        </w:rPr>
        <w:t xml:space="preserve"> de $</w:t>
      </w:r>
      <w:r w:rsidRPr="00502DDD">
        <w:rPr>
          <w:rFonts w:ascii="Arial" w:hAnsi="Arial" w:cs="Arial"/>
          <w:sz w:val="18"/>
          <w:szCs w:val="18"/>
        </w:rPr>
        <w:t xml:space="preserve"> </w:t>
      </w:r>
      <w:r w:rsidR="00513E7E">
        <w:rPr>
          <w:rFonts w:ascii="Arial" w:hAnsi="Arial" w:cs="Arial"/>
          <w:sz w:val="18"/>
          <w:szCs w:val="18"/>
        </w:rPr>
        <w:t>8</w:t>
      </w:r>
      <w:r>
        <w:rPr>
          <w:rFonts w:ascii="Arial" w:hAnsi="Arial" w:cs="Arial"/>
          <w:sz w:val="18"/>
          <w:szCs w:val="18"/>
        </w:rPr>
        <w:t>7</w:t>
      </w:r>
      <w:r w:rsidRPr="00502DDD">
        <w:rPr>
          <w:rFonts w:ascii="Arial" w:hAnsi="Arial" w:cs="Arial"/>
          <w:sz w:val="18"/>
          <w:szCs w:val="18"/>
        </w:rPr>
        <w:t>,</w:t>
      </w:r>
      <w:r w:rsidR="00513E7E">
        <w:rPr>
          <w:rFonts w:ascii="Arial" w:hAnsi="Arial" w:cs="Arial"/>
          <w:sz w:val="18"/>
          <w:szCs w:val="18"/>
        </w:rPr>
        <w:t>464</w:t>
      </w:r>
      <w:r w:rsidRPr="00502DDD">
        <w:rPr>
          <w:rFonts w:ascii="Arial" w:hAnsi="Arial" w:cs="Arial"/>
          <w:sz w:val="18"/>
          <w:szCs w:val="18"/>
        </w:rPr>
        <w:t>,</w:t>
      </w:r>
      <w:r w:rsidR="00513E7E">
        <w:rPr>
          <w:rFonts w:ascii="Arial" w:hAnsi="Arial" w:cs="Arial"/>
          <w:sz w:val="18"/>
          <w:szCs w:val="18"/>
        </w:rPr>
        <w:t>231</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00513E7E">
        <w:rPr>
          <w:rFonts w:ascii="Arial" w:hAnsi="Arial" w:cs="Arial"/>
          <w:sz w:val="18"/>
          <w:szCs w:val="18"/>
        </w:rPr>
        <w:t>, observándose un incremento del 33.3% respecto del monto observado en 2018</w:t>
      </w:r>
      <w:r w:rsidRPr="0073056A">
        <w:rPr>
          <w:rFonts w:ascii="Arial" w:hAnsi="Arial" w:cs="Arial"/>
          <w:sz w:val="18"/>
          <w:szCs w:val="18"/>
        </w:rPr>
        <w:t>.</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513E7E">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201</w:t>
      </w:r>
      <w:r w:rsidR="00513E7E">
        <w:rPr>
          <w:rFonts w:ascii="Arial" w:hAnsi="Arial" w:cs="Arial"/>
          <w:sz w:val="18"/>
          <w:szCs w:val="18"/>
        </w:rPr>
        <w:t>9</w:t>
      </w:r>
      <w:r w:rsidRPr="0073056A">
        <w:rPr>
          <w:rFonts w:ascii="Arial" w:hAnsi="Arial" w:cs="Arial"/>
          <w:sz w:val="18"/>
          <w:szCs w:val="18"/>
        </w:rPr>
        <w:t>, el Estado obtuvo ingresos por concepto de Aprovechamientos por un monto de $</w:t>
      </w:r>
      <w:r>
        <w:rPr>
          <w:rFonts w:ascii="Arial" w:hAnsi="Arial" w:cs="Arial"/>
          <w:sz w:val="18"/>
          <w:szCs w:val="18"/>
        </w:rPr>
        <w:t xml:space="preserve"> </w:t>
      </w:r>
      <w:r w:rsidR="00513E7E">
        <w:rPr>
          <w:rFonts w:ascii="Arial" w:hAnsi="Arial" w:cs="Arial"/>
          <w:sz w:val="18"/>
          <w:szCs w:val="18"/>
        </w:rPr>
        <w:t>2</w:t>
      </w:r>
      <w:r>
        <w:rPr>
          <w:rFonts w:ascii="Arial" w:hAnsi="Arial" w:cs="Arial"/>
          <w:sz w:val="18"/>
          <w:szCs w:val="18"/>
        </w:rPr>
        <w:t>,</w:t>
      </w:r>
      <w:r w:rsidR="00513E7E">
        <w:rPr>
          <w:rFonts w:ascii="Arial" w:hAnsi="Arial" w:cs="Arial"/>
          <w:sz w:val="18"/>
          <w:szCs w:val="18"/>
        </w:rPr>
        <w:t>432</w:t>
      </w:r>
      <w:r>
        <w:rPr>
          <w:rFonts w:ascii="Arial" w:hAnsi="Arial" w:cs="Arial"/>
          <w:sz w:val="18"/>
          <w:szCs w:val="18"/>
        </w:rPr>
        <w:t>,</w:t>
      </w:r>
      <w:r w:rsidR="00513E7E">
        <w:rPr>
          <w:rFonts w:ascii="Arial" w:hAnsi="Arial" w:cs="Arial"/>
          <w:sz w:val="18"/>
          <w:szCs w:val="18"/>
        </w:rPr>
        <w:t>590</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00513E7E">
        <w:rPr>
          <w:rFonts w:ascii="Arial" w:hAnsi="Arial" w:cs="Arial"/>
          <w:sz w:val="18"/>
          <w:szCs w:val="18"/>
        </w:rPr>
        <w:t>; observándose un incremento del 6.3% respecto del monto observado en 2018</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513E7E">
        <w:rPr>
          <w:rFonts w:ascii="Arial" w:hAnsi="Arial" w:cs="Arial"/>
          <w:sz w:val="18"/>
          <w:szCs w:val="18"/>
        </w:rPr>
        <w:t>49</w:t>
      </w:r>
      <w:r>
        <w:rPr>
          <w:rFonts w:ascii="Arial" w:hAnsi="Arial" w:cs="Arial"/>
          <w:sz w:val="18"/>
          <w:szCs w:val="18"/>
        </w:rPr>
        <w:t>,</w:t>
      </w:r>
      <w:r w:rsidR="00802736">
        <w:rPr>
          <w:rFonts w:ascii="Arial" w:hAnsi="Arial" w:cs="Arial"/>
          <w:sz w:val="18"/>
          <w:szCs w:val="18"/>
        </w:rPr>
        <w:t>164</w:t>
      </w:r>
      <w:r>
        <w:rPr>
          <w:rFonts w:ascii="Arial" w:hAnsi="Arial" w:cs="Arial"/>
          <w:sz w:val="18"/>
          <w:szCs w:val="18"/>
        </w:rPr>
        <w:t>,</w:t>
      </w:r>
      <w:r w:rsidR="00802736">
        <w:rPr>
          <w:rFonts w:ascii="Arial" w:hAnsi="Arial" w:cs="Arial"/>
          <w:sz w:val="18"/>
          <w:szCs w:val="18"/>
        </w:rPr>
        <w:t>982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802736">
        <w:rPr>
          <w:rFonts w:ascii="Arial" w:hAnsi="Arial" w:cs="Arial"/>
          <w:sz w:val="18"/>
          <w:szCs w:val="18"/>
        </w:rPr>
        <w:t>, observándose un incremento del 4.5% respecto del monto observado en 2018</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lastRenderedPageBreak/>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Pr>
          <w:rFonts w:ascii="Arial" w:hAnsi="Arial" w:cs="Arial"/>
          <w:sz w:val="18"/>
          <w:szCs w:val="18"/>
        </w:rPr>
        <w:t xml:space="preserve"> </w:t>
      </w:r>
      <w:r w:rsidR="00802736">
        <w:rPr>
          <w:rFonts w:ascii="Arial" w:hAnsi="Arial" w:cs="Arial"/>
          <w:sz w:val="18"/>
          <w:szCs w:val="18"/>
        </w:rPr>
        <w:t>4</w:t>
      </w:r>
      <w:r>
        <w:rPr>
          <w:rFonts w:ascii="Arial" w:hAnsi="Arial" w:cs="Arial"/>
          <w:sz w:val="18"/>
          <w:szCs w:val="18"/>
        </w:rPr>
        <w:t>,7</w:t>
      </w:r>
      <w:r w:rsidR="00802736">
        <w:rPr>
          <w:rFonts w:ascii="Arial" w:hAnsi="Arial" w:cs="Arial"/>
          <w:sz w:val="18"/>
          <w:szCs w:val="18"/>
        </w:rPr>
        <w:t>1</w:t>
      </w:r>
      <w:r>
        <w:rPr>
          <w:rFonts w:ascii="Arial" w:hAnsi="Arial" w:cs="Arial"/>
          <w:sz w:val="18"/>
          <w:szCs w:val="18"/>
        </w:rPr>
        <w:t>0,</w:t>
      </w:r>
      <w:r w:rsidR="00802736">
        <w:rPr>
          <w:rFonts w:ascii="Arial" w:hAnsi="Arial" w:cs="Arial"/>
          <w:sz w:val="18"/>
          <w:szCs w:val="18"/>
        </w:rPr>
        <w:t>400</w:t>
      </w:r>
      <w:r>
        <w:rPr>
          <w:rFonts w:ascii="Arial" w:hAnsi="Arial" w:cs="Arial"/>
          <w:sz w:val="18"/>
          <w:szCs w:val="18"/>
        </w:rPr>
        <w:t>,4</w:t>
      </w:r>
      <w:r w:rsidR="00802736">
        <w:rPr>
          <w:rFonts w:ascii="Arial" w:hAnsi="Arial" w:cs="Arial"/>
          <w:sz w:val="18"/>
          <w:szCs w:val="18"/>
        </w:rPr>
        <w:t>19</w:t>
      </w:r>
      <w:r>
        <w:rPr>
          <w:rFonts w:ascii="Arial" w:hAnsi="Arial" w:cs="Arial"/>
          <w:sz w:val="18"/>
          <w:szCs w:val="18"/>
        </w:rPr>
        <w:t xml:space="preserve"> al mes de </w:t>
      </w:r>
      <w:r w:rsidR="00802736">
        <w:rPr>
          <w:rFonts w:ascii="Arial" w:hAnsi="Arial" w:cs="Arial"/>
          <w:sz w:val="18"/>
          <w:szCs w:val="18"/>
        </w:rPr>
        <w:t>marzo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201</w:t>
      </w:r>
      <w:r w:rsidR="00802736">
        <w:rPr>
          <w:rFonts w:ascii="Arial" w:hAnsi="Arial" w:cs="Arial"/>
          <w:sz w:val="18"/>
          <w:szCs w:val="18"/>
        </w:rPr>
        <w:t>9</w:t>
      </w:r>
      <w:r>
        <w:rPr>
          <w:rFonts w:ascii="Arial" w:hAnsi="Arial" w:cs="Arial"/>
          <w:sz w:val="18"/>
          <w:szCs w:val="18"/>
        </w:rPr>
        <w:t>, sin incluir los rendimientos generados</w:t>
      </w:r>
      <w:r w:rsidR="001F4B7F">
        <w:rPr>
          <w:rFonts w:ascii="Arial" w:hAnsi="Arial" w:cs="Arial"/>
          <w:sz w:val="18"/>
          <w:szCs w:val="18"/>
        </w:rPr>
        <w:t>, presentando una disminución del 1.4% respecto del mismo periodo de 2018</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asciende a un monto de $ </w:t>
      </w:r>
      <w:r w:rsidR="001F4B7F">
        <w:rPr>
          <w:rFonts w:ascii="Arial" w:hAnsi="Arial" w:cs="Arial"/>
          <w:sz w:val="18"/>
          <w:szCs w:val="18"/>
        </w:rPr>
        <w:t>2</w:t>
      </w:r>
      <w:r>
        <w:rPr>
          <w:rFonts w:ascii="Arial" w:hAnsi="Arial" w:cs="Arial"/>
          <w:sz w:val="18"/>
          <w:szCs w:val="18"/>
        </w:rPr>
        <w:t>,2</w:t>
      </w:r>
      <w:r w:rsidR="001F4B7F">
        <w:rPr>
          <w:rFonts w:ascii="Arial" w:hAnsi="Arial" w:cs="Arial"/>
          <w:sz w:val="18"/>
          <w:szCs w:val="18"/>
        </w:rPr>
        <w:t>82</w:t>
      </w:r>
      <w:r>
        <w:rPr>
          <w:rFonts w:ascii="Arial" w:hAnsi="Arial" w:cs="Arial"/>
          <w:sz w:val="18"/>
          <w:szCs w:val="18"/>
        </w:rPr>
        <w:t>,</w:t>
      </w:r>
      <w:r w:rsidR="001F4B7F">
        <w:rPr>
          <w:rFonts w:ascii="Arial" w:hAnsi="Arial" w:cs="Arial"/>
          <w:sz w:val="18"/>
          <w:szCs w:val="18"/>
        </w:rPr>
        <w:t>532</w:t>
      </w:r>
      <w:r>
        <w:rPr>
          <w:rFonts w:ascii="Arial" w:hAnsi="Arial" w:cs="Arial"/>
          <w:sz w:val="18"/>
          <w:szCs w:val="18"/>
        </w:rPr>
        <w:t>,</w:t>
      </w:r>
      <w:r w:rsidR="001F4B7F">
        <w:rPr>
          <w:rFonts w:ascii="Arial" w:hAnsi="Arial" w:cs="Arial"/>
          <w:sz w:val="18"/>
          <w:szCs w:val="18"/>
        </w:rPr>
        <w:t>220</w:t>
      </w:r>
      <w:r>
        <w:rPr>
          <w:rFonts w:ascii="Arial" w:hAnsi="Arial" w:cs="Arial"/>
          <w:sz w:val="18"/>
          <w:szCs w:val="18"/>
        </w:rPr>
        <w:t xml:space="preserve">, siendo el rubro más importante el Fondo General de Participaciones ya que representa el </w:t>
      </w:r>
      <w:r w:rsidR="001F4B7F">
        <w:rPr>
          <w:rFonts w:ascii="Arial" w:hAnsi="Arial" w:cs="Arial"/>
          <w:sz w:val="18"/>
          <w:szCs w:val="18"/>
        </w:rPr>
        <w:t>44</w:t>
      </w:r>
      <w:r>
        <w:rPr>
          <w:rFonts w:ascii="Arial" w:hAnsi="Arial" w:cs="Arial"/>
          <w:sz w:val="18"/>
          <w:szCs w:val="18"/>
        </w:rPr>
        <w:t xml:space="preserve"> %</w:t>
      </w:r>
      <w:r w:rsidR="001F4B7F">
        <w:rPr>
          <w:rFonts w:ascii="Arial" w:hAnsi="Arial" w:cs="Arial"/>
          <w:sz w:val="18"/>
          <w:szCs w:val="18"/>
        </w:rPr>
        <w:t>, del total de ingresos del trimestre</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mes de </w:t>
      </w:r>
      <w:r w:rsidR="001F4B7F">
        <w:rPr>
          <w:rFonts w:ascii="Arial" w:hAnsi="Arial" w:cs="Arial"/>
          <w:sz w:val="18"/>
          <w:szCs w:val="18"/>
        </w:rPr>
        <w:t>marzo</w:t>
      </w:r>
      <w:r>
        <w:rPr>
          <w:rFonts w:ascii="Arial" w:hAnsi="Arial" w:cs="Arial"/>
          <w:sz w:val="18"/>
          <w:szCs w:val="18"/>
        </w:rPr>
        <w:t xml:space="preserve"> de 201</w:t>
      </w:r>
      <w:r w:rsidR="001F4B7F">
        <w:rPr>
          <w:rFonts w:ascii="Arial" w:hAnsi="Arial" w:cs="Arial"/>
          <w:sz w:val="18"/>
          <w:szCs w:val="18"/>
        </w:rPr>
        <w:t>9</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134F21" w:rsidRPr="00251F0D" w:rsidTr="00D45237">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134F21" w:rsidRPr="00251F0D" w:rsidRDefault="00B87589" w:rsidP="00B8758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211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562</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B8758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317</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600</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B8758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733</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157</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D45237">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208,310,709</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B87589">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473</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749</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D45237">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81,927,180</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4</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D45237">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10,937,197</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D4523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D45237">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11,405,488</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D4523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0.6</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D45237">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47,061,267</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10541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134F21">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w:t>
            </w:r>
          </w:p>
        </w:tc>
      </w:tr>
      <w:tr w:rsidR="00134F21" w:rsidRPr="00251F0D" w:rsidTr="00D45237">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251F0D" w:rsidRDefault="00134F21" w:rsidP="00D45237">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134F21" w:rsidRPr="00251F0D" w:rsidRDefault="00B87589" w:rsidP="00D45237">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155,714,811</w:t>
            </w:r>
          </w:p>
        </w:tc>
        <w:tc>
          <w:tcPr>
            <w:tcW w:w="1672" w:type="dxa"/>
            <w:tcBorders>
              <w:top w:val="nil"/>
              <w:left w:val="nil"/>
              <w:bottom w:val="single" w:sz="4" w:space="0" w:color="auto"/>
              <w:right w:val="single" w:sz="4" w:space="0" w:color="auto"/>
            </w:tcBorders>
            <w:shd w:val="clear" w:color="auto" w:fill="auto"/>
            <w:noWrap/>
            <w:vAlign w:val="bottom"/>
          </w:tcPr>
          <w:p w:rsidR="00134F21" w:rsidRPr="00251F0D" w:rsidRDefault="00105410" w:rsidP="00D4523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00134F21">
              <w:rPr>
                <w:rFonts w:ascii="Arial" w:eastAsia="Times New Roman" w:hAnsi="Arial" w:cs="Arial"/>
                <w:color w:val="000000"/>
                <w:sz w:val="18"/>
                <w:szCs w:val="18"/>
                <w:lang w:eastAsia="es-MX"/>
              </w:rPr>
              <w:t>.4</w:t>
            </w:r>
          </w:p>
        </w:tc>
      </w:tr>
      <w:tr w:rsidR="00134F21" w:rsidRPr="00B41E9F" w:rsidTr="00D45237">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134F21" w:rsidRPr="00B41E9F" w:rsidRDefault="00134F21" w:rsidP="00D45237">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134F21" w:rsidRPr="00B41E9F" w:rsidRDefault="00B87589" w:rsidP="0010541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134F21">
              <w:rPr>
                <w:rFonts w:ascii="Arial" w:eastAsia="Times New Roman" w:hAnsi="Arial" w:cs="Arial"/>
                <w:sz w:val="18"/>
                <w:szCs w:val="18"/>
                <w:lang w:eastAsia="es-MX"/>
              </w:rPr>
              <w:t>,</w:t>
            </w:r>
            <w:r>
              <w:rPr>
                <w:rFonts w:ascii="Arial" w:eastAsia="Times New Roman" w:hAnsi="Arial" w:cs="Arial"/>
                <w:sz w:val="18"/>
                <w:szCs w:val="18"/>
                <w:lang w:eastAsia="es-MX"/>
              </w:rPr>
              <w:t>858</w:t>
            </w:r>
            <w:r w:rsidR="00134F21">
              <w:rPr>
                <w:rFonts w:ascii="Arial" w:eastAsia="Times New Roman" w:hAnsi="Arial" w:cs="Arial"/>
                <w:sz w:val="18"/>
                <w:szCs w:val="18"/>
                <w:lang w:eastAsia="es-MX"/>
              </w:rPr>
              <w:t>,</w:t>
            </w:r>
            <w:r w:rsidR="00105410">
              <w:rPr>
                <w:rFonts w:ascii="Arial" w:eastAsia="Times New Roman" w:hAnsi="Arial" w:cs="Arial"/>
                <w:sz w:val="18"/>
                <w:szCs w:val="18"/>
                <w:lang w:eastAsia="es-MX"/>
              </w:rPr>
              <w:t>092</w:t>
            </w:r>
            <w:r w:rsidR="00134F21">
              <w:rPr>
                <w:rFonts w:ascii="Arial" w:eastAsia="Times New Roman" w:hAnsi="Arial" w:cs="Arial"/>
                <w:sz w:val="18"/>
                <w:szCs w:val="18"/>
                <w:lang w:eastAsia="es-MX"/>
              </w:rPr>
              <w:t>,</w:t>
            </w:r>
            <w:r w:rsidR="00105410">
              <w:rPr>
                <w:rFonts w:ascii="Arial" w:eastAsia="Times New Roman" w:hAnsi="Arial" w:cs="Arial"/>
                <w:sz w:val="18"/>
                <w:szCs w:val="18"/>
                <w:lang w:eastAsia="es-MX"/>
              </w:rPr>
              <w:t>720</w:t>
            </w:r>
          </w:p>
        </w:tc>
        <w:tc>
          <w:tcPr>
            <w:tcW w:w="1672" w:type="dxa"/>
            <w:tcBorders>
              <w:top w:val="nil"/>
              <w:left w:val="nil"/>
              <w:bottom w:val="single" w:sz="4" w:space="0" w:color="auto"/>
              <w:right w:val="single" w:sz="4" w:space="0" w:color="auto"/>
            </w:tcBorders>
            <w:shd w:val="clear" w:color="auto" w:fill="auto"/>
            <w:noWrap/>
            <w:vAlign w:val="bottom"/>
            <w:hideMark/>
          </w:tcPr>
          <w:p w:rsidR="00134F21" w:rsidRPr="00B41E9F" w:rsidRDefault="00134F21" w:rsidP="00D45237">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134F21" w:rsidRDefault="00134F21" w:rsidP="00134F2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E44022">
        <w:rPr>
          <w:rFonts w:ascii="Arial" w:hAnsi="Arial" w:cs="Arial"/>
          <w:sz w:val="18"/>
          <w:szCs w:val="18"/>
        </w:rPr>
        <w:t>marzo</w:t>
      </w:r>
      <w:r>
        <w:rPr>
          <w:rFonts w:ascii="Arial" w:hAnsi="Arial" w:cs="Arial"/>
          <w:sz w:val="18"/>
          <w:szCs w:val="18"/>
        </w:rPr>
        <w:t xml:space="preserve"> del ejercicio 201</w:t>
      </w:r>
      <w:r w:rsidR="00E44022">
        <w:rPr>
          <w:rFonts w:ascii="Arial" w:hAnsi="Arial" w:cs="Arial"/>
          <w:sz w:val="18"/>
          <w:szCs w:val="18"/>
        </w:rPr>
        <w:t>9</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Pr>
          <w:rFonts w:ascii="Arial" w:hAnsi="Arial" w:cs="Arial"/>
          <w:sz w:val="18"/>
          <w:szCs w:val="18"/>
        </w:rPr>
        <w:t xml:space="preserve"> </w:t>
      </w:r>
      <w:r w:rsidR="00E44022">
        <w:rPr>
          <w:rFonts w:ascii="Arial" w:hAnsi="Arial" w:cs="Arial"/>
          <w:sz w:val="18"/>
          <w:szCs w:val="18"/>
        </w:rPr>
        <w:t>569</w:t>
      </w:r>
      <w:r>
        <w:rPr>
          <w:rFonts w:ascii="Arial" w:hAnsi="Arial" w:cs="Arial"/>
          <w:sz w:val="18"/>
          <w:szCs w:val="18"/>
        </w:rPr>
        <w:t>,</w:t>
      </w:r>
      <w:r w:rsidR="00E44022">
        <w:rPr>
          <w:rFonts w:ascii="Arial" w:hAnsi="Arial" w:cs="Arial"/>
          <w:sz w:val="18"/>
          <w:szCs w:val="18"/>
        </w:rPr>
        <w:t>775</w:t>
      </w:r>
      <w:r>
        <w:rPr>
          <w:rFonts w:ascii="Arial" w:hAnsi="Arial" w:cs="Arial"/>
          <w:sz w:val="18"/>
          <w:szCs w:val="18"/>
        </w:rPr>
        <w:t>,</w:t>
      </w:r>
      <w:r w:rsidR="00E44022">
        <w:rPr>
          <w:rFonts w:ascii="Arial" w:hAnsi="Arial" w:cs="Arial"/>
          <w:sz w:val="18"/>
          <w:szCs w:val="18"/>
        </w:rPr>
        <w:t>480</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3E33EF" w:rsidP="00332091">
      <w:pPr>
        <w:tabs>
          <w:tab w:val="left" w:pos="284"/>
        </w:tabs>
        <w:spacing w:after="0"/>
        <w:ind w:left="284"/>
        <w:jc w:val="both"/>
        <w:rPr>
          <w:rFonts w:ascii="Arial" w:hAnsi="Arial" w:cs="Arial"/>
          <w:sz w:val="18"/>
          <w:szCs w:val="18"/>
        </w:rPr>
      </w:pPr>
      <w:r>
        <w:rPr>
          <w:rFonts w:ascii="Arial" w:hAnsi="Arial" w:cs="Arial"/>
          <w:sz w:val="18"/>
          <w:szCs w:val="18"/>
        </w:rPr>
        <w:t>Durante el primer</w:t>
      </w:r>
      <w:r w:rsidR="00134F21">
        <w:rPr>
          <w:rFonts w:ascii="Arial" w:hAnsi="Arial" w:cs="Arial"/>
          <w:sz w:val="18"/>
          <w:szCs w:val="18"/>
        </w:rPr>
        <w:t xml:space="preserve"> trimestre del ejercicio 201</w:t>
      </w:r>
      <w:r>
        <w:rPr>
          <w:rFonts w:ascii="Arial" w:hAnsi="Arial" w:cs="Arial"/>
          <w:sz w:val="18"/>
          <w:szCs w:val="18"/>
        </w:rPr>
        <w:t>9</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Pr>
          <w:rFonts w:ascii="Arial" w:hAnsi="Arial" w:cs="Arial"/>
          <w:sz w:val="18"/>
          <w:szCs w:val="18"/>
        </w:rPr>
        <w:t>marzo</w:t>
      </w:r>
      <w:r w:rsidR="00134F21">
        <w:rPr>
          <w:rFonts w:ascii="Arial" w:hAnsi="Arial" w:cs="Arial"/>
          <w:sz w:val="18"/>
          <w:szCs w:val="18"/>
        </w:rPr>
        <w:t xml:space="preserve"> por este concepto un monto de $ </w:t>
      </w:r>
      <w:r>
        <w:rPr>
          <w:rFonts w:ascii="Arial" w:hAnsi="Arial" w:cs="Arial"/>
          <w:sz w:val="18"/>
          <w:szCs w:val="18"/>
        </w:rPr>
        <w:t>458</w:t>
      </w:r>
      <w:r w:rsidR="00134F21">
        <w:rPr>
          <w:rFonts w:ascii="Arial" w:hAnsi="Arial" w:cs="Arial"/>
          <w:sz w:val="18"/>
          <w:szCs w:val="18"/>
        </w:rPr>
        <w:t>,</w:t>
      </w:r>
      <w:r>
        <w:rPr>
          <w:rFonts w:ascii="Arial" w:hAnsi="Arial" w:cs="Arial"/>
          <w:sz w:val="18"/>
          <w:szCs w:val="18"/>
        </w:rPr>
        <w:t>436</w:t>
      </w:r>
      <w:r w:rsidR="00134F21">
        <w:rPr>
          <w:rFonts w:ascii="Arial" w:hAnsi="Arial" w:cs="Arial"/>
          <w:sz w:val="18"/>
          <w:szCs w:val="18"/>
        </w:rPr>
        <w:t>,7</w:t>
      </w:r>
      <w:r>
        <w:rPr>
          <w:rFonts w:ascii="Arial" w:hAnsi="Arial" w:cs="Arial"/>
          <w:sz w:val="18"/>
          <w:szCs w:val="18"/>
        </w:rPr>
        <w:t xml:space="preserve">43; en apego a </w:t>
      </w:r>
      <w:r>
        <w:rPr>
          <w:rFonts w:ascii="Arial" w:hAnsi="Arial" w:cs="Arial"/>
          <w:sz w:val="18"/>
          <w:szCs w:val="18"/>
        </w:rPr>
        <w:lastRenderedPageBreak/>
        <w:t>lo estipulado en la Ley de Disciplina Financiera de las Entidades Federativas y los municipios, respecto al primer trimestre de 2018 se tiene un incremento del 2.3% en este rubro</w:t>
      </w:r>
      <w:r w:rsidR="00514F2B">
        <w:rPr>
          <w:rFonts w:ascii="Arial" w:hAnsi="Arial" w:cs="Arial"/>
          <w:sz w:val="18"/>
          <w:szCs w:val="18"/>
        </w:rPr>
        <w:t>.</w:t>
      </w:r>
    </w:p>
    <w:p w:rsidR="0083335C"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xml:space="preserve">, reflejando un importe de $ </w:t>
      </w:r>
      <w:r w:rsidR="003E33EF">
        <w:rPr>
          <w:rFonts w:ascii="Arial" w:hAnsi="Arial" w:cs="Arial"/>
          <w:sz w:val="18"/>
          <w:szCs w:val="18"/>
        </w:rPr>
        <w:t>12</w:t>
      </w:r>
      <w:r>
        <w:rPr>
          <w:rFonts w:ascii="Arial" w:hAnsi="Arial" w:cs="Arial"/>
          <w:sz w:val="18"/>
          <w:szCs w:val="18"/>
        </w:rPr>
        <w:t>,0</w:t>
      </w:r>
      <w:r w:rsidR="003E33EF">
        <w:rPr>
          <w:rFonts w:ascii="Arial" w:hAnsi="Arial" w:cs="Arial"/>
          <w:sz w:val="18"/>
          <w:szCs w:val="18"/>
        </w:rPr>
        <w:t>6</w:t>
      </w:r>
      <w:r>
        <w:rPr>
          <w:rFonts w:ascii="Arial" w:hAnsi="Arial" w:cs="Arial"/>
          <w:sz w:val="18"/>
          <w:szCs w:val="18"/>
        </w:rPr>
        <w:t>0,5</w:t>
      </w:r>
      <w:r w:rsidR="003E33EF">
        <w:rPr>
          <w:rFonts w:ascii="Arial" w:hAnsi="Arial" w:cs="Arial"/>
          <w:sz w:val="18"/>
          <w:szCs w:val="18"/>
        </w:rPr>
        <w:t xml:space="preserve">84, reflejando una contracción del gasto del 30% respecto al mismo rubro </w:t>
      </w:r>
      <w:r w:rsidR="00BA3B1D">
        <w:rPr>
          <w:rFonts w:ascii="Arial" w:hAnsi="Arial" w:cs="Arial"/>
          <w:sz w:val="18"/>
          <w:szCs w:val="18"/>
        </w:rPr>
        <w:t>del ejercicio 2018</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BA3B1D">
        <w:rPr>
          <w:rFonts w:ascii="Arial" w:hAnsi="Arial" w:cs="Arial"/>
          <w:sz w:val="18"/>
          <w:szCs w:val="18"/>
        </w:rPr>
        <w:t>marzo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es de $ </w:t>
      </w:r>
      <w:r w:rsidR="00BA3B1D">
        <w:rPr>
          <w:rFonts w:ascii="Arial" w:hAnsi="Arial" w:cs="Arial"/>
          <w:sz w:val="18"/>
          <w:szCs w:val="18"/>
        </w:rPr>
        <w:t>23,636,714</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BA3B1D">
        <w:rPr>
          <w:rFonts w:ascii="Arial" w:hAnsi="Arial" w:cs="Arial"/>
          <w:sz w:val="18"/>
          <w:szCs w:val="18"/>
        </w:rPr>
        <w:t>marzo</w:t>
      </w:r>
      <w:r>
        <w:rPr>
          <w:rFonts w:ascii="Arial" w:hAnsi="Arial" w:cs="Arial"/>
          <w:sz w:val="18"/>
          <w:szCs w:val="18"/>
        </w:rPr>
        <w:t xml:space="preserve"> de 201</w:t>
      </w:r>
      <w:r w:rsidR="00BA3B1D">
        <w:rPr>
          <w:rFonts w:ascii="Arial" w:hAnsi="Arial" w:cs="Arial"/>
          <w:sz w:val="18"/>
          <w:szCs w:val="18"/>
        </w:rPr>
        <w:t>9</w:t>
      </w:r>
      <w:r>
        <w:rPr>
          <w:rFonts w:ascii="Arial" w:hAnsi="Arial" w:cs="Arial"/>
          <w:sz w:val="18"/>
          <w:szCs w:val="18"/>
        </w:rPr>
        <w:t xml:space="preserve">, observan un monto de $ </w:t>
      </w:r>
      <w:r w:rsidR="00BA3B1D">
        <w:rPr>
          <w:rFonts w:ascii="Arial" w:hAnsi="Arial" w:cs="Arial"/>
          <w:sz w:val="18"/>
          <w:szCs w:val="18"/>
        </w:rPr>
        <w:t>2</w:t>
      </w:r>
      <w:r>
        <w:rPr>
          <w:rFonts w:ascii="Arial" w:hAnsi="Arial" w:cs="Arial"/>
          <w:sz w:val="18"/>
          <w:szCs w:val="18"/>
        </w:rPr>
        <w:t>,</w:t>
      </w:r>
      <w:r w:rsidR="00BA3B1D">
        <w:rPr>
          <w:rFonts w:ascii="Arial" w:hAnsi="Arial" w:cs="Arial"/>
          <w:sz w:val="18"/>
          <w:szCs w:val="18"/>
        </w:rPr>
        <w:t>309</w:t>
      </w:r>
      <w:r>
        <w:rPr>
          <w:rFonts w:ascii="Arial" w:hAnsi="Arial" w:cs="Arial"/>
          <w:sz w:val="18"/>
          <w:szCs w:val="18"/>
        </w:rPr>
        <w:t>,</w:t>
      </w:r>
      <w:r w:rsidR="00BA3B1D">
        <w:rPr>
          <w:rFonts w:ascii="Arial" w:hAnsi="Arial" w:cs="Arial"/>
          <w:sz w:val="18"/>
          <w:szCs w:val="18"/>
        </w:rPr>
        <w:t>647</w:t>
      </w:r>
      <w:r>
        <w:rPr>
          <w:rFonts w:ascii="Arial" w:hAnsi="Arial" w:cs="Arial"/>
          <w:sz w:val="18"/>
          <w:szCs w:val="18"/>
        </w:rPr>
        <w:t>,</w:t>
      </w:r>
      <w:r w:rsidR="00BA3B1D">
        <w:rPr>
          <w:rFonts w:ascii="Arial" w:hAnsi="Arial" w:cs="Arial"/>
          <w:sz w:val="18"/>
          <w:szCs w:val="18"/>
        </w:rPr>
        <w:t>103</w:t>
      </w:r>
      <w:r>
        <w:rPr>
          <w:rFonts w:ascii="Arial" w:hAnsi="Arial" w:cs="Arial"/>
          <w:sz w:val="18"/>
          <w:szCs w:val="18"/>
        </w:rPr>
        <w:t xml:space="preserve"> de los cuales los principales sectores que reciben estas asignaciones son el sector educativo al cual le corresponde el </w:t>
      </w:r>
      <w:r w:rsidR="00BA3B1D">
        <w:rPr>
          <w:rFonts w:ascii="Arial" w:hAnsi="Arial" w:cs="Arial"/>
          <w:sz w:val="18"/>
          <w:szCs w:val="18"/>
        </w:rPr>
        <w:t>47</w:t>
      </w:r>
      <w:r>
        <w:rPr>
          <w:rFonts w:ascii="Arial" w:hAnsi="Arial" w:cs="Arial"/>
          <w:sz w:val="18"/>
          <w:szCs w:val="18"/>
        </w:rPr>
        <w:t xml:space="preserve">% y el sector salud con un </w:t>
      </w:r>
      <w:r w:rsidR="00B3680C">
        <w:rPr>
          <w:rFonts w:ascii="Arial" w:hAnsi="Arial" w:cs="Arial"/>
          <w:sz w:val="18"/>
          <w:szCs w:val="18"/>
        </w:rPr>
        <w:t>46</w:t>
      </w:r>
      <w:r>
        <w:rPr>
          <w:rFonts w:ascii="Arial" w:hAnsi="Arial" w:cs="Arial"/>
          <w:sz w:val="18"/>
          <w:szCs w:val="18"/>
        </w:rPr>
        <w:t xml:space="preserve">% y el restante </w:t>
      </w:r>
      <w:r w:rsidR="00B3680C">
        <w:rPr>
          <w:rFonts w:ascii="Arial" w:hAnsi="Arial" w:cs="Arial"/>
          <w:sz w:val="18"/>
          <w:szCs w:val="18"/>
        </w:rPr>
        <w:t>7</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3680C">
        <w:rPr>
          <w:rFonts w:ascii="Arial" w:hAnsi="Arial" w:cs="Arial"/>
          <w:sz w:val="18"/>
          <w:szCs w:val="18"/>
        </w:rPr>
        <w:t>marzo</w:t>
      </w:r>
      <w:r>
        <w:rPr>
          <w:rFonts w:ascii="Arial" w:hAnsi="Arial" w:cs="Arial"/>
          <w:sz w:val="18"/>
          <w:szCs w:val="18"/>
        </w:rPr>
        <w:t xml:space="preserve"> de 201</w:t>
      </w:r>
      <w:r w:rsidR="00B3680C">
        <w:rPr>
          <w:rFonts w:ascii="Arial" w:hAnsi="Arial" w:cs="Arial"/>
          <w:sz w:val="18"/>
          <w:szCs w:val="18"/>
        </w:rPr>
        <w:t>9</w:t>
      </w:r>
      <w:r>
        <w:rPr>
          <w:rFonts w:ascii="Arial" w:hAnsi="Arial" w:cs="Arial"/>
          <w:sz w:val="18"/>
          <w:szCs w:val="18"/>
        </w:rPr>
        <w:t xml:space="preserve"> es de $ 1,</w:t>
      </w:r>
      <w:r w:rsidR="00B3680C">
        <w:rPr>
          <w:rFonts w:ascii="Arial" w:hAnsi="Arial" w:cs="Arial"/>
          <w:sz w:val="18"/>
          <w:szCs w:val="18"/>
        </w:rPr>
        <w:t>463</w:t>
      </w:r>
      <w:r>
        <w:rPr>
          <w:rFonts w:ascii="Arial" w:hAnsi="Arial" w:cs="Arial"/>
          <w:sz w:val="18"/>
          <w:szCs w:val="18"/>
        </w:rPr>
        <w:t>,</w:t>
      </w:r>
      <w:r w:rsidR="00B3680C">
        <w:rPr>
          <w:rFonts w:ascii="Arial" w:hAnsi="Arial" w:cs="Arial"/>
          <w:sz w:val="18"/>
          <w:szCs w:val="18"/>
        </w:rPr>
        <w:t>578</w:t>
      </w:r>
      <w:r>
        <w:rPr>
          <w:rFonts w:ascii="Arial" w:hAnsi="Arial" w:cs="Arial"/>
          <w:sz w:val="18"/>
          <w:szCs w:val="18"/>
        </w:rPr>
        <w:t>,</w:t>
      </w:r>
      <w:r w:rsidR="00B3680C">
        <w:rPr>
          <w:rFonts w:ascii="Arial" w:hAnsi="Arial" w:cs="Arial"/>
          <w:sz w:val="18"/>
          <w:szCs w:val="18"/>
        </w:rPr>
        <w:t>628</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incluyen las prestaciones de fin de año; Programa Estatal de Infraestructura y lo correspondiente a</w:t>
      </w:r>
      <w:r w:rsidRPr="00DE62C8">
        <w:rPr>
          <w:rFonts w:ascii="Arial" w:hAnsi="Arial" w:cs="Arial"/>
          <w:sz w:val="18"/>
          <w:szCs w:val="18"/>
        </w:rPr>
        <w:t xml:space="preserve">l </w:t>
      </w:r>
      <w:r w:rsidR="00B3680C">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B3680C">
        <w:rPr>
          <w:rFonts w:ascii="Arial" w:hAnsi="Arial" w:cs="Arial"/>
          <w:sz w:val="18"/>
          <w:szCs w:val="18"/>
        </w:rPr>
        <w:t>marzo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l ejercicio 201</w:t>
      </w:r>
      <w:r w:rsidR="00895EF7">
        <w:rPr>
          <w:rFonts w:ascii="Arial" w:hAnsi="Arial" w:cs="Arial"/>
          <w:sz w:val="18"/>
          <w:szCs w:val="18"/>
        </w:rPr>
        <w:t>9</w:t>
      </w:r>
      <w:r>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D11F33">
        <w:rPr>
          <w:rFonts w:ascii="Arial" w:hAnsi="Arial" w:cs="Arial"/>
          <w:sz w:val="18"/>
          <w:szCs w:val="18"/>
        </w:rPr>
        <w:t>10</w:t>
      </w:r>
      <w:r>
        <w:rPr>
          <w:rFonts w:ascii="Arial" w:eastAsia="Times New Roman" w:hAnsi="Arial" w:cs="Arial"/>
          <w:bCs/>
          <w:sz w:val="18"/>
          <w:szCs w:val="18"/>
          <w:lang w:eastAsia="es-MX"/>
        </w:rPr>
        <w:t>,</w:t>
      </w:r>
      <w:r w:rsidR="00D11F33">
        <w:rPr>
          <w:rFonts w:ascii="Arial" w:eastAsia="Times New Roman" w:hAnsi="Arial" w:cs="Arial"/>
          <w:bCs/>
          <w:sz w:val="18"/>
          <w:szCs w:val="18"/>
          <w:lang w:eastAsia="es-MX"/>
        </w:rPr>
        <w:t>733</w:t>
      </w:r>
      <w:r>
        <w:rPr>
          <w:rFonts w:ascii="Arial" w:eastAsia="Times New Roman" w:hAnsi="Arial" w:cs="Arial"/>
          <w:bCs/>
          <w:sz w:val="18"/>
          <w:szCs w:val="18"/>
          <w:lang w:eastAsia="es-MX"/>
        </w:rPr>
        <w:t>,</w:t>
      </w:r>
      <w:r w:rsidR="00D11F33">
        <w:rPr>
          <w:rFonts w:ascii="Arial" w:eastAsia="Times New Roman" w:hAnsi="Arial" w:cs="Arial"/>
          <w:bCs/>
          <w:sz w:val="18"/>
          <w:szCs w:val="18"/>
          <w:lang w:eastAsia="es-MX"/>
        </w:rPr>
        <w:t>659</w:t>
      </w:r>
      <w:r>
        <w:rPr>
          <w:rFonts w:ascii="Arial" w:eastAsia="Times New Roman" w:hAnsi="Arial" w:cs="Arial"/>
          <w:bCs/>
          <w:sz w:val="18"/>
          <w:szCs w:val="18"/>
          <w:lang w:eastAsia="es-MX"/>
        </w:rPr>
        <w:t>,</w:t>
      </w:r>
      <w:r w:rsidR="00D11F33">
        <w:rPr>
          <w:rFonts w:ascii="Arial" w:eastAsia="Times New Roman" w:hAnsi="Arial" w:cs="Arial"/>
          <w:bCs/>
          <w:sz w:val="18"/>
          <w:szCs w:val="18"/>
          <w:lang w:eastAsia="es-MX"/>
        </w:rPr>
        <w:t>105</w:t>
      </w:r>
      <w:r w:rsidR="007156AF">
        <w:rPr>
          <w:rFonts w:ascii="Arial" w:eastAsia="Times New Roman" w:hAnsi="Arial" w:cs="Arial"/>
          <w:bCs/>
          <w:sz w:val="18"/>
          <w:szCs w:val="18"/>
          <w:lang w:eastAsia="es-MX"/>
        </w:rPr>
        <w:t>.</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AC2CB6">
        <w:rPr>
          <w:lang w:val="es-MX"/>
        </w:rPr>
        <w:t>1,</w:t>
      </w:r>
      <w:r w:rsidR="00895EF7">
        <w:rPr>
          <w:lang w:val="es-MX"/>
        </w:rPr>
        <w:t>262</w:t>
      </w:r>
      <w:r w:rsidR="00AC2CB6">
        <w:rPr>
          <w:lang w:val="es-MX"/>
        </w:rPr>
        <w:t>,</w:t>
      </w:r>
      <w:r w:rsidR="00895EF7">
        <w:rPr>
          <w:lang w:val="es-MX"/>
        </w:rPr>
        <w:t>619</w:t>
      </w:r>
      <w:r w:rsidR="00AC2CB6">
        <w:rPr>
          <w:lang w:val="es-MX"/>
        </w:rPr>
        <w:t>,</w:t>
      </w:r>
      <w:r w:rsidR="00895EF7">
        <w:rPr>
          <w:lang w:val="es-MX"/>
        </w:rPr>
        <w:t>331</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$ 1,</w:t>
      </w:r>
      <w:r w:rsidR="00895EF7">
        <w:rPr>
          <w:lang w:val="es-MX"/>
        </w:rPr>
        <w:t>463</w:t>
      </w:r>
      <w:r>
        <w:rPr>
          <w:lang w:val="es-MX"/>
        </w:rPr>
        <w:t>,</w:t>
      </w:r>
      <w:r w:rsidR="00895EF7">
        <w:rPr>
          <w:lang w:val="es-MX"/>
        </w:rPr>
        <w:t>578</w:t>
      </w:r>
      <w:r>
        <w:rPr>
          <w:lang w:val="es-MX"/>
        </w:rPr>
        <w:t>,</w:t>
      </w:r>
      <w:r w:rsidR="00895EF7">
        <w:rPr>
          <w:lang w:val="es-MX"/>
        </w:rPr>
        <w:t>628</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al mes de </w:t>
      </w:r>
      <w:r w:rsidR="00FE6B37">
        <w:rPr>
          <w:lang w:val="es-MX"/>
        </w:rPr>
        <w:t>marzo</w:t>
      </w:r>
      <w:r>
        <w:rPr>
          <w:lang w:val="es-MX"/>
        </w:rPr>
        <w:t xml:space="preserve"> un importe de </w:t>
      </w:r>
      <w:r w:rsidRPr="004466A7">
        <w:rPr>
          <w:lang w:val="es-MX"/>
        </w:rPr>
        <w:t>$</w:t>
      </w:r>
      <w:r>
        <w:rPr>
          <w:lang w:val="es-MX"/>
        </w:rPr>
        <w:t xml:space="preserve"> -1,6</w:t>
      </w:r>
      <w:r w:rsidR="00FE6B37">
        <w:rPr>
          <w:lang w:val="es-MX"/>
        </w:rPr>
        <w:t>32</w:t>
      </w:r>
      <w:r>
        <w:rPr>
          <w:lang w:val="es-MX"/>
        </w:rPr>
        <w:t>,</w:t>
      </w:r>
      <w:r w:rsidR="00FE6B37">
        <w:rPr>
          <w:lang w:val="es-MX"/>
        </w:rPr>
        <w:t>274</w:t>
      </w:r>
      <w:r>
        <w:rPr>
          <w:lang w:val="es-MX"/>
        </w:rPr>
        <w:t>,</w:t>
      </w:r>
      <w:r w:rsidR="00FE6B37">
        <w:rPr>
          <w:lang w:val="es-MX"/>
        </w:rPr>
        <w:t>046</w:t>
      </w:r>
      <w:r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 xml:space="preserve">refleja un saldo acumulado al 31 de </w:t>
      </w:r>
      <w:r w:rsidR="00FE6B37">
        <w:rPr>
          <w:lang w:val="es-MX"/>
        </w:rPr>
        <w:t>marzo</w:t>
      </w:r>
      <w:r w:rsidRPr="00DA18AC">
        <w:rPr>
          <w:lang w:val="es-MX"/>
        </w:rPr>
        <w:t xml:space="preserve"> de 201</w:t>
      </w:r>
      <w:r w:rsidR="00FE6B37">
        <w:rPr>
          <w:lang w:val="es-MX"/>
        </w:rPr>
        <w:t>9</w:t>
      </w:r>
      <w:r w:rsidRPr="00DA18AC">
        <w:rPr>
          <w:lang w:val="es-MX"/>
        </w:rPr>
        <w:t xml:space="preserve"> de $ 1,4</w:t>
      </w:r>
      <w:r w:rsidR="00FE6B37">
        <w:rPr>
          <w:lang w:val="es-MX"/>
        </w:rPr>
        <w:t>31</w:t>
      </w:r>
      <w:r w:rsidRPr="00DA18AC">
        <w:rPr>
          <w:lang w:val="es-MX"/>
        </w:rPr>
        <w:t>,</w:t>
      </w:r>
      <w:r w:rsidR="00FE6B37">
        <w:rPr>
          <w:lang w:val="es-MX"/>
        </w:rPr>
        <w:t>314</w:t>
      </w:r>
      <w:r w:rsidRPr="00DA18AC">
        <w:rPr>
          <w:lang w:val="es-MX"/>
        </w:rPr>
        <w:t>,</w:t>
      </w:r>
      <w:r w:rsidR="00FE6B37">
        <w:rPr>
          <w:lang w:val="es-MX"/>
        </w:rPr>
        <w:t>749</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1" w:name="_MON_1499681935"/>
    <w:bookmarkEnd w:id="1"/>
    <w:p w:rsidR="009C4575" w:rsidRDefault="0060657D" w:rsidP="00A54D75">
      <w:pPr>
        <w:tabs>
          <w:tab w:val="left" w:pos="284"/>
        </w:tabs>
        <w:spacing w:after="0"/>
        <w:ind w:left="284"/>
        <w:jc w:val="both"/>
        <w:rPr>
          <w:rFonts w:ascii="Arial" w:hAnsi="Arial" w:cs="Arial"/>
          <w:sz w:val="18"/>
          <w:szCs w:val="18"/>
        </w:rPr>
      </w:pPr>
      <w:r>
        <w:object w:dxaOrig="25362" w:dyaOrig="13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62.25pt" o:ole="">
            <v:imagedata r:id="rId8" o:title=""/>
          </v:shape>
          <o:OLEObject Type="Embed" ProgID="Excel.Sheet.12" ShapeID="_x0000_i1025" DrawAspect="Content" ObjectID="_1618216386" r:id="rId9"/>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593957"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761.8pt;height:352.05pt;z-index:251663360">
            <v:imagedata r:id="rId10" o:title=""/>
            <w10:wrap type="topAndBottom"/>
          </v:shape>
          <o:OLEObject Type="Embed" ProgID="Excel.Sheet.12" ShapeID="_x0000_s1046" DrawAspect="Content" ObjectID="_1618216387" r:id="rId11"/>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593957" w:rsidP="006942ED">
      <w:pPr>
        <w:ind w:firstLine="708"/>
        <w:rPr>
          <w:lang w:eastAsia="es-ES"/>
        </w:rPr>
      </w:pPr>
      <w:r>
        <w:rPr>
          <w:b/>
          <w:smallCaps/>
          <w:noProof/>
          <w:szCs w:val="18"/>
          <w:lang w:eastAsia="es-MX"/>
        </w:rPr>
        <w:object w:dxaOrig="1440" w:dyaOrig="1440">
          <v:shape id="_x0000_s1047" type="#_x0000_t75" style="position:absolute;left:0;text-align:left;margin-left:15.5pt;margin-top:32.65pt;width:765.85pt;height:390pt;z-index:251664384">
            <v:imagedata r:id="rId12" o:title=""/>
            <w10:wrap type="topAndBottom"/>
          </v:shape>
          <o:OLEObject Type="Embed" ProgID="Excel.Sheet.12" ShapeID="_x0000_s1047" DrawAspect="Content" ObjectID="_1618216388" r:id="rId13"/>
        </w:object>
      </w:r>
    </w:p>
    <w:p w:rsidR="006942ED" w:rsidRPr="006942ED" w:rsidRDefault="006942ED" w:rsidP="006942ED">
      <w:pPr>
        <w:rPr>
          <w:lang w:eastAsia="es-ES"/>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FE6B37">
        <w:rPr>
          <w:rFonts w:ascii="Arial" w:hAnsi="Arial" w:cs="Arial"/>
          <w:sz w:val="18"/>
          <w:szCs w:val="18"/>
        </w:rPr>
        <w:t>marzo</w:t>
      </w:r>
      <w:r>
        <w:rPr>
          <w:rFonts w:ascii="Arial" w:hAnsi="Arial" w:cs="Arial"/>
          <w:sz w:val="18"/>
          <w:szCs w:val="18"/>
        </w:rPr>
        <w:t xml:space="preserve"> </w:t>
      </w:r>
      <w:r w:rsidR="008276B2">
        <w:rPr>
          <w:rFonts w:ascii="Arial" w:hAnsi="Arial" w:cs="Arial"/>
          <w:sz w:val="18"/>
          <w:szCs w:val="18"/>
        </w:rPr>
        <w:t>del 201</w:t>
      </w:r>
      <w:r w:rsidR="00FE6B37">
        <w:rPr>
          <w:rFonts w:ascii="Arial" w:hAnsi="Arial" w:cs="Arial"/>
          <w:sz w:val="18"/>
          <w:szCs w:val="18"/>
        </w:rPr>
        <w:t>9</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lastRenderedPageBreak/>
        <w:t>Panorama Económico y Financiero</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 xml:space="preserve">La política de ingresos del Gobierno del Estado se </w:t>
      </w:r>
      <w:r w:rsidR="0030292A">
        <w:rPr>
          <w:rFonts w:ascii="Arial" w:hAnsi="Arial" w:cs="Arial"/>
          <w:sz w:val="18"/>
          <w:szCs w:val="18"/>
        </w:rPr>
        <w:t xml:space="preserve">ha </w:t>
      </w:r>
      <w:r w:rsidRPr="0063488B">
        <w:rPr>
          <w:rFonts w:ascii="Arial" w:hAnsi="Arial" w:cs="Arial"/>
          <w:sz w:val="18"/>
          <w:szCs w:val="18"/>
        </w:rPr>
        <w:t>concentr</w:t>
      </w:r>
      <w:r w:rsidR="0030292A">
        <w:rPr>
          <w:rFonts w:ascii="Arial" w:hAnsi="Arial" w:cs="Arial"/>
          <w:sz w:val="18"/>
          <w:szCs w:val="18"/>
        </w:rPr>
        <w:t>ado</w:t>
      </w:r>
      <w:r w:rsidRPr="0063488B">
        <w:rPr>
          <w:rFonts w:ascii="Arial" w:hAnsi="Arial" w:cs="Arial"/>
          <w:sz w:val="18"/>
          <w:szCs w:val="18"/>
        </w:rPr>
        <w:t xml:space="preserve">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32384C" w:rsidRPr="0063488B" w:rsidRDefault="0032384C" w:rsidP="0032384C">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32384C" w:rsidRPr="00037045" w:rsidRDefault="0032384C" w:rsidP="0032384C">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desarrollo económico y el mejoramiento de la calidad de vida de los habitantes del estado requieren tomar acciones estratégicas en diversos frentes, tomando en cuenta la visión de largo plazo, las ventajas competitivas de la entidad, las políticas que han funcionado bien, las deficiencias y limitantes en el patrón de desarrollo actual, así como las oportunidades y amenazas que generan los cambios en el entorno económico regional, nacional e internacional.</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meta del desarrollo económico de este gobierno, es lograr mejores condiciones de vida para la población del Estado. Para ello, se busca propiciar condiciones que permitan crear más y mejores empleos en el Estado de Tlaxcala y con ello mejorar las condiciones económicas de las familias tlaxcaltecas. Por ello, las acciones de gobierno en este ámbito, forman parte de una estrategia integral que considera como punto de partida, la realidad económica del estado, sus fortalezas y los retos a enfrentar en los próximos años para garantizar un mejoramiento en la vida de todos los tlaxcaltecas.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2018 se observó una elevada incertidumbre y una mayor astringencia de las condiciones financieras internacionales, por lo que los mercados financieros estuvieron caracterizados por una alta aversión al riesgo que generaró una elevada volatilidad de las variables financieras. No obstante, los mercados financieros han mostrado una menor volatilidad debido a la expectativa de un menor ritmo en los ajustes a la política monetaria de las economías avanzadas, como consecuencia de la posible desaceleración del crecimiento global.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económico mundial y la evolución de la economía nacional permiten prever que la economía mexicana continúe creciendo en 2019 y 2020. Se anticipa que durante 2019 el PIB registre un crecimiento real anual de entre 1.1 y 2.1%; para 2020 se estima que crezca entre 1.4 y 2.4% real. Estos rangos </w:t>
      </w:r>
      <w:r w:rsidRPr="0030292A">
        <w:rPr>
          <w:rFonts w:ascii="Arial" w:hAnsi="Arial" w:cs="Arial"/>
          <w:sz w:val="18"/>
          <w:szCs w:val="18"/>
        </w:rPr>
        <w:lastRenderedPageBreak/>
        <w:t xml:space="preserve">difieren a los previstos en los Criterios Generales de Política Económica de 2019 (CGPE 2019), publicados en diciembre de 2018, como resultado del bajo nivel de crecimiento observado en la economía mexicana durante el último trimestre de 2018, el cual podría prolongarse en el primer trimestre de 2019. Para las estimaciones de finanzas públicas se utiliza una estimación puntual de un crecimiento real anual del PIB de 1.6% para 2019 y de 1.9% para 2020. Estas estimaciones son inerciales, en el sentido de que no consideran los efectos de la estrategia de desarrollo económico de la actual administración ni otros factores que pueden implicar un mayor crecimiento. Entre estos factores destacan: un fortalecimiento del consumo por el efecto de los programas sociales y una mayor inclusión financiera; el impulso que realizará el gobierno a la inversión privada en infraestructura y sectores estratégicos; una mayor inversión pública y un incremento de las exportaciones por la reconfiguración de las cadenas de valor globales y la posición estratégica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prevé que la inflación de México continúe disminuyendo durante 2019 y 2020, conforme sigan disipándose los efectos de la alta volatilidad cambiaria y los precios de los energéticos que originaron su incremento. De acuerdo con lo proyectado por el Banco de México en su Informe Trimestral de octubre-diciembre de 2018, para el cuarto trimestre del año se espera que la inflación anual se ubique en 3.4%. El precio promedio del crudo mexicano de exportación se estima en 57 y 55 dólares por barril (dpb) para 2019 y 2020, respectivamente, un incremento de 2 dpb respecto al precio aprobado para 2019. Asimismo, para 2019 se estima un tipo de cambio promedio de 19.5 pesos por dólar, cifra menor a lo proyectado en los CGPE 2019 de 20.0 pesos por dólar, en línea con la apreciación observada del peso durante 2019. Para 2020 se considera un tipo de cambio de 20.0 pesos por dólar.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finanzas públicas, para 2019 se prevé cumplir con las metas fiscales aprobadas por el H. Congreso de la Unión. Esto implica que los Requerimientos Financieros del Sector Público (RFSP) alcanzarán un nivel de 2.5% del PIB y que el balance primario registrará un superávit de 1.0% del PIB. En congruencia, se estima que el Saldo Histórico de los Requerimientos Financieros del Sector Público (SHRFSP) se ubique en 45.1% del PIB, nivel similar a la estimación presentada para 2019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Se estima que los ingresos presupuestarios de 2019 sean inferiores en 121.2 miles de millones de pesos (mmp), equivalente a 0.5% del PIB, a los previstos en la Ley de Ingresos de la Federación (LIF) 2019. Esto se explica por menores ingresos petroleros, como resultado de una menor producción de crudo y gas natural, un menor proceso de crudo en el Sistema Nacional de Refinación que impacta directamente sobre los ingresos propios de Pemex al dejar de capturar el margen de refinación, así como por un tipo de cambio más apreciado con respecto a lo previsto en la LIF 2019, que se compensó parcialmente con un precio del petróleo mayor al esperado. Por su parte, se estima que los ingresos no petroleros se mantendrán en el mismo nivel previsto en la LIF 2019 de 17.1% del PIB. En cuanto al gasto neto, se estima una reducción de 121.2 mmp (0.5% del PIB) respecto al Presupuesto de Egresos de la Federación (PEF) 2019, congruente con los menores ingresos esperados. Lo anterior como resultado del ajuste en el gasto programable necesario para mantener la meta de déficit público y el balance de Pemex aprobados para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mantener una trayectoria constante del SHRFSP como porcentaje del PIB en 2020, equivalente a 45.1% del PIB, los RFSP se reducirán a 2.1% del PIB, lo cual implicaría que, dada la estimación del costo financiero para ese año, se obtendría un superávit primario de 1.3% del PIB, un déficit público de 1.6% del PIB y que se mantendrá un equilibrio presupuestario en el balance público sin inversión física de hasta 1.6% del PIB de Pemex, CFE y Gobierno Federal. Es importante destacar que la estimación de finanzas públicas considera que no se realizarán modificaciones al marco tributario vigente para 2020. Se estima que los ingresos presupuestarios para 2020 disminuyan en 1.7% real con respecto al monto previsto en la LIF 2019, debido principalmente a menores ingresos petroleros. Asimismo, para cumplir con la meta de balance público de un déficit de 1.6% del PIB, y dados los menores ingresos estimados, se prevé que el gasto neto total pagado para 2020 disminuya en 3.0% real con respecto al monto aprobado en el PEF 2019.</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A pesar del entorno externo adverso observado durante 2018, la actividad económica en México, sustentada en sólidos fundamentos macroeconómicos, mantuvo un crecimiento positivo durante 2018 y principios de 2019. Por el lado de la producción, el sector de servicios continuó impulsando el crecimiento económico, mientras que por el lado del gasto, el consumo privado y la demanda externa siguieron mostrando un desempeño favorable. No obstante, la inversión continuó exhibiendo un débil desempeño.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 xml:space="preserve">Para 2018–2019 se proyecta que el crecimiento se mantenga estable en el nivel de 2017, aunque su ritmo es menos vigoroso que lo proyectado en abril y es ahora menos equilibrado. Los riesgos para el crecimiento mundial han aumentado en los seis últimos meses y la posibilidad de sorpresas positivas ha disminuido. Se proyecta un crecimiento mundial de 3.7% para 2018–2019; es decir, 0.2 puntos porcentuales menos que el pronóstico de abril para ambos años. La revisión a la baja refleja factores sorpresivos que reprimieron la actividad a comienzos de 2018 en algunas de las principales economías avanzadas, los efectos negativos de las medidas comerciales aplicadas o aprobadas entre abril y mediados de septiembre, así como perspectivas menos favorables para algunas economías de mercados emergentes y en desarrollo debido a factores específicos de cada país, condiciones financieras más restrictivas, tensiones geopolíticas y mayores costos de importación de petróleo.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Pasados los dos próximos años, a medida que se cierren las brechas del producto y la política monetaria comience a normalizarse, el crecimiento de la mayoría de las economías avanzadas disminuirá acercándose a las tasas potenciales, muy por debajo de los promedios alcanzados antes de la crisis financiera de hace una década. En general, las perspectivas a mediano plazo siguen siendo favorables en las economías emergentes de Asia, pero siguen siendo subóptimas en algunas economías de mercados emergentes y en desarrollo, especialmente en términos del crecimiento per cápita, incluso en el caso de los exportadores de materias primas que continúan enfrentando necesidades sustanciales de consolidación fiscal o que están sumidos en guerras y conflictos. Los riesgos para el pronóstico de crecimiento mundial están sesgados a la baja en un contexto de recrudecimiento de la incertidumbre en torno a las políticas.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Durante 2018, la economía estadounidense registró un desempeño similar al esperado por los analistas. No obstante, las perspectivas de crecimiento se han revisado ligeramente a la baja para 2019 y 2020, debido a que, aunque se espera un consumo privado elevado, este puede debilitarse por la disipación del impulso fiscal de 2018 y por algunas señales de desaceleración en la actividad económica para estos años. No obstante, la fortaleza del mercado laboral puede contribuir a mantener el crecimiento del consumo.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espera un precio promedio de la mezcla mexicana de exportación de 57 dpb, que es mayor al precio aprobado por el H. Congreso de la Unión en el Paquete Económico para este año. Este precio está en línea con las condiciones económicas prevalecientes a nivel internacional y con la evolución reciente del mercado petrolero. Al 21 de marzo, el precio de la mezcla mexicana para 2019 se ubicó en 60.9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Cabe resaltar que el Gobierno Federal protegió sus ingresos petroleros para 2019 contra reducciones en el precio del crudo al 100% con una estrategia de coberturas que contempla, al igual que en 2018, dos herramientas: (1) una cobertura financiera en la forma de opciones de venta tipo put; y (2) una subcuenta en el Fondo de Estabilización de los Ingresos Presupuestarios (FEIP). Considerando ambas herramientas, se cubren los 55 dpb establecidos en la Ley de Ingresos de la Federación para 2019 (LIF 2019).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su parte, se estima que el precio promedio de la mezcla mexicana sea de 55 dpb durante 2020. Este precio es ligeramente menor a 55.8 dpb, cifra obtenida empleando la metodología especificada en el artículo 31 de la Ley Federal de Presupuesto y Responsabilidad Hacendaria, de acuerdo con la cual el valor que se utiliza como parámetro en la formulación de la Ley de Ingresos no debe superar al precio de referencia estimado. Asimismo, la estimación se encuentra por debajo del precio implícito en las cotizaciones de los mercados de futuros que con base en las referencias de WTI muestra un precio promedio para la mezcla mexicana de aproximadamente 59 dpb.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Las perspectivas para el crecimiento mundial y de Estados Unidos en 2019 y 2020, así como la evolución de la economía nacional permiten prever que la economía continúe creciendo en 2019 y 2020. Se anticipa que durante 2019 el PIB registre un crecimiento anual entre 1.1 y 2.1%, y para 2020 se estima que crezca entre 1.4 y 2.4%. Estos rangos son diferentes a los previstos en los CGPE 2019, publicados en diciembre pasado, como resultado del bajo nivel de crecimiento observado en la economía durante el último trimestre de 2018, el cual podría prolongarse en el primer trimestre de 2019, así como a la disminución en las expectativas de crecimiento a nivel mundial y particularmente de los Estados Unidos. Para efectos de las estimaciones de finanzas públicas se utiliza un crecimiento puntual del PIB para 2019 de 1.6% y para 2020 de 1.9%. Estas estimaciones son inerciales, en el sentido de que no consideran los efectos de la estrategia de desarrollo económico de la actual </w:t>
      </w:r>
      <w:r w:rsidRPr="0030292A">
        <w:rPr>
          <w:rFonts w:ascii="Arial" w:hAnsi="Arial" w:cs="Arial"/>
          <w:sz w:val="18"/>
          <w:szCs w:val="18"/>
        </w:rPr>
        <w:lastRenderedPageBreak/>
        <w:t>administración ni otros factores que pueden implicar un mayor crecimiento. Entre estos factores destacan: un fortalecimiento del consumo por el efecto de los programas sociales y una mayor inclusión financiera; el impulso por parte del gobierno a la inversión privada en infraestructura y sectores estratégicos; una mayor inversión pública, y un incremento de las exportaciones por la reconfiguración de las cadenas de valor globales y la posición estratégica de México.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La previsión de crecimiento de la Secretaría de Hacienda y Crédito Público para 2020 también se encuentra en línea con el esperado por los especialistas del sector privado y de organismos internacionales. Los crecimientos publicados por el Banco de México, el FMI y la OCDE son 1.9, 2.2 y 2.3%, respectivamente.  La estimación de crecimiento para 2019 considera que el gasto en inversión continuará de manera inercial mostrando cierta debilidad. No obstante, diversos factores pueden modificar esta previsión. En particular, el gobierno buscará impulsar la inversión privada en infraestructura y sectores estratégicos usando diferentes esquemas de participación, así como mejorar el clima de negocios a través de reforzar el estado de derecho, reducir la violencia y mejorar la seguridad.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Por otro lado, la inversión puede verse beneficiada al disiparse la incertidumbre de la aprobación del nuevo tratado comercial de Norteamérica (T-MEC) por los Congresos de los tres países, así como por la reconfiguración de las cadenas de valor del comercio internacional que pueden beneficiar el comercio regional. Asimismo, se espera la recuperación gradual de la plataforma de producción de petróleo, lo cual implica observar niveles de crecimiento de la producción en el mediano plazo. Las proyecciones de crecimiento de la demanda externa presentadas consideran un crecimiento de las exportaciones de bienes de México, si bien menos acelerada que en 2018. No obstante, es posible que las exportaciones se vean más beneficiadas por las modificaciones a las cadenas de valor de las importaciones de Estados Unidos, por las disputas comerciales actuales y consideraciones geopolíticas, y la posición privilegiada de México, tanto por ventajas logísticas como por la existencia de una oferta de mano de obra calificada.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Al mismo tiempo, es posible que la demanda interna contribuya más al crecimiento que el presentado por el efecto de las mejoras al sector financiero implementadas a inicios de 2019, por el impulso al consumo por la implementación de los programas sociales, por los niveles elevados de ingresos por remesas, así como por la sólida generación de empleos y una menor inflación. Lo anterior tendría como resultado que el consumo privado siga siendo motor del crecimiento.</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inflación continúe disminuyendo durante 2019 y 2020, conforme sigan disipándose los efectos de la alta volatilidad cambiaria y los precios de energéticos que originaron su incremento. En este sentido, se estima una inflación de cierre para 2019 de 3.4%, igual a la estimación para el cuarto trimestre del año publicada por el Banco de México en su Informe Trimestral de octubre-diciembre de 2018. Por su parte, se prevé que a finales de 2020 la inflación se ubicará en la meta establecida por el Banco de México de 3.0%.</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Para 2019, se considera como referencia para las estimaciones de finanzas públicas un tipo de cambio nominal promedio de 19.5 pesos por dólar. Para 2020 se considera un tipo de cambio promedio de 20.0 pesos por dólar.</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Se prevé que la plataforma de producción de petróleo promedie 1,783 mbd durante 2019, monto menor a la plataforma aprobada por el H. Congreso de la Unión en el Paquete Económico para este año (1,847 mbd), y 1,916 mbd durante 2020. Ambas cifras son consistentes con las estimaciones de producción aprobadas por el Consejo de Administración de Pemex, así como con las proyecciones de producción de privados que elabora la Secretaria de Energía.</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El escenario descrito del marco macroeconómico se encuentra sujeto a diversos riesgos. Dentro de los riesgos a la baja destacan: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desaceleración a la anticipada de la economía mundial, en particular de la producción industrial de Estados Unidos, por tensiones comerciales y la posible afectación de las cadenas de valor globales, una salida desordenada del Reino Unido de la Unión Europea y el agravamiento de las tensiones geopolíticas.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Mayor volatilidad en los mercados financieros internacionales que implique una disminución de los flujos de capitales a los países emergentes.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Mayor incertidumbre por tensiones políticas externas.</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lastRenderedPageBreak/>
        <w:t xml:space="preserve">Una mayor desaceleración de la actividad económica de la economía mexicana por un debilitamiento de la inversión privada en México mayor de lo anticipado.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 xml:space="preserve">El retraso en la aprobación del nuevo acuerdo comercial con Estados Unidos y Canadá.  </w:t>
      </w:r>
    </w:p>
    <w:p w:rsidR="0030292A" w:rsidRPr="0030292A" w:rsidRDefault="0030292A" w:rsidP="0030292A">
      <w:pPr>
        <w:pStyle w:val="Prrafodelista"/>
        <w:numPr>
          <w:ilvl w:val="0"/>
          <w:numId w:val="18"/>
        </w:numPr>
        <w:tabs>
          <w:tab w:val="left" w:pos="284"/>
        </w:tabs>
        <w:jc w:val="both"/>
        <w:rPr>
          <w:rFonts w:ascii="Arial" w:hAnsi="Arial" w:cs="Arial"/>
          <w:sz w:val="18"/>
          <w:szCs w:val="18"/>
        </w:rPr>
      </w:pPr>
      <w:r w:rsidRPr="0030292A">
        <w:rPr>
          <w:rFonts w:ascii="Arial" w:hAnsi="Arial" w:cs="Arial"/>
          <w:sz w:val="18"/>
          <w:szCs w:val="18"/>
        </w:rPr>
        <w:t>Un mayor deterioro de la calificación crediticia de Pemex.</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Entre los eventos que pueden generar un entorno más favorable se encuentran: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Fortalecimiento del mercado interno, principalmente del gasto de consumo como resultado del incremento en las transferencias de los programas sociales, una mayor inclusión financiera y acceso al crédito, los elevados ingresos de remesas y una menor inflación.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Un crecimiento mayor a lo esperado del PIB y de la producción industrial en Estados Unidos.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 xml:space="preserve">Que se revierta la debilidad que ha mostrado el gasto en la inversión como resultado de un impulso por parte del gobierno a la inversión privada en infraestructura y sectores estratégicos, el mejoramiento del clima de negocios por el combate a la corrupción e inseguridad, una mayor inversión de empresas al disiparse la incertidumbre al darse la aprobación legislativa en Estados Unidos del T-MEC, así como por la reconfiguración de las cadenas de valor del comercio internacional que pueden beneficiar el comercio regional. </w:t>
      </w:r>
    </w:p>
    <w:p w:rsidR="0030292A" w:rsidRPr="00E70E56" w:rsidRDefault="0030292A" w:rsidP="00E70E56">
      <w:pPr>
        <w:pStyle w:val="Prrafodelista"/>
        <w:numPr>
          <w:ilvl w:val="0"/>
          <w:numId w:val="19"/>
        </w:numPr>
        <w:tabs>
          <w:tab w:val="left" w:pos="284"/>
        </w:tabs>
        <w:jc w:val="both"/>
        <w:rPr>
          <w:rFonts w:ascii="Arial" w:hAnsi="Arial" w:cs="Arial"/>
          <w:sz w:val="18"/>
          <w:szCs w:val="18"/>
        </w:rPr>
      </w:pPr>
      <w:r w:rsidRPr="00E70E56">
        <w:rPr>
          <w:rFonts w:ascii="Arial" w:hAnsi="Arial" w:cs="Arial"/>
          <w:sz w:val="18"/>
          <w:szCs w:val="18"/>
        </w:rPr>
        <w:t>Un crecimiento de las exportaciones por la reconfiguración la ventaja comparativa que puede tener México en los cambios en las cadenas de valor de las importaciones de Estados Unidos.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Para 2019, se cumplirá con las metas fiscales aprobadas por el H. Congreso de la Unión, lo que implica que los RFSP alcanzarán un nivel de 2.5% del PIB, el déficit público registrará un nivel de 2.0% del PIB, mientras que el balance primario se ubicará en 1.0% del PIB. Además, se prevé un equilibrio presupuestario en el balance público al restarle hasta 2.0% de la inversión física de PEMEX, de CFE y del Gobierno Federal. En congruencia, se estima que el SHRFSP se ubique en 45.1% del PIB, nivel similar a la estimación presentada en los CGPE 2019 de 45.3% del PIB.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Es importante resaltar que para el ejercicio fiscal de 2019 no se aprobó la creación de impuestos nuevos ni un incremento en tasas de los impuestos vigentes. Asimismo, el gasto se ha ejercido con estricto apego a los principios de austeridad, honestidad y combate a la corrupción que caracterizan los compromisos del Gobierno de México.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proyección de las finanzas públicas para 2019 se apoya en un marco macroeconómico que incorpora la información más reciente sobre los parámetros que afectan los ingresos y egresos del Sector Público, en línea con lo presentado en los CGPE 2019, para efectos de las estimaciones de finanzas públicas se incorpora un valor puntual para el crecimiento económico de 1.6%, así como una plataforma de producción de 1,783 mbd y un tipo de cambio promedio de 19.5 pesos por dólar, mientras que se prevé un precio del petróleo de 57 dpb, una tasa de interés nominal promedio de 8.0%, y una inflación de 3.4%.</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el Estado viven 1,272,847 personas, de las cuales 52% son mujeres y 48% hombres. La tasa de crecimiento natural de la población en el estado ha disminuido consistentemente, pero todavía está por encima del promedio nacional. Por ejemplo, era de 1.6 por 100 habitantes en 2010, mientras en 2017 se estima en 1.4. Durante el mismo periodo, el promedio nacional pasó de 1.5 a 1.3.</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318.4 personas por km2, la cual es una de las más altas del país y cinco veces más grande que el promedio nacional de 63. Las entidades con una densidad poblacional por encima de Tlaxcala son la Ciudad de México (5,967.3), México (724.2) y Morelos (390.2). La alta densidad poblacional de Tlaxcala se manifiesta en que 30% de los habitantes vive en diez localidades.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30292A" w:rsidRPr="0030292A" w:rsidRDefault="0030292A" w:rsidP="0030292A">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extent cx="2557780" cy="3556635"/>
            <wp:effectExtent l="0" t="0" r="0" b="571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57780" cy="3556635"/>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(17.1%), el comercio (14%), los servicios de transporte (6.8%), la construcción (5.5%), las actividades de gobierno (5.2%) y los servicios educativos (5.1%). De acuerdo al Índice Trimestral de la Actividad Económica Estatal 2017.</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al primer trimestre de 2018, Tlaxcala ha recibido flujos de inversión acumulados por 2 mil 783 millones de dólares (mdd) equivalentes al 1% del total de flujos captados por el país de acuerdo a la Secretaría de Economía al 2º Trimestre de 2018, la entidad pasó a ocupar la posición 30 como receptor de inversión externa en el país, una mejora de cuatro lugares con respecto al año 2015.</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603 mil 336 personas y representa 1.1% del total nacional. La población ocupada representó 96% de la PEA de la entidad, es decir, 579 mil 067 personas. De esta población, 60 % son hombres y 40 % son mujeres. Un dato a destacar es el aumento de la participación laboral femenina en el estado. En 2000, la proporción de mujeres trabajadoras tlaxcaltecas dentro de la población ocupada total era de 33%. Actualmente, alcanza 40%, 2 punto porcentual mayor al promedio nacional.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Al mes de febrero de 2019 la tasa de ocupación reflejó una participación del 1.1 % al total nacional, representando un incremento de 4,256 puestos de trabajo respecto a diciembre de 2018. Al mes de febrero de 2019, se tienen registrados 101,430 trabajadores asegurados en el IMSS, tal y como se muestra en el siguiente cuadro:</w:t>
      </w:r>
    </w:p>
    <w:p w:rsidR="0030292A" w:rsidRPr="0030292A" w:rsidRDefault="0030292A" w:rsidP="00E70E56">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extent cx="6905068" cy="2983608"/>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2432" t="10797" r="9100" b="8948"/>
                    <a:stretch>
                      <a:fillRect/>
                    </a:stretch>
                  </pic:blipFill>
                  <pic:spPr bwMode="auto">
                    <a:xfrm>
                      <a:off x="0" y="0"/>
                      <a:ext cx="6960584" cy="3007596"/>
                    </a:xfrm>
                    <a:prstGeom prst="rect">
                      <a:avLst/>
                    </a:prstGeom>
                    <a:noFill/>
                    <a:ln>
                      <a:noFill/>
                    </a:ln>
                  </pic:spPr>
                </pic:pic>
              </a:graphicData>
            </a:graphic>
          </wp:inline>
        </w:drawing>
      </w:r>
    </w:p>
    <w:p w:rsidR="0030292A" w:rsidRPr="0030292A" w:rsidRDefault="0030292A" w:rsidP="00E70E56">
      <w:pPr>
        <w:tabs>
          <w:tab w:val="left" w:pos="284"/>
        </w:tabs>
        <w:ind w:left="284"/>
        <w:jc w:val="center"/>
        <w:rPr>
          <w:rFonts w:ascii="Arial" w:hAnsi="Arial" w:cs="Arial"/>
          <w:sz w:val="18"/>
          <w:szCs w:val="18"/>
        </w:rPr>
      </w:pPr>
      <w:r w:rsidRPr="0030292A">
        <w:rPr>
          <w:rFonts w:ascii="Arial" w:hAnsi="Arial" w:cs="Arial"/>
          <w:noProof/>
          <w:sz w:val="18"/>
          <w:szCs w:val="18"/>
          <w:lang w:eastAsia="es-MX"/>
        </w:rPr>
        <w:lastRenderedPageBreak/>
        <w:drawing>
          <wp:inline distT="0" distB="0" distL="0" distR="0">
            <wp:extent cx="7545788" cy="50488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1790" t="16504" r="22720" b="11121"/>
                    <a:stretch>
                      <a:fillRect/>
                    </a:stretch>
                  </pic:blipFill>
                  <pic:spPr bwMode="auto">
                    <a:xfrm>
                      <a:off x="0" y="0"/>
                      <a:ext cx="7592389" cy="5080065"/>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De acuerdo al Directorio Estadístico Nacional de Unidades Económicas, Tlaxcala cuenta con 73,274 Unidades Económicas, lo que representa el 1.4 % del total nacional. Al cuarto trimestre de 2018 la Población Económicamente Activa (PEA) ascendió a 603,336 personas, representando el 61.3 % de la población en edad de trabajar. Del Total de la PEA, el 96 % está ocupada y el 4 % se encuentra desocupada.</w:t>
      </w:r>
    </w:p>
    <w:p w:rsidR="0030292A" w:rsidRPr="0030292A" w:rsidRDefault="0030292A" w:rsidP="0030292A">
      <w:pPr>
        <w:tabs>
          <w:tab w:val="left" w:pos="284"/>
        </w:tabs>
        <w:ind w:left="284"/>
        <w:jc w:val="center"/>
        <w:rPr>
          <w:rFonts w:ascii="Arial" w:hAnsi="Arial" w:cs="Arial"/>
          <w:sz w:val="18"/>
          <w:szCs w:val="18"/>
        </w:rPr>
      </w:pPr>
      <w:r w:rsidRPr="0030292A">
        <w:rPr>
          <w:rFonts w:ascii="Arial" w:hAnsi="Arial" w:cs="Arial"/>
          <w:noProof/>
          <w:sz w:val="18"/>
          <w:szCs w:val="18"/>
          <w:lang w:eastAsia="es-MX"/>
        </w:rPr>
        <w:lastRenderedPageBreak/>
        <w:drawing>
          <wp:inline distT="0" distB="0" distL="0" distR="0">
            <wp:extent cx="6675755" cy="49085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8867" t="8723" r="18015" b="8405"/>
                    <a:stretch>
                      <a:fillRect/>
                    </a:stretch>
                  </pic:blipFill>
                  <pic:spPr bwMode="auto">
                    <a:xfrm>
                      <a:off x="0" y="0"/>
                      <a:ext cx="6675755" cy="4908550"/>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presenta mayores complejidades, por lo que es indispensable identificar las oportunidades y aprovecharlas con eficacia.</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Al cuarto trimestre de 2018, la Inversión Extranjera Directa Acumulada del año 2011 al mes de diciembre de 2018 en el Estado de Tlaxcala fue de 1,132 millones de dólares lo que representó un aporte del 0.5 % al total nacional, instalándose empresas de diversas nacionalidades en la Entidad.</w:t>
      </w:r>
    </w:p>
    <w:p w:rsidR="0030292A" w:rsidRPr="0030292A" w:rsidRDefault="0030292A" w:rsidP="0030292A">
      <w:pPr>
        <w:tabs>
          <w:tab w:val="left" w:pos="284"/>
        </w:tabs>
        <w:ind w:left="284"/>
        <w:jc w:val="center"/>
        <w:rPr>
          <w:rFonts w:ascii="Arial" w:hAnsi="Arial" w:cs="Arial"/>
          <w:sz w:val="18"/>
          <w:szCs w:val="18"/>
        </w:rPr>
      </w:pPr>
      <w:r w:rsidRPr="0030292A">
        <w:rPr>
          <w:rFonts w:ascii="Arial" w:hAnsi="Arial" w:cs="Arial"/>
          <w:noProof/>
          <w:sz w:val="18"/>
          <w:szCs w:val="18"/>
          <w:lang w:eastAsia="es-MX"/>
        </w:rPr>
        <w:drawing>
          <wp:inline distT="0" distB="0" distL="0" distR="0">
            <wp:extent cx="7534275" cy="4375785"/>
            <wp:effectExtent l="0" t="0" r="952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34275" cy="4375785"/>
                    </a:xfrm>
                    <a:prstGeom prst="rect">
                      <a:avLst/>
                    </a:prstGeom>
                    <a:noFill/>
                    <a:ln>
                      <a:noFill/>
                    </a:ln>
                  </pic:spPr>
                </pic:pic>
              </a:graphicData>
            </a:graphic>
          </wp:inline>
        </w:drawing>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noProof/>
          <w:sz w:val="18"/>
          <w:szCs w:val="18"/>
          <w:lang w:eastAsia="es-MX"/>
        </w:rPr>
        <mc:AlternateContent>
          <mc:Choice Requires="wps">
            <w:drawing>
              <wp:anchor distT="0" distB="0" distL="114300" distR="114300" simplePos="0" relativeHeight="251685888"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5" name="Flecha derecha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F8B48E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5" o:spid="_x0000_s1026" type="#_x0000_t13" style="position:absolute;margin-left:690.75pt;margin-top:12457.45pt;width:14.95pt;height:3.6pt;flip:y;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QdlA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FetdB2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30292A">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lastRenderedPageBreak/>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El poco dinamismo de la economía regional, restringe al Estado para incrementar significativamente su recaudación propia; de 2011 a 2018, los ingresos propios promediaron entre el 4 y 6 por ciento de los ingresos totales captados. Se han implementado algunas medidas que incentivaron el pago de impuestos para reducir el rezago fiscal, particularmente en materia de tenencia y derechos vehiculares.</w:t>
      </w:r>
    </w:p>
    <w:p w:rsidR="0030292A" w:rsidRPr="0030292A" w:rsidRDefault="0030292A" w:rsidP="0030292A">
      <w:pPr>
        <w:tabs>
          <w:tab w:val="left" w:pos="284"/>
        </w:tabs>
        <w:ind w:left="284"/>
        <w:jc w:val="both"/>
        <w:rPr>
          <w:rFonts w:ascii="Arial" w:hAnsi="Arial" w:cs="Arial"/>
          <w:sz w:val="18"/>
          <w:szCs w:val="18"/>
        </w:rPr>
      </w:pPr>
      <w:r w:rsidRPr="0030292A">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19"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0"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1"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2"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3"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4"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5"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lastRenderedPageBreak/>
        <w:t>El Estado de Tlaxcala, cuenta con una superficie de 3,991 kilómetros cuadrados, lo cual representa el 0,2 % del territorio nacional.</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w:t>
      </w:r>
      <w:r w:rsidRPr="0073056A">
        <w:rPr>
          <w:rFonts w:ascii="Arial" w:hAnsi="Arial" w:cs="Arial"/>
          <w:sz w:val="18"/>
          <w:szCs w:val="18"/>
        </w:rPr>
        <w:lastRenderedPageBreak/>
        <w:t>Contabilidad Gubernamental y las Normas y Metodología para la Emisión de Información Financiera y Estructura de los Estados Financieros Básicos, emitido por el Consejo Nacional de Armonización Contable (CONAC).</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32384C" w:rsidRPr="003D14B8"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w:t>
      </w:r>
      <w:r>
        <w:rPr>
          <w:rFonts w:ascii="Arial" w:hAnsi="Arial" w:cs="Arial"/>
          <w:sz w:val="18"/>
          <w:szCs w:val="18"/>
        </w:rPr>
        <w:t>1</w:t>
      </w:r>
      <w:r w:rsidRPr="003D14B8">
        <w:rPr>
          <w:rFonts w:ascii="Arial" w:hAnsi="Arial" w:cs="Arial"/>
          <w:sz w:val="18"/>
          <w:szCs w:val="18"/>
        </w:rPr>
        <w:t>.</w:t>
      </w:r>
      <w:r>
        <w:rPr>
          <w:rFonts w:ascii="Arial" w:hAnsi="Arial" w:cs="Arial"/>
          <w:sz w:val="18"/>
          <w:szCs w:val="18"/>
        </w:rPr>
        <w:t>8.</w:t>
      </w:r>
      <w:r w:rsidRPr="003D14B8">
        <w:rPr>
          <w:rFonts w:ascii="Arial" w:hAnsi="Arial" w:cs="Arial"/>
          <w:sz w:val="18"/>
          <w:szCs w:val="18"/>
        </w:rPr>
        <w:t xml:space="preserve"> Fortalecer </w:t>
      </w:r>
      <w:r>
        <w:rPr>
          <w:rFonts w:ascii="Arial" w:hAnsi="Arial" w:cs="Arial"/>
          <w:sz w:val="18"/>
          <w:szCs w:val="18"/>
        </w:rPr>
        <w:t>la capacidad recaudatoria de los municipios</w:t>
      </w:r>
      <w:r w:rsidRPr="003D14B8">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esta administración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 xml:space="preserve">alineado a la Política Pública 5. Gobierno Honesto, Eficiente y Transparente, </w:t>
      </w:r>
      <w:r w:rsidRPr="003D14B8">
        <w:rPr>
          <w:rFonts w:ascii="Arial" w:hAnsi="Arial" w:cs="Arial"/>
          <w:sz w:val="18"/>
          <w:szCs w:val="18"/>
        </w:rPr>
        <w:t xml:space="preserve">Objetivo </w:t>
      </w:r>
      <w:r>
        <w:rPr>
          <w:rFonts w:ascii="Arial" w:hAnsi="Arial" w:cs="Arial"/>
          <w:sz w:val="18"/>
          <w:szCs w:val="18"/>
        </w:rPr>
        <w:t>5</w:t>
      </w:r>
      <w:r w:rsidRPr="003D14B8">
        <w:rPr>
          <w:rFonts w:ascii="Arial" w:hAnsi="Arial" w:cs="Arial"/>
          <w:sz w:val="18"/>
          <w:szCs w:val="18"/>
        </w:rPr>
        <w:t>.</w:t>
      </w:r>
      <w:r>
        <w:rPr>
          <w:rFonts w:ascii="Arial" w:hAnsi="Arial" w:cs="Arial"/>
          <w:sz w:val="18"/>
          <w:szCs w:val="18"/>
        </w:rPr>
        <w:t>3.</w:t>
      </w:r>
      <w:r w:rsidRPr="003D14B8">
        <w:rPr>
          <w:rFonts w:ascii="Arial" w:hAnsi="Arial" w:cs="Arial"/>
          <w:sz w:val="18"/>
          <w:szCs w:val="18"/>
        </w:rPr>
        <w:t xml:space="preserve"> </w:t>
      </w:r>
      <w:r>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B3680C" w:rsidRDefault="00B3680C">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B3680C" w:rsidRDefault="00B3680C"/>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B3680C" w:rsidRDefault="00B3680C"/>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B3680C" w:rsidRDefault="00B3680C">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B3680C" w:rsidRDefault="00B3680C">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B3680C" w:rsidRDefault="00B3680C"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B3680C" w:rsidRDefault="00B3680C">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26"/>
      <w:headerReference w:type="default" r:id="rId27"/>
      <w:footerReference w:type="even" r:id="rId28"/>
      <w:footerReference w:type="default" r:id="rId29"/>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957" w:rsidRDefault="00593957" w:rsidP="00EA5418">
      <w:pPr>
        <w:spacing w:after="0" w:line="240" w:lineRule="auto"/>
      </w:pPr>
      <w:r>
        <w:separator/>
      </w:r>
    </w:p>
  </w:endnote>
  <w:endnote w:type="continuationSeparator" w:id="0">
    <w:p w:rsidR="00593957" w:rsidRDefault="0059395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Pr="004E3EA4" w:rsidRDefault="00B3680C"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EA4016" w:rsidRPr="00EA4016">
          <w:rPr>
            <w:rFonts w:ascii="Arial" w:hAnsi="Arial" w:cs="Arial"/>
            <w:noProof/>
            <w:sz w:val="20"/>
            <w:lang w:val="es-ES"/>
          </w:rPr>
          <w:t>24</w:t>
        </w:r>
        <w:r w:rsidRPr="004E3EA4">
          <w:rPr>
            <w:rFonts w:ascii="Arial" w:hAnsi="Arial" w:cs="Arial"/>
            <w:sz w:val="20"/>
          </w:rPr>
          <w:fldChar w:fldCharType="end"/>
        </w:r>
      </w:sdtContent>
    </w:sdt>
  </w:p>
  <w:p w:rsidR="00B3680C" w:rsidRDefault="00B368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Pr="003527CD" w:rsidRDefault="00B3680C"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EA4016" w:rsidRPr="00EA4016">
          <w:rPr>
            <w:rFonts w:ascii="Arial" w:hAnsi="Arial" w:cs="Arial"/>
            <w:noProof/>
            <w:lang w:val="es-ES"/>
          </w:rPr>
          <w:t>23</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957" w:rsidRDefault="00593957" w:rsidP="00EA5418">
      <w:pPr>
        <w:spacing w:after="0" w:line="240" w:lineRule="auto"/>
      </w:pPr>
      <w:r>
        <w:separator/>
      </w:r>
    </w:p>
  </w:footnote>
  <w:footnote w:type="continuationSeparator" w:id="0">
    <w:p w:rsidR="00593957" w:rsidRDefault="00593957"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Default="0096587D">
    <w:pPr>
      <w:pStyle w:val="Encabezado"/>
    </w:pPr>
    <w:r>
      <w:rPr>
        <w:noProof/>
        <w:lang w:eastAsia="es-MX"/>
      </w:rPr>
      <mc:AlternateContent>
        <mc:Choice Requires="wps">
          <w:drawing>
            <wp:anchor distT="0" distB="0" distL="114300" distR="114300" simplePos="0" relativeHeight="251668480" behindDoc="0" locked="0" layoutInCell="1" allowOverlap="1" wp14:anchorId="0D502D8A" wp14:editId="57EFC77F">
              <wp:simplePos x="0" y="0"/>
              <wp:positionH relativeFrom="column">
                <wp:posOffset>1952625</wp:posOffset>
              </wp:positionH>
              <wp:positionV relativeFrom="paragraph">
                <wp:posOffset>-220980</wp:posOffset>
              </wp:positionV>
              <wp:extent cx="3648075" cy="476250"/>
              <wp:effectExtent l="0" t="0" r="0" b="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680C" w:rsidRDefault="00B3680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3680C" w:rsidRDefault="00B3680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3680C" w:rsidRPr="00275FC6" w:rsidRDefault="00B3680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02D8A" id="_x0000_t202" coordsize="21600,21600" o:spt="202" path="m,l,21600r21600,l21600,xe">
              <v:stroke joinstyle="miter"/>
              <v:path gradientshapeok="t" o:connecttype="rect"/>
            </v:shapetype>
            <v:shape id="Cuadro de texto 5" o:spid="_x0000_s1102" type="#_x0000_t202" style="position:absolute;margin-left:153.75pt;margin-top:-17.4pt;width:287.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" filled="f" stroked="f">
              <v:textbox>
                <w:txbxContent>
                  <w:p w:rsidR="00B3680C" w:rsidRDefault="00B3680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3680C" w:rsidRDefault="00B3680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3680C" w:rsidRPr="00275FC6" w:rsidRDefault="00B3680C" w:rsidP="00040466">
                    <w:pPr>
                      <w:jc w:val="right"/>
                      <w:rPr>
                        <w:rFonts w:ascii="Soberana Titular" w:hAnsi="Soberana Titular" w:cs="Arial"/>
                        <w:color w:val="808080" w:themeColor="background1" w:themeShade="80"/>
                        <w:sz w:val="20"/>
                        <w:szCs w:val="20"/>
                      </w:rPr>
                    </w:pPr>
                  </w:p>
                </w:txbxContent>
              </v:textbox>
            </v:shape>
          </w:pict>
        </mc:Fallback>
      </mc:AlternateContent>
    </w:r>
    <w:r w:rsidR="00B3680C">
      <w:rPr>
        <w:noProof/>
        <w:lang w:eastAsia="es-MX"/>
      </w:rPr>
      <mc:AlternateContent>
        <mc:Choice Requires="wpg">
          <w:drawing>
            <wp:anchor distT="0" distB="0" distL="114300" distR="114300" simplePos="0" relativeHeight="251669504" behindDoc="0" locked="0" layoutInCell="1" allowOverlap="1" wp14:anchorId="08DE6DE9" wp14:editId="582B39AB">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80C" w:rsidRPr="00DE4269" w:rsidRDefault="00B3680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E6DE9" id="9 Grupo" o:spid="_x0000_s1103"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zY25eBAAAmQ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YC96SxEc2cryBbilJJQDqBvwioNGI9UPj+zhRbTw9N87itdc+yCA&#10;WlkYx1jzbCee4dVM1PnM9nyGigJMLTzjEddcGujBll2veN3ASY7MQt7CA6HitgSdvIJIsAPasy37&#10;/rHRDW81fGCd9+2q04vy5j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qO6uVtLd5G+6gLHHoOa&#10;4H9mH9pnw3+1t8H9O8ceExqH9h6pJLHB9th8mbMblGyuTj5lPep5lfl6mUq1NVFSb95ptLq0rXfy&#10;uvvPQqKKKo1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N/bG8spYl&#10;baZEK5PbIxXi/wDwT0/ZKuv2Jf2W9D+Hd9rVv4guNHmuZTew25t0k82ZpMbCzEY3Y617dRR5ndTz&#10;LEU8HUwEX+7qShKSstZQU1F33VlOWi0d9dkFFFFBw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H4sb2/vUb2/vUmPajHtQZi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4"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p3CAAAA2gAAAA8AAABkcnMvZG93bnJldi54bWxEj81qAjEUhfdC3yHcgjsnowup04kyFARB&#10;F1UL7fIyuZ0MTW6mSdTp25tCocvD+fk49WZ0VlwpxN6zgnlRgiBuve65U/B23s6eQMSErNF6JgU/&#10;FGGzfpjUWGl/4yNdT6kTeYRjhQpMSkMlZWwNOYyFH4iz9+mDw5Rl6KQOeMvjzspFWS6lw54zweBA&#10;L4bar9PFZcj36jWW3bvZWqn13swbe/holJo+js0ziERj+g//tXdawRJ+r+Qb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EzKdwgAAANoAAAAPAAAAAAAAAAAAAAAAAJ8C&#10;AABkcnMvZG93bnJldi54bWxQSwUGAAAAAAQABAD3AAAAjgMAAAAA&#10;">
                <v:imagedata r:id="rId2" o:title="" croptop="4055f" cropbottom="57131f" cropleft="36353f" cropright="28433f"/>
                <v:path arrowok="t"/>
              </v:shape>
              <v:shape id="Text Box 7" o:spid="_x0000_s1105"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3680C" w:rsidRPr="00DE4269" w:rsidRDefault="00B3680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txbxContent>
                </v:textbox>
              </v:shape>
            </v:group>
          </w:pict>
        </mc:Fallback>
      </mc:AlternateContent>
    </w:r>
    <w:r w:rsidR="00B3680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EFF0A8C" wp14:editId="794474AC">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0C" w:rsidRPr="003527CD" w:rsidRDefault="00B3680C"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13"/>
  </w:num>
  <w:num w:numId="4">
    <w:abstractNumId w:val="7"/>
  </w:num>
  <w:num w:numId="5">
    <w:abstractNumId w:val="10"/>
  </w:num>
  <w:num w:numId="6">
    <w:abstractNumId w:val="18"/>
  </w:num>
  <w:num w:numId="7">
    <w:abstractNumId w:val="16"/>
  </w:num>
  <w:num w:numId="8">
    <w:abstractNumId w:val="14"/>
  </w:num>
  <w:num w:numId="9">
    <w:abstractNumId w:val="6"/>
  </w:num>
  <w:num w:numId="10">
    <w:abstractNumId w:val="3"/>
  </w:num>
  <w:num w:numId="11">
    <w:abstractNumId w:val="0"/>
  </w:num>
  <w:num w:numId="12">
    <w:abstractNumId w:val="5"/>
  </w:num>
  <w:num w:numId="13">
    <w:abstractNumId w:val="17"/>
  </w:num>
  <w:num w:numId="14">
    <w:abstractNumId w:val="15"/>
  </w:num>
  <w:num w:numId="15">
    <w:abstractNumId w:val="9"/>
  </w:num>
  <w:num w:numId="16">
    <w:abstractNumId w:val="2"/>
  </w:num>
  <w:num w:numId="17">
    <w:abstractNumId w:val="8"/>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6EDF"/>
    <w:rsid w:val="000574E6"/>
    <w:rsid w:val="00063159"/>
    <w:rsid w:val="000655E4"/>
    <w:rsid w:val="0006610A"/>
    <w:rsid w:val="0006668A"/>
    <w:rsid w:val="0006755E"/>
    <w:rsid w:val="00072BA1"/>
    <w:rsid w:val="00076E1D"/>
    <w:rsid w:val="0008099F"/>
    <w:rsid w:val="00084D46"/>
    <w:rsid w:val="00090FD9"/>
    <w:rsid w:val="0009604B"/>
    <w:rsid w:val="00097255"/>
    <w:rsid w:val="000A00F8"/>
    <w:rsid w:val="000A4867"/>
    <w:rsid w:val="000A5776"/>
    <w:rsid w:val="000A7AB8"/>
    <w:rsid w:val="000B54AD"/>
    <w:rsid w:val="000B62E8"/>
    <w:rsid w:val="000B6E5A"/>
    <w:rsid w:val="000D01E9"/>
    <w:rsid w:val="000D4D45"/>
    <w:rsid w:val="000D553D"/>
    <w:rsid w:val="000E0A96"/>
    <w:rsid w:val="000E5C7A"/>
    <w:rsid w:val="000E6692"/>
    <w:rsid w:val="000F0E08"/>
    <w:rsid w:val="000F1B18"/>
    <w:rsid w:val="00100FD7"/>
    <w:rsid w:val="00105410"/>
    <w:rsid w:val="001130E9"/>
    <w:rsid w:val="001156F5"/>
    <w:rsid w:val="00115E5C"/>
    <w:rsid w:val="00115FAF"/>
    <w:rsid w:val="001203B5"/>
    <w:rsid w:val="00120A86"/>
    <w:rsid w:val="00123461"/>
    <w:rsid w:val="001234D1"/>
    <w:rsid w:val="0013011C"/>
    <w:rsid w:val="00134F21"/>
    <w:rsid w:val="00136E7D"/>
    <w:rsid w:val="00142035"/>
    <w:rsid w:val="00144A5D"/>
    <w:rsid w:val="0014540D"/>
    <w:rsid w:val="001528B7"/>
    <w:rsid w:val="0016242F"/>
    <w:rsid w:val="001635E1"/>
    <w:rsid w:val="00165BB4"/>
    <w:rsid w:val="001660FE"/>
    <w:rsid w:val="00172B7D"/>
    <w:rsid w:val="00174F47"/>
    <w:rsid w:val="0018603D"/>
    <w:rsid w:val="00193B2D"/>
    <w:rsid w:val="001A3F6A"/>
    <w:rsid w:val="001B13BF"/>
    <w:rsid w:val="001B1B72"/>
    <w:rsid w:val="001B2632"/>
    <w:rsid w:val="001B267D"/>
    <w:rsid w:val="001B4EE5"/>
    <w:rsid w:val="001B51F1"/>
    <w:rsid w:val="001B6F95"/>
    <w:rsid w:val="001B7DDA"/>
    <w:rsid w:val="001C2435"/>
    <w:rsid w:val="001C47EF"/>
    <w:rsid w:val="001C4842"/>
    <w:rsid w:val="001C48E8"/>
    <w:rsid w:val="001C4CB9"/>
    <w:rsid w:val="001C66C1"/>
    <w:rsid w:val="001C6C21"/>
    <w:rsid w:val="001C6FD8"/>
    <w:rsid w:val="001D0747"/>
    <w:rsid w:val="001D3572"/>
    <w:rsid w:val="001E3216"/>
    <w:rsid w:val="001E327A"/>
    <w:rsid w:val="001E46CF"/>
    <w:rsid w:val="001E7072"/>
    <w:rsid w:val="001F0C04"/>
    <w:rsid w:val="001F18C1"/>
    <w:rsid w:val="001F4B7F"/>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333F"/>
    <w:rsid w:val="00264426"/>
    <w:rsid w:val="002705C0"/>
    <w:rsid w:val="00270EC8"/>
    <w:rsid w:val="00272E20"/>
    <w:rsid w:val="0027627B"/>
    <w:rsid w:val="00280CD3"/>
    <w:rsid w:val="002858C7"/>
    <w:rsid w:val="00287D90"/>
    <w:rsid w:val="00290A24"/>
    <w:rsid w:val="00295FCC"/>
    <w:rsid w:val="002A2013"/>
    <w:rsid w:val="002A70B3"/>
    <w:rsid w:val="002A728F"/>
    <w:rsid w:val="002B0770"/>
    <w:rsid w:val="002B32BF"/>
    <w:rsid w:val="002B4828"/>
    <w:rsid w:val="002B7C62"/>
    <w:rsid w:val="002C0A9F"/>
    <w:rsid w:val="002C479E"/>
    <w:rsid w:val="002C4A76"/>
    <w:rsid w:val="002C4E19"/>
    <w:rsid w:val="002C5ACA"/>
    <w:rsid w:val="002D0278"/>
    <w:rsid w:val="002D2BEE"/>
    <w:rsid w:val="002E52F9"/>
    <w:rsid w:val="002F546C"/>
    <w:rsid w:val="0030292A"/>
    <w:rsid w:val="00302E39"/>
    <w:rsid w:val="00311255"/>
    <w:rsid w:val="00312040"/>
    <w:rsid w:val="0032152C"/>
    <w:rsid w:val="0032384C"/>
    <w:rsid w:val="00323D16"/>
    <w:rsid w:val="00324311"/>
    <w:rsid w:val="00327048"/>
    <w:rsid w:val="00327740"/>
    <w:rsid w:val="00331185"/>
    <w:rsid w:val="00332091"/>
    <w:rsid w:val="0033398C"/>
    <w:rsid w:val="00336B8F"/>
    <w:rsid w:val="00351921"/>
    <w:rsid w:val="003527CD"/>
    <w:rsid w:val="00354047"/>
    <w:rsid w:val="0035405F"/>
    <w:rsid w:val="00356170"/>
    <w:rsid w:val="003612CA"/>
    <w:rsid w:val="00365BA0"/>
    <w:rsid w:val="00372F40"/>
    <w:rsid w:val="00374E36"/>
    <w:rsid w:val="00380E8C"/>
    <w:rsid w:val="00380EE2"/>
    <w:rsid w:val="003811EC"/>
    <w:rsid w:val="00382E8F"/>
    <w:rsid w:val="00383BCB"/>
    <w:rsid w:val="00386E53"/>
    <w:rsid w:val="003900E3"/>
    <w:rsid w:val="00390936"/>
    <w:rsid w:val="00393281"/>
    <w:rsid w:val="00393659"/>
    <w:rsid w:val="00396C2B"/>
    <w:rsid w:val="003A0303"/>
    <w:rsid w:val="003A6C39"/>
    <w:rsid w:val="003A7ADE"/>
    <w:rsid w:val="003B1B0C"/>
    <w:rsid w:val="003B55DA"/>
    <w:rsid w:val="003C35FE"/>
    <w:rsid w:val="003C3B3A"/>
    <w:rsid w:val="003C4805"/>
    <w:rsid w:val="003C5C30"/>
    <w:rsid w:val="003D0221"/>
    <w:rsid w:val="003D1331"/>
    <w:rsid w:val="003D2E3D"/>
    <w:rsid w:val="003D5DBF"/>
    <w:rsid w:val="003D6079"/>
    <w:rsid w:val="003E33EF"/>
    <w:rsid w:val="003E3D38"/>
    <w:rsid w:val="003E63CA"/>
    <w:rsid w:val="003E6BD8"/>
    <w:rsid w:val="003E7FD0"/>
    <w:rsid w:val="003F0340"/>
    <w:rsid w:val="003F0EA4"/>
    <w:rsid w:val="003F16E6"/>
    <w:rsid w:val="003F2A03"/>
    <w:rsid w:val="003F6942"/>
    <w:rsid w:val="003F6B56"/>
    <w:rsid w:val="0040301B"/>
    <w:rsid w:val="0040746E"/>
    <w:rsid w:val="004076AC"/>
    <w:rsid w:val="0041065F"/>
    <w:rsid w:val="00415099"/>
    <w:rsid w:val="004213BC"/>
    <w:rsid w:val="004306DA"/>
    <w:rsid w:val="004311BE"/>
    <w:rsid w:val="004373B9"/>
    <w:rsid w:val="00441E7C"/>
    <w:rsid w:val="0044253C"/>
    <w:rsid w:val="004466A7"/>
    <w:rsid w:val="00454129"/>
    <w:rsid w:val="00454250"/>
    <w:rsid w:val="00463B0D"/>
    <w:rsid w:val="0046425D"/>
    <w:rsid w:val="004644D4"/>
    <w:rsid w:val="004649FD"/>
    <w:rsid w:val="004714CF"/>
    <w:rsid w:val="00474420"/>
    <w:rsid w:val="00480F7F"/>
    <w:rsid w:val="004842C3"/>
    <w:rsid w:val="00484C0D"/>
    <w:rsid w:val="00487AC2"/>
    <w:rsid w:val="0049279C"/>
    <w:rsid w:val="00493E27"/>
    <w:rsid w:val="00497D8B"/>
    <w:rsid w:val="004A67F1"/>
    <w:rsid w:val="004A7484"/>
    <w:rsid w:val="004B04CF"/>
    <w:rsid w:val="004B1994"/>
    <w:rsid w:val="004B1F00"/>
    <w:rsid w:val="004B2344"/>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3E7E"/>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56D2F"/>
    <w:rsid w:val="0056081A"/>
    <w:rsid w:val="00562D1C"/>
    <w:rsid w:val="00565576"/>
    <w:rsid w:val="00570444"/>
    <w:rsid w:val="005712C2"/>
    <w:rsid w:val="00574266"/>
    <w:rsid w:val="00574570"/>
    <w:rsid w:val="00575EE0"/>
    <w:rsid w:val="005768EA"/>
    <w:rsid w:val="00576C8C"/>
    <w:rsid w:val="00577617"/>
    <w:rsid w:val="00585D38"/>
    <w:rsid w:val="00587618"/>
    <w:rsid w:val="0059084C"/>
    <w:rsid w:val="00590C01"/>
    <w:rsid w:val="00593957"/>
    <w:rsid w:val="005A3CCB"/>
    <w:rsid w:val="005A53BA"/>
    <w:rsid w:val="005A57AD"/>
    <w:rsid w:val="005B0F75"/>
    <w:rsid w:val="005C02A4"/>
    <w:rsid w:val="005C0F25"/>
    <w:rsid w:val="005C1613"/>
    <w:rsid w:val="005C1E73"/>
    <w:rsid w:val="005C4BC3"/>
    <w:rsid w:val="005D3D25"/>
    <w:rsid w:val="005D5223"/>
    <w:rsid w:val="005D568E"/>
    <w:rsid w:val="005E7914"/>
    <w:rsid w:val="005F253A"/>
    <w:rsid w:val="005F3B9E"/>
    <w:rsid w:val="005F52B3"/>
    <w:rsid w:val="005F7D1B"/>
    <w:rsid w:val="00600110"/>
    <w:rsid w:val="00600878"/>
    <w:rsid w:val="00601D73"/>
    <w:rsid w:val="00602E51"/>
    <w:rsid w:val="00603BFE"/>
    <w:rsid w:val="006049C8"/>
    <w:rsid w:val="00605027"/>
    <w:rsid w:val="0060657D"/>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25F"/>
    <w:rsid w:val="00655EB2"/>
    <w:rsid w:val="00661A17"/>
    <w:rsid w:val="006653EB"/>
    <w:rsid w:val="0067443A"/>
    <w:rsid w:val="00675B86"/>
    <w:rsid w:val="00677384"/>
    <w:rsid w:val="006774BF"/>
    <w:rsid w:val="006942ED"/>
    <w:rsid w:val="006944EF"/>
    <w:rsid w:val="006A289F"/>
    <w:rsid w:val="006B1FE7"/>
    <w:rsid w:val="006C2C92"/>
    <w:rsid w:val="006C54B8"/>
    <w:rsid w:val="006D2166"/>
    <w:rsid w:val="006D3DF1"/>
    <w:rsid w:val="006D5097"/>
    <w:rsid w:val="006D5AC5"/>
    <w:rsid w:val="006E2D9E"/>
    <w:rsid w:val="006E77DD"/>
    <w:rsid w:val="006F0CCF"/>
    <w:rsid w:val="006F2058"/>
    <w:rsid w:val="006F23B1"/>
    <w:rsid w:val="006F4379"/>
    <w:rsid w:val="006F4C3C"/>
    <w:rsid w:val="006F6AC2"/>
    <w:rsid w:val="007004C7"/>
    <w:rsid w:val="007103D4"/>
    <w:rsid w:val="007149DA"/>
    <w:rsid w:val="007156AF"/>
    <w:rsid w:val="00721EA3"/>
    <w:rsid w:val="007277F5"/>
    <w:rsid w:val="0073056A"/>
    <w:rsid w:val="007314A9"/>
    <w:rsid w:val="00731CA2"/>
    <w:rsid w:val="00734272"/>
    <w:rsid w:val="0073581C"/>
    <w:rsid w:val="00736F40"/>
    <w:rsid w:val="007420CD"/>
    <w:rsid w:val="007439D3"/>
    <w:rsid w:val="00757C3E"/>
    <w:rsid w:val="00764D64"/>
    <w:rsid w:val="007723AF"/>
    <w:rsid w:val="00773A43"/>
    <w:rsid w:val="00773EBC"/>
    <w:rsid w:val="007769DF"/>
    <w:rsid w:val="00776BBF"/>
    <w:rsid w:val="007818C3"/>
    <w:rsid w:val="00782910"/>
    <w:rsid w:val="00786193"/>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E7A7E"/>
    <w:rsid w:val="007F00B0"/>
    <w:rsid w:val="007F4F8F"/>
    <w:rsid w:val="00800EC0"/>
    <w:rsid w:val="00802736"/>
    <w:rsid w:val="00802B2A"/>
    <w:rsid w:val="00807FF7"/>
    <w:rsid w:val="00810D49"/>
    <w:rsid w:val="00811DAC"/>
    <w:rsid w:val="00817DFF"/>
    <w:rsid w:val="00820352"/>
    <w:rsid w:val="00822CD5"/>
    <w:rsid w:val="00826474"/>
    <w:rsid w:val="008276B2"/>
    <w:rsid w:val="0083223B"/>
    <w:rsid w:val="00832955"/>
    <w:rsid w:val="0083335C"/>
    <w:rsid w:val="00840ED5"/>
    <w:rsid w:val="00844CF2"/>
    <w:rsid w:val="00845952"/>
    <w:rsid w:val="00845EF6"/>
    <w:rsid w:val="00846C3D"/>
    <w:rsid w:val="008470C4"/>
    <w:rsid w:val="0084770A"/>
    <w:rsid w:val="00850642"/>
    <w:rsid w:val="00852D7F"/>
    <w:rsid w:val="00856CDA"/>
    <w:rsid w:val="008630BA"/>
    <w:rsid w:val="008643A9"/>
    <w:rsid w:val="00864C50"/>
    <w:rsid w:val="00864FE6"/>
    <w:rsid w:val="008659FD"/>
    <w:rsid w:val="00866F4E"/>
    <w:rsid w:val="008742BD"/>
    <w:rsid w:val="00876082"/>
    <w:rsid w:val="008805C8"/>
    <w:rsid w:val="00883D58"/>
    <w:rsid w:val="0089054E"/>
    <w:rsid w:val="00894C50"/>
    <w:rsid w:val="00895EF7"/>
    <w:rsid w:val="008966AD"/>
    <w:rsid w:val="00897AB8"/>
    <w:rsid w:val="00897BFB"/>
    <w:rsid w:val="008A1478"/>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D7129"/>
    <w:rsid w:val="008E3652"/>
    <w:rsid w:val="008E3672"/>
    <w:rsid w:val="008E5316"/>
    <w:rsid w:val="008F056B"/>
    <w:rsid w:val="008F0CF5"/>
    <w:rsid w:val="008F45AC"/>
    <w:rsid w:val="008F4EF3"/>
    <w:rsid w:val="008F6D58"/>
    <w:rsid w:val="008F6EFE"/>
    <w:rsid w:val="008F708E"/>
    <w:rsid w:val="00902118"/>
    <w:rsid w:val="00906016"/>
    <w:rsid w:val="00910949"/>
    <w:rsid w:val="0091195E"/>
    <w:rsid w:val="0091612C"/>
    <w:rsid w:val="00916652"/>
    <w:rsid w:val="00917A1B"/>
    <w:rsid w:val="00917FE3"/>
    <w:rsid w:val="00922515"/>
    <w:rsid w:val="00923D9A"/>
    <w:rsid w:val="009244C1"/>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6587D"/>
    <w:rsid w:val="0096610B"/>
    <w:rsid w:val="0097113C"/>
    <w:rsid w:val="00974D23"/>
    <w:rsid w:val="00975CBF"/>
    <w:rsid w:val="00980D38"/>
    <w:rsid w:val="00986365"/>
    <w:rsid w:val="009869E9"/>
    <w:rsid w:val="00986BC3"/>
    <w:rsid w:val="00987EEE"/>
    <w:rsid w:val="00996671"/>
    <w:rsid w:val="009A00D4"/>
    <w:rsid w:val="009A407A"/>
    <w:rsid w:val="009A6CA9"/>
    <w:rsid w:val="009A76C0"/>
    <w:rsid w:val="009B0197"/>
    <w:rsid w:val="009B20EA"/>
    <w:rsid w:val="009B2C65"/>
    <w:rsid w:val="009B49CD"/>
    <w:rsid w:val="009B515F"/>
    <w:rsid w:val="009B5552"/>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764EF"/>
    <w:rsid w:val="00A8050B"/>
    <w:rsid w:val="00A8077E"/>
    <w:rsid w:val="00A8166B"/>
    <w:rsid w:val="00A85EE5"/>
    <w:rsid w:val="00A90E13"/>
    <w:rsid w:val="00A9143E"/>
    <w:rsid w:val="00A94BD0"/>
    <w:rsid w:val="00A95577"/>
    <w:rsid w:val="00A97E66"/>
    <w:rsid w:val="00AA3279"/>
    <w:rsid w:val="00AB2062"/>
    <w:rsid w:val="00AB3613"/>
    <w:rsid w:val="00AC2CB6"/>
    <w:rsid w:val="00AD27C1"/>
    <w:rsid w:val="00AD4F95"/>
    <w:rsid w:val="00AE30F7"/>
    <w:rsid w:val="00AE32DD"/>
    <w:rsid w:val="00AF4311"/>
    <w:rsid w:val="00AF4DBC"/>
    <w:rsid w:val="00AF68D1"/>
    <w:rsid w:val="00B006FD"/>
    <w:rsid w:val="00B0402E"/>
    <w:rsid w:val="00B04DFA"/>
    <w:rsid w:val="00B06D4E"/>
    <w:rsid w:val="00B10DA4"/>
    <w:rsid w:val="00B11CB7"/>
    <w:rsid w:val="00B146E2"/>
    <w:rsid w:val="00B14AB7"/>
    <w:rsid w:val="00B22704"/>
    <w:rsid w:val="00B22AC4"/>
    <w:rsid w:val="00B23F18"/>
    <w:rsid w:val="00B3680C"/>
    <w:rsid w:val="00B37C20"/>
    <w:rsid w:val="00B41E9F"/>
    <w:rsid w:val="00B42449"/>
    <w:rsid w:val="00B50783"/>
    <w:rsid w:val="00B5253D"/>
    <w:rsid w:val="00B611B8"/>
    <w:rsid w:val="00B67BC6"/>
    <w:rsid w:val="00B73EB9"/>
    <w:rsid w:val="00B83E59"/>
    <w:rsid w:val="00B849EE"/>
    <w:rsid w:val="00B84D02"/>
    <w:rsid w:val="00B870E0"/>
    <w:rsid w:val="00B87589"/>
    <w:rsid w:val="00B95032"/>
    <w:rsid w:val="00BA0268"/>
    <w:rsid w:val="00BA1AD8"/>
    <w:rsid w:val="00BA1ADB"/>
    <w:rsid w:val="00BA26B4"/>
    <w:rsid w:val="00BA2940"/>
    <w:rsid w:val="00BA3B1D"/>
    <w:rsid w:val="00BA58E7"/>
    <w:rsid w:val="00BA7B26"/>
    <w:rsid w:val="00BB327F"/>
    <w:rsid w:val="00BB3832"/>
    <w:rsid w:val="00BC6745"/>
    <w:rsid w:val="00BD1AAF"/>
    <w:rsid w:val="00BD248B"/>
    <w:rsid w:val="00BD2A8B"/>
    <w:rsid w:val="00BD3E4E"/>
    <w:rsid w:val="00BD5837"/>
    <w:rsid w:val="00BD7BBB"/>
    <w:rsid w:val="00BE43B1"/>
    <w:rsid w:val="00BE5D56"/>
    <w:rsid w:val="00BF11E1"/>
    <w:rsid w:val="00C00590"/>
    <w:rsid w:val="00C013A1"/>
    <w:rsid w:val="00C01580"/>
    <w:rsid w:val="00C105A6"/>
    <w:rsid w:val="00C10C63"/>
    <w:rsid w:val="00C1279C"/>
    <w:rsid w:val="00C14867"/>
    <w:rsid w:val="00C16E53"/>
    <w:rsid w:val="00C17841"/>
    <w:rsid w:val="00C27323"/>
    <w:rsid w:val="00C30B88"/>
    <w:rsid w:val="00C411EA"/>
    <w:rsid w:val="00C431B4"/>
    <w:rsid w:val="00C4471C"/>
    <w:rsid w:val="00C458D3"/>
    <w:rsid w:val="00C502CF"/>
    <w:rsid w:val="00C50527"/>
    <w:rsid w:val="00C509E2"/>
    <w:rsid w:val="00C5304F"/>
    <w:rsid w:val="00C5373A"/>
    <w:rsid w:val="00C60544"/>
    <w:rsid w:val="00C6076C"/>
    <w:rsid w:val="00C60DEB"/>
    <w:rsid w:val="00C629E1"/>
    <w:rsid w:val="00C63175"/>
    <w:rsid w:val="00C63CF1"/>
    <w:rsid w:val="00C64634"/>
    <w:rsid w:val="00C66322"/>
    <w:rsid w:val="00C6715B"/>
    <w:rsid w:val="00C71D1F"/>
    <w:rsid w:val="00C74C79"/>
    <w:rsid w:val="00C7680C"/>
    <w:rsid w:val="00C81A32"/>
    <w:rsid w:val="00C81B7E"/>
    <w:rsid w:val="00C86C59"/>
    <w:rsid w:val="00C91C5A"/>
    <w:rsid w:val="00C92668"/>
    <w:rsid w:val="00C97083"/>
    <w:rsid w:val="00C97412"/>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CD7F3F"/>
    <w:rsid w:val="00CE038F"/>
    <w:rsid w:val="00CE45FC"/>
    <w:rsid w:val="00CE5C1A"/>
    <w:rsid w:val="00CF2D36"/>
    <w:rsid w:val="00D00E92"/>
    <w:rsid w:val="00D055EC"/>
    <w:rsid w:val="00D11F33"/>
    <w:rsid w:val="00D14208"/>
    <w:rsid w:val="00D1757C"/>
    <w:rsid w:val="00D234B6"/>
    <w:rsid w:val="00D254F0"/>
    <w:rsid w:val="00D34D7A"/>
    <w:rsid w:val="00D351EE"/>
    <w:rsid w:val="00D35411"/>
    <w:rsid w:val="00D3669D"/>
    <w:rsid w:val="00D43342"/>
    <w:rsid w:val="00D4394E"/>
    <w:rsid w:val="00D44728"/>
    <w:rsid w:val="00D45237"/>
    <w:rsid w:val="00D52FF5"/>
    <w:rsid w:val="00D55E41"/>
    <w:rsid w:val="00D56088"/>
    <w:rsid w:val="00D562FF"/>
    <w:rsid w:val="00D62468"/>
    <w:rsid w:val="00D628F8"/>
    <w:rsid w:val="00D66910"/>
    <w:rsid w:val="00D6706B"/>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E2F50"/>
    <w:rsid w:val="00DE4269"/>
    <w:rsid w:val="00DE5274"/>
    <w:rsid w:val="00DE621F"/>
    <w:rsid w:val="00DE62C8"/>
    <w:rsid w:val="00DE6B8B"/>
    <w:rsid w:val="00DF0216"/>
    <w:rsid w:val="00DF386E"/>
    <w:rsid w:val="00DF56C9"/>
    <w:rsid w:val="00DF6AC4"/>
    <w:rsid w:val="00E004F0"/>
    <w:rsid w:val="00E007EC"/>
    <w:rsid w:val="00E01158"/>
    <w:rsid w:val="00E0449B"/>
    <w:rsid w:val="00E04E64"/>
    <w:rsid w:val="00E1077F"/>
    <w:rsid w:val="00E119AC"/>
    <w:rsid w:val="00E2421E"/>
    <w:rsid w:val="00E25A1C"/>
    <w:rsid w:val="00E30318"/>
    <w:rsid w:val="00E32708"/>
    <w:rsid w:val="00E37034"/>
    <w:rsid w:val="00E37782"/>
    <w:rsid w:val="00E44022"/>
    <w:rsid w:val="00E442EC"/>
    <w:rsid w:val="00E545B2"/>
    <w:rsid w:val="00E651B5"/>
    <w:rsid w:val="00E70E56"/>
    <w:rsid w:val="00E75CE5"/>
    <w:rsid w:val="00E768E8"/>
    <w:rsid w:val="00E8055E"/>
    <w:rsid w:val="00E82195"/>
    <w:rsid w:val="00E83362"/>
    <w:rsid w:val="00E87962"/>
    <w:rsid w:val="00E90D36"/>
    <w:rsid w:val="00E913D9"/>
    <w:rsid w:val="00E91553"/>
    <w:rsid w:val="00E94AAC"/>
    <w:rsid w:val="00EA186A"/>
    <w:rsid w:val="00EA4016"/>
    <w:rsid w:val="00EA5418"/>
    <w:rsid w:val="00EA5AD0"/>
    <w:rsid w:val="00EA6BE9"/>
    <w:rsid w:val="00EB3D8F"/>
    <w:rsid w:val="00EC1EBD"/>
    <w:rsid w:val="00EC56A4"/>
    <w:rsid w:val="00EC5C3D"/>
    <w:rsid w:val="00EC61A6"/>
    <w:rsid w:val="00EC7901"/>
    <w:rsid w:val="00ED0858"/>
    <w:rsid w:val="00ED319C"/>
    <w:rsid w:val="00ED518E"/>
    <w:rsid w:val="00ED6126"/>
    <w:rsid w:val="00ED6894"/>
    <w:rsid w:val="00ED79E2"/>
    <w:rsid w:val="00EE04FF"/>
    <w:rsid w:val="00EE0F4C"/>
    <w:rsid w:val="00EE2F63"/>
    <w:rsid w:val="00EE46FB"/>
    <w:rsid w:val="00EF62F8"/>
    <w:rsid w:val="00F011BD"/>
    <w:rsid w:val="00F016BA"/>
    <w:rsid w:val="00F01B31"/>
    <w:rsid w:val="00F16A95"/>
    <w:rsid w:val="00F17C0D"/>
    <w:rsid w:val="00F20F31"/>
    <w:rsid w:val="00F2612E"/>
    <w:rsid w:val="00F30A85"/>
    <w:rsid w:val="00F32EC8"/>
    <w:rsid w:val="00F364E9"/>
    <w:rsid w:val="00F40A84"/>
    <w:rsid w:val="00F424B7"/>
    <w:rsid w:val="00F53A3B"/>
    <w:rsid w:val="00F54856"/>
    <w:rsid w:val="00F54920"/>
    <w:rsid w:val="00F56F0F"/>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1848"/>
    <w:rsid w:val="00FE4810"/>
    <w:rsid w:val="00FE6B37"/>
    <w:rsid w:val="00FE7EF5"/>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es.wikipedia.org/wiki/Nueva_Espa%C3%B1a"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Hidalgo_%28M%C3%A9xico%29"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es.wikipedia.org/wiki/M%C3%A9xico"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yperlink" Target="http://es.wikipedia.org/wiki/Estado_de_M%C3%A9xico"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Puebla" TargetMode="External"/><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es.wikipedia.org/wiki/Organizaci%C3%B3n_territorial_de_M%C3%A9x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png"/><Relationship Id="rId22" Type="http://schemas.openxmlformats.org/officeDocument/2006/relationships/hyperlink" Target="http://es.wikipedia.org/wiki/Antonio_de_Mendoza"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EC16B-8D99-4B70-A212-6F2C8F10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9403</Words>
  <Characters>51718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2018-10-16T17:38:00Z</cp:lastPrinted>
  <dcterms:created xsi:type="dcterms:W3CDTF">2019-05-01T16:47:00Z</dcterms:created>
  <dcterms:modified xsi:type="dcterms:W3CDTF">2019-05-01T16:47:00Z</dcterms:modified>
</cp:coreProperties>
</file>