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Pr="00CE290E" w:rsidRDefault="00CE290E" w:rsidP="00CE290E">
      <w:pPr>
        <w:spacing w:before="30" w:after="30"/>
        <w:jc w:val="center"/>
        <w:rPr>
          <w:rFonts w:ascii="Arial" w:hAnsi="Arial" w:cs="Arial"/>
          <w:b/>
          <w:sz w:val="18"/>
          <w:szCs w:val="18"/>
        </w:rPr>
      </w:pPr>
      <w:r w:rsidRPr="00CE290E">
        <w:rPr>
          <w:rFonts w:ascii="Arial" w:hAnsi="Arial" w:cs="Arial"/>
          <w:b/>
          <w:sz w:val="18"/>
          <w:szCs w:val="18"/>
        </w:rPr>
        <w:t>Introducción</w:t>
      </w:r>
    </w:p>
    <w:p w:rsidR="00CE290E" w:rsidRPr="00CE290E" w:rsidRDefault="00CE290E" w:rsidP="00CE290E">
      <w:pPr>
        <w:spacing w:before="30" w:after="30"/>
        <w:rPr>
          <w:rFonts w:ascii="Arial" w:hAnsi="Arial" w:cs="Arial"/>
          <w:sz w:val="18"/>
          <w:szCs w:val="18"/>
        </w:rPr>
      </w:pPr>
    </w:p>
    <w:p w:rsidR="00EA5418" w:rsidRDefault="008379B4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>El Instituto de Capacitación para el Trabajo del Estado de Tlaxcala fue creado como organismo público descentralizado del Gobierno del Estado con</w:t>
      </w:r>
      <w:r w:rsidR="00733580">
        <w:rPr>
          <w:rFonts w:ascii="Arial" w:hAnsi="Arial" w:cs="Arial"/>
          <w:sz w:val="18"/>
          <w:szCs w:val="18"/>
        </w:rPr>
        <w:t xml:space="preserve"> personalidad jurídica y patrimonio propios, </w:t>
      </w:r>
      <w:r w:rsidRPr="00CE290E">
        <w:rPr>
          <w:rFonts w:ascii="Arial" w:hAnsi="Arial" w:cs="Arial"/>
          <w:sz w:val="18"/>
          <w:szCs w:val="18"/>
        </w:rPr>
        <w:t>inici</w:t>
      </w:r>
      <w:r w:rsidR="00733580">
        <w:rPr>
          <w:rFonts w:ascii="Arial" w:hAnsi="Arial" w:cs="Arial"/>
          <w:sz w:val="18"/>
          <w:szCs w:val="18"/>
        </w:rPr>
        <w:t xml:space="preserve">ó </w:t>
      </w:r>
      <w:r w:rsidRPr="00CE290E">
        <w:rPr>
          <w:rFonts w:ascii="Arial" w:hAnsi="Arial" w:cs="Arial"/>
          <w:sz w:val="18"/>
          <w:szCs w:val="18"/>
        </w:rPr>
        <w:t xml:space="preserve">operaciones </w:t>
      </w:r>
      <w:r w:rsidR="00733580">
        <w:rPr>
          <w:rFonts w:ascii="Arial" w:hAnsi="Arial" w:cs="Arial"/>
          <w:sz w:val="18"/>
          <w:szCs w:val="18"/>
        </w:rPr>
        <w:t>con</w:t>
      </w:r>
      <w:r w:rsidRPr="00CE290E">
        <w:rPr>
          <w:rFonts w:ascii="Arial" w:hAnsi="Arial" w:cs="Arial"/>
          <w:sz w:val="18"/>
          <w:szCs w:val="18"/>
        </w:rPr>
        <w:t xml:space="preserve"> fecha 06 de julio de 1993 </w:t>
      </w:r>
      <w:r w:rsidR="00CE290E">
        <w:rPr>
          <w:rFonts w:ascii="Arial" w:hAnsi="Arial" w:cs="Arial"/>
          <w:sz w:val="18"/>
          <w:szCs w:val="18"/>
        </w:rPr>
        <w:t xml:space="preserve">de acuerdo al convenio de coordinación que para la creación, operación y apoyo financiero de este Instituto </w:t>
      </w:r>
      <w:r w:rsidR="00733580">
        <w:rPr>
          <w:rFonts w:ascii="Arial" w:hAnsi="Arial" w:cs="Arial"/>
          <w:sz w:val="18"/>
          <w:szCs w:val="18"/>
        </w:rPr>
        <w:t xml:space="preserve">fue </w:t>
      </w:r>
      <w:r w:rsidR="00CE290E">
        <w:rPr>
          <w:rFonts w:ascii="Arial" w:hAnsi="Arial" w:cs="Arial"/>
          <w:sz w:val="18"/>
          <w:szCs w:val="18"/>
        </w:rPr>
        <w:t>celebrado entre el Gobierno Federal y el Gobierno de la Entidad Federativa</w:t>
      </w:r>
      <w:r w:rsidR="00AD3822">
        <w:rPr>
          <w:rFonts w:ascii="Arial" w:hAnsi="Arial" w:cs="Arial"/>
          <w:sz w:val="18"/>
          <w:szCs w:val="18"/>
        </w:rPr>
        <w:t xml:space="preserve">, y </w:t>
      </w:r>
      <w:r w:rsidR="00733580">
        <w:rPr>
          <w:rFonts w:ascii="Arial" w:hAnsi="Arial" w:cs="Arial"/>
          <w:sz w:val="18"/>
          <w:szCs w:val="18"/>
        </w:rPr>
        <w:t xml:space="preserve">fue </w:t>
      </w:r>
      <w:r w:rsidRPr="00CE290E">
        <w:rPr>
          <w:rFonts w:ascii="Arial" w:hAnsi="Arial" w:cs="Arial"/>
          <w:sz w:val="18"/>
          <w:szCs w:val="18"/>
        </w:rPr>
        <w:t>publicado en el Periódico oficial de fecha 21 de diciembre de 1994</w:t>
      </w:r>
      <w:r w:rsidR="00733580">
        <w:rPr>
          <w:rFonts w:ascii="Arial" w:hAnsi="Arial" w:cs="Arial"/>
          <w:sz w:val="18"/>
          <w:szCs w:val="18"/>
        </w:rPr>
        <w:t xml:space="preserve"> mediante Decreto que crea al mismo.</w:t>
      </w:r>
      <w:r w:rsidRPr="00CE290E">
        <w:rPr>
          <w:rFonts w:ascii="Arial" w:hAnsi="Arial" w:cs="Arial"/>
          <w:sz w:val="18"/>
          <w:szCs w:val="18"/>
        </w:rPr>
        <w:t xml:space="preserve">  El Instituto tiene por objeto:</w:t>
      </w:r>
    </w:p>
    <w:p w:rsidR="00CE290E" w:rsidRPr="00CE290E" w:rsidRDefault="00CE290E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8379B4" w:rsidRPr="00CE290E" w:rsidRDefault="008379B4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 xml:space="preserve">Proponer nomas pedagógicas, contenidos, </w:t>
      </w:r>
      <w:r w:rsidR="00D807EC" w:rsidRPr="00CE290E">
        <w:rPr>
          <w:rFonts w:ascii="Arial" w:hAnsi="Arial" w:cs="Arial"/>
          <w:sz w:val="18"/>
          <w:szCs w:val="18"/>
        </w:rPr>
        <w:t>planes</w:t>
      </w:r>
      <w:r w:rsidRPr="00CE290E">
        <w:rPr>
          <w:rFonts w:ascii="Arial" w:hAnsi="Arial" w:cs="Arial"/>
          <w:sz w:val="18"/>
          <w:szCs w:val="18"/>
        </w:rPr>
        <w:t xml:space="preserve"> y programas de estudio, métodos, materiales didácticos e instrumentos para la evaluación del aprendizaje, para la educación que se imparta en los centros de capacitación, de acuerdo a los requerimientos del mercado de trabajo de la entidad.</w:t>
      </w:r>
    </w:p>
    <w:p w:rsidR="008379B4" w:rsidRPr="00CE290E" w:rsidRDefault="008379B4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 xml:space="preserve">Diseñar y desarrollar programas para la superación </w:t>
      </w:r>
      <w:r w:rsidR="00D807EC" w:rsidRPr="00CE290E">
        <w:rPr>
          <w:rFonts w:ascii="Arial" w:hAnsi="Arial" w:cs="Arial"/>
          <w:sz w:val="18"/>
          <w:szCs w:val="18"/>
        </w:rPr>
        <w:t>académica del personal que imparta formación para el trabajo.</w:t>
      </w:r>
    </w:p>
    <w:p w:rsidR="00D807EC" w:rsidRDefault="00D807EC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>Promover y fomentar la formación para el trabajo, coordinando acciones que permitan vincular la capacitación, con los requerimientos de desarrollo que demanda el aparato productivo de la entidad.</w:t>
      </w:r>
    </w:p>
    <w:p w:rsidR="00AD3822" w:rsidRDefault="00AD3822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AD3822" w:rsidRDefault="00AD3822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tiene como Órgano Supremo de Gobierno a la Junta Directiva que estará integrada por: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Secretario de Educación Pública en el Estado, quien la presidirá y será suplido en ausencia por quien él designe;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Secretario de Finanzas del Estado;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Consejero </w:t>
      </w:r>
      <w:r w:rsidR="00CC1B3F">
        <w:rPr>
          <w:rFonts w:ascii="Arial" w:hAnsi="Arial" w:cs="Arial"/>
          <w:sz w:val="18"/>
          <w:szCs w:val="18"/>
        </w:rPr>
        <w:t>Jurídico</w:t>
      </w:r>
      <w:r>
        <w:rPr>
          <w:rFonts w:ascii="Arial" w:hAnsi="Arial" w:cs="Arial"/>
          <w:sz w:val="18"/>
          <w:szCs w:val="18"/>
        </w:rPr>
        <w:t xml:space="preserve"> del Ejecutivo del Estado;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 representante del Gobernador del Estado;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Director de Planeación Educativa de la Secretaría de Educación Pública en el Estado, quien fungirá como Secretario de la misma; y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 representantes de la Secretaría de Educación Pública, que serán designados por el Subsecretario de Educación Media Superior.</w:t>
      </w:r>
    </w:p>
    <w:p w:rsidR="00A36597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A36597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de Capacitación para el Trabajo del Estado de Tlaxcala t</w:t>
      </w:r>
      <w:r w:rsidR="00733580">
        <w:rPr>
          <w:rFonts w:ascii="Arial" w:hAnsi="Arial" w:cs="Arial"/>
          <w:sz w:val="18"/>
          <w:szCs w:val="18"/>
        </w:rPr>
        <w:t>iene</w:t>
      </w:r>
      <w:r>
        <w:rPr>
          <w:rFonts w:ascii="Arial" w:hAnsi="Arial" w:cs="Arial"/>
          <w:sz w:val="18"/>
          <w:szCs w:val="18"/>
        </w:rPr>
        <w:t xml:space="preserve"> Un Director General que </w:t>
      </w:r>
      <w:r w:rsidR="00733580">
        <w:rPr>
          <w:rFonts w:ascii="Arial" w:hAnsi="Arial" w:cs="Arial"/>
          <w:sz w:val="18"/>
          <w:szCs w:val="18"/>
        </w:rPr>
        <w:t>está</w:t>
      </w:r>
      <w:r>
        <w:rPr>
          <w:rFonts w:ascii="Arial" w:hAnsi="Arial" w:cs="Arial"/>
          <w:sz w:val="18"/>
          <w:szCs w:val="18"/>
        </w:rPr>
        <w:t xml:space="preserve"> facultado para interpretar y aplicar las disposiciones del Reglamento; así como, para resolver los casos no previstos en el mismo de conformidad con la normatividad aplicable y sometido a la Junta Directiva cuando sea necesario.</w:t>
      </w:r>
    </w:p>
    <w:p w:rsidR="00A36597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Para el cabal cumplimiento de su objeto, el ICATLAX, seguirá los lineamientos y políticas institucionales que fije la Secretaría de Educación Pública del Estado y </w:t>
      </w:r>
      <w:r w:rsidR="001E5F68">
        <w:rPr>
          <w:rFonts w:ascii="Arial" w:hAnsi="Arial" w:cs="Arial"/>
          <w:sz w:val="18"/>
          <w:szCs w:val="18"/>
        </w:rPr>
        <w:t>realizará</w:t>
      </w:r>
      <w:r>
        <w:rPr>
          <w:rFonts w:ascii="Arial" w:hAnsi="Arial" w:cs="Arial"/>
          <w:sz w:val="18"/>
          <w:szCs w:val="18"/>
        </w:rPr>
        <w:t xml:space="preserve"> las funciones siguientes:</w:t>
      </w:r>
    </w:p>
    <w:p w:rsidR="00A36597" w:rsidRDefault="00A36597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Elaborar los planes y programas, métodos y materiales didácticos que permitan preparar y formar individuos potencialmente aptos para el trabajo, acordes con las necesidades productivas de la entidad;</w:t>
      </w:r>
    </w:p>
    <w:p w:rsidR="00A36597" w:rsidRDefault="00A36597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Hacer del conocimiento a los centros de capacitación, los lineamientos y políticas que le transmita la Secretaría de Educación Pública del Estado, así como establecer las normas que se requieran para la prestación eficaz y eficiente de los servicios </w:t>
      </w:r>
      <w:r w:rsidR="00733580">
        <w:rPr>
          <w:rFonts w:ascii="Arial" w:hAnsi="Arial" w:cs="Arial"/>
          <w:sz w:val="18"/>
          <w:szCs w:val="18"/>
        </w:rPr>
        <w:t>especificados</w:t>
      </w:r>
      <w:r w:rsidR="00CC1B3F">
        <w:rPr>
          <w:rFonts w:ascii="Arial" w:hAnsi="Arial" w:cs="Arial"/>
          <w:sz w:val="18"/>
          <w:szCs w:val="18"/>
        </w:rPr>
        <w:t>;</w:t>
      </w:r>
    </w:p>
    <w:p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Celebrar convenios, contratos y acuerdos con los sectores productivos de las entidades instituciones de capacitación formal para el trabajo nacional o internacional, observando las disposiciones normativas definidas por la Secretaría de Educación Pública del Estado;</w:t>
      </w:r>
    </w:p>
    <w:p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Promover la vinculación, coordinación y participación del ICATLAX y los representantes de los sectores productivos de la entidad para detectar las necesidades y/o requerimientos de capacitación formal;</w:t>
      </w:r>
    </w:p>
    <w:p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Establecer los lineamientos aplicables para la definición de aquellos conocimientos, habilidades o destrezas susceptibles de certificación, así como también de los procedimientos de evaluación correspondientes;</w:t>
      </w:r>
    </w:p>
    <w:p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Informar al Ejecutivo Estatal sobre el cumplimiento de la normatividad general en materia de capacitación y proponer reformas o modificaciones; y</w:t>
      </w:r>
    </w:p>
    <w:p w:rsidR="00DD5405" w:rsidRDefault="00DD5405" w:rsidP="00DD5405">
      <w:pPr>
        <w:spacing w:before="30" w:after="30"/>
        <w:ind w:left="360"/>
        <w:jc w:val="both"/>
        <w:rPr>
          <w:rFonts w:ascii="Arial" w:hAnsi="Arial" w:cs="Arial"/>
          <w:sz w:val="18"/>
          <w:szCs w:val="18"/>
        </w:rPr>
      </w:pPr>
    </w:p>
    <w:p w:rsidR="00DD5405" w:rsidRPr="00DD5405" w:rsidRDefault="00DD5405" w:rsidP="00DD5405">
      <w:pPr>
        <w:spacing w:before="30" w:after="30"/>
        <w:ind w:left="360"/>
        <w:jc w:val="both"/>
        <w:rPr>
          <w:rFonts w:ascii="Arial" w:hAnsi="Arial" w:cs="Arial"/>
          <w:sz w:val="18"/>
          <w:szCs w:val="18"/>
        </w:rPr>
      </w:pPr>
    </w:p>
    <w:p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Las demás que sean necesarias para el cumplimiento de su objeto.</w:t>
      </w:r>
    </w:p>
    <w:p w:rsidR="00CC1B3F" w:rsidRDefault="00CC1B3F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CC1B3F" w:rsidRDefault="000871D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ICATLAX tiene actualmente nueve Unidades de Capacitación en el Estado los cuales se encuentran ubicados en los municipios de Calpulalpan, Huamantla, San Pablo del Monte, San Francisco Tetlanohcan, Tepetitla de </w:t>
      </w:r>
      <w:r w:rsidR="00FC41AA">
        <w:rPr>
          <w:rFonts w:ascii="Arial" w:hAnsi="Arial" w:cs="Arial"/>
          <w:sz w:val="18"/>
          <w:szCs w:val="18"/>
        </w:rPr>
        <w:t>Lardizábal</w:t>
      </w:r>
      <w:r>
        <w:rPr>
          <w:rFonts w:ascii="Arial" w:hAnsi="Arial" w:cs="Arial"/>
          <w:sz w:val="18"/>
          <w:szCs w:val="18"/>
        </w:rPr>
        <w:t xml:space="preserve">, Tetla de la Solidaridad, Santa Ana Chiautempan, Tlaxco, </w:t>
      </w:r>
      <w:r w:rsidR="00FC41AA">
        <w:rPr>
          <w:rFonts w:ascii="Arial" w:hAnsi="Arial" w:cs="Arial"/>
          <w:sz w:val="18"/>
          <w:szCs w:val="18"/>
        </w:rPr>
        <w:t>Tzompantepec</w:t>
      </w:r>
      <w:r>
        <w:rPr>
          <w:rFonts w:ascii="Arial" w:hAnsi="Arial" w:cs="Arial"/>
          <w:sz w:val="18"/>
          <w:szCs w:val="18"/>
        </w:rPr>
        <w:t xml:space="preserve"> y una Unidad </w:t>
      </w:r>
      <w:r w:rsidR="00FC41AA">
        <w:rPr>
          <w:rFonts w:ascii="Arial" w:hAnsi="Arial" w:cs="Arial"/>
          <w:sz w:val="18"/>
          <w:szCs w:val="18"/>
        </w:rPr>
        <w:t>Móvil</w:t>
      </w:r>
      <w:r>
        <w:rPr>
          <w:rFonts w:ascii="Arial" w:hAnsi="Arial" w:cs="Arial"/>
          <w:sz w:val="18"/>
          <w:szCs w:val="18"/>
        </w:rPr>
        <w:t xml:space="preserve"> en Papalotla</w:t>
      </w:r>
      <w:r w:rsidR="00FC41AA">
        <w:rPr>
          <w:rFonts w:ascii="Arial" w:hAnsi="Arial" w:cs="Arial"/>
          <w:sz w:val="18"/>
          <w:szCs w:val="18"/>
        </w:rPr>
        <w:t xml:space="preserve"> de </w:t>
      </w:r>
      <w:r w:rsidR="008725E0">
        <w:rPr>
          <w:rFonts w:ascii="Arial" w:hAnsi="Arial" w:cs="Arial"/>
          <w:sz w:val="18"/>
          <w:szCs w:val="18"/>
        </w:rPr>
        <w:t>Xicoténcatl</w:t>
      </w:r>
      <w:r>
        <w:rPr>
          <w:rFonts w:ascii="Arial" w:hAnsi="Arial" w:cs="Arial"/>
          <w:sz w:val="18"/>
          <w:szCs w:val="18"/>
        </w:rPr>
        <w:t>; los cuales ofrecen diversos cursos de capacitación para las personas mayores de quince años que lo requieran.</w:t>
      </w:r>
    </w:p>
    <w:p w:rsidR="00733580" w:rsidRDefault="0073358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733580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Misión:</w:t>
      </w: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ICATLAX, es un instituto de capacitación y formación con cobertura estatal, que ofrece cursos y especialidades con validez oficial, dirigidos a personas mayores de 15 años interesadas en incorporarse al sector productivo y/o en mejorar sus conocimientos y habilidades.</w:t>
      </w: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Visión:</w:t>
      </w: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Posicionarse a nivel estatal como una institución </w:t>
      </w:r>
      <w:r w:rsidR="00B446AF">
        <w:rPr>
          <w:rFonts w:ascii="Arial" w:hAnsi="Arial" w:cs="Arial"/>
          <w:sz w:val="18"/>
          <w:szCs w:val="18"/>
        </w:rPr>
        <w:t>que brinde servicios de calidad en capacitación para y en el trabajo, a través de instalaciones adecuadas, programas de estudios actualizados y alto compromiso de su personal, que permita formar egresados certificados y competitivos en el ámbito laboral o en su caso emprendedores capaces de generar su propia empresa.</w:t>
      </w:r>
    </w:p>
    <w:p w:rsidR="006E1610" w:rsidRDefault="006E161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6E1610" w:rsidRDefault="006E161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6E1610" w:rsidRDefault="006E161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 acuerdo a la disposici</w:t>
      </w:r>
      <w:r w:rsidR="00104CA9">
        <w:rPr>
          <w:rFonts w:ascii="Arial" w:hAnsi="Arial" w:cs="Arial"/>
          <w:sz w:val="18"/>
          <w:szCs w:val="18"/>
        </w:rPr>
        <w:t xml:space="preserve">ón establecida en al artículo 46 de la Ley General de Contabilidad Gubernamental </w:t>
      </w:r>
      <w:r w:rsidR="001E5F68">
        <w:rPr>
          <w:rFonts w:ascii="Arial" w:hAnsi="Arial" w:cs="Arial"/>
          <w:sz w:val="18"/>
          <w:szCs w:val="18"/>
        </w:rPr>
        <w:t>el Instituto</w:t>
      </w:r>
      <w:r w:rsidR="00104CA9">
        <w:rPr>
          <w:rFonts w:ascii="Arial" w:hAnsi="Arial" w:cs="Arial"/>
          <w:sz w:val="18"/>
          <w:szCs w:val="18"/>
        </w:rPr>
        <w:t xml:space="preserve"> elabora este documento anexando los estados </w:t>
      </w:r>
      <w:r w:rsidR="001E5F68">
        <w:rPr>
          <w:rFonts w:ascii="Arial" w:hAnsi="Arial" w:cs="Arial"/>
          <w:sz w:val="18"/>
          <w:szCs w:val="18"/>
        </w:rPr>
        <w:t>e información</w:t>
      </w:r>
      <w:r w:rsidR="00104CA9">
        <w:rPr>
          <w:rFonts w:ascii="Arial" w:hAnsi="Arial" w:cs="Arial"/>
          <w:sz w:val="18"/>
          <w:szCs w:val="18"/>
        </w:rPr>
        <w:t xml:space="preserve"> </w:t>
      </w:r>
      <w:r w:rsidR="001E5F68">
        <w:rPr>
          <w:rFonts w:ascii="Arial" w:hAnsi="Arial" w:cs="Arial"/>
          <w:sz w:val="18"/>
          <w:szCs w:val="18"/>
        </w:rPr>
        <w:t>financiera de</w:t>
      </w:r>
      <w:r w:rsidR="00104CA9">
        <w:rPr>
          <w:rFonts w:ascii="Arial" w:hAnsi="Arial" w:cs="Arial"/>
          <w:sz w:val="18"/>
          <w:szCs w:val="18"/>
        </w:rPr>
        <w:t xml:space="preserve"> acuerdo a las siguientes clasificaciones:</w:t>
      </w:r>
    </w:p>
    <w:p w:rsidR="00104CA9" w:rsidRDefault="00104CA9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104CA9" w:rsidRPr="006F53E2" w:rsidRDefault="006F53E2" w:rsidP="006F53E2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>I.</w:t>
      </w:r>
      <w:r w:rsidRPr="006F53E2">
        <w:rPr>
          <w:rFonts w:ascii="Arial" w:hAnsi="Arial" w:cs="Arial"/>
          <w:sz w:val="18"/>
          <w:szCs w:val="18"/>
        </w:rPr>
        <w:tab/>
        <w:t>Información Contable: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Actividades.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Situación Financiera.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Cambios en la Situación Financiera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Analítico del Activo.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Analítico de la Deuda y Otros Pasivos.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Variación en la Hacienda Pública.</w:t>
      </w:r>
    </w:p>
    <w:p w:rsidR="00104CA9" w:rsidRPr="006E1625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Flujos de Efectivo.</w:t>
      </w:r>
    </w:p>
    <w:p w:rsidR="006F53E2" w:rsidRPr="006E1625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Informe de Pasivos Contingentes.</w:t>
      </w:r>
    </w:p>
    <w:p w:rsidR="006F53E2" w:rsidRPr="006E1625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Notas a los Estados Financieros.</w:t>
      </w:r>
    </w:p>
    <w:p w:rsidR="006F53E2" w:rsidRDefault="006F53E2" w:rsidP="006F53E2">
      <w:pPr>
        <w:pStyle w:val="Prrafodelista"/>
        <w:spacing w:before="30" w:after="30"/>
        <w:ind w:left="1800"/>
        <w:jc w:val="both"/>
        <w:rPr>
          <w:rFonts w:ascii="Arial" w:hAnsi="Arial" w:cs="Arial"/>
          <w:sz w:val="18"/>
          <w:szCs w:val="18"/>
        </w:rPr>
      </w:pPr>
    </w:p>
    <w:p w:rsidR="006F53E2" w:rsidRDefault="006F53E2" w:rsidP="006F53E2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I</w:t>
      </w:r>
      <w:r w:rsidRPr="006F53E2">
        <w:rPr>
          <w:rFonts w:ascii="Arial" w:hAnsi="Arial" w:cs="Arial"/>
          <w:sz w:val="18"/>
          <w:szCs w:val="18"/>
        </w:rPr>
        <w:t>.</w:t>
      </w:r>
      <w:r w:rsidRPr="006F53E2">
        <w:rPr>
          <w:rFonts w:ascii="Arial" w:hAnsi="Arial" w:cs="Arial"/>
          <w:sz w:val="18"/>
          <w:szCs w:val="18"/>
        </w:rPr>
        <w:tab/>
        <w:t xml:space="preserve">Información </w:t>
      </w:r>
      <w:r>
        <w:rPr>
          <w:rFonts w:ascii="Arial" w:hAnsi="Arial" w:cs="Arial"/>
          <w:sz w:val="18"/>
          <w:szCs w:val="18"/>
        </w:rPr>
        <w:t>Presupuestaria</w:t>
      </w:r>
      <w:r w:rsidRPr="006F53E2">
        <w:rPr>
          <w:rFonts w:ascii="Arial" w:hAnsi="Arial" w:cs="Arial"/>
          <w:sz w:val="18"/>
          <w:szCs w:val="18"/>
        </w:rPr>
        <w:t>:</w:t>
      </w:r>
    </w:p>
    <w:p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Ingresos.</w:t>
      </w:r>
    </w:p>
    <w:p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Estado Analítico del Ejercicio del Presupuesto de Egresos por Clasificación Administrativa.</w:t>
      </w:r>
    </w:p>
    <w:p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>
        <w:rPr>
          <w:rFonts w:ascii="Arial" w:hAnsi="Arial" w:cs="Arial"/>
          <w:sz w:val="18"/>
          <w:szCs w:val="18"/>
        </w:rPr>
        <w:t>por Objeto del Gasto</w:t>
      </w:r>
      <w:r w:rsidRPr="006F53E2">
        <w:rPr>
          <w:rFonts w:ascii="Arial" w:hAnsi="Arial" w:cs="Arial"/>
          <w:sz w:val="18"/>
          <w:szCs w:val="18"/>
        </w:rPr>
        <w:t>.</w:t>
      </w:r>
    </w:p>
    <w:p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 w:rsidR="006E1625">
        <w:rPr>
          <w:rFonts w:ascii="Arial" w:hAnsi="Arial" w:cs="Arial"/>
          <w:sz w:val="18"/>
          <w:szCs w:val="18"/>
        </w:rPr>
        <w:t>Económica</w:t>
      </w:r>
      <w:r w:rsidRPr="006F53E2">
        <w:rPr>
          <w:rFonts w:ascii="Arial" w:hAnsi="Arial" w:cs="Arial"/>
          <w:sz w:val="18"/>
          <w:szCs w:val="18"/>
        </w:rPr>
        <w:t>.</w:t>
      </w:r>
    </w:p>
    <w:p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 w:rsidR="006E1625">
        <w:rPr>
          <w:rFonts w:ascii="Arial" w:hAnsi="Arial" w:cs="Arial"/>
          <w:sz w:val="18"/>
          <w:szCs w:val="18"/>
        </w:rPr>
        <w:t>Funcional</w:t>
      </w:r>
      <w:r w:rsidRPr="006F53E2">
        <w:rPr>
          <w:rFonts w:ascii="Arial" w:hAnsi="Arial" w:cs="Arial"/>
          <w:sz w:val="18"/>
          <w:szCs w:val="18"/>
        </w:rPr>
        <w:t>.</w:t>
      </w:r>
    </w:p>
    <w:p w:rsidR="006E1625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Endeudamiento Neto.</w:t>
      </w:r>
    </w:p>
    <w:p w:rsidR="006E1625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Deuda.</w:t>
      </w:r>
    </w:p>
    <w:p w:rsidR="006E1625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Fiscal.</w:t>
      </w:r>
    </w:p>
    <w:p w:rsidR="006E1625" w:rsidRDefault="006E1625" w:rsidP="006E1625">
      <w:pPr>
        <w:spacing w:before="30" w:after="30"/>
        <w:ind w:left="1785"/>
        <w:jc w:val="both"/>
        <w:rPr>
          <w:rFonts w:ascii="Arial" w:hAnsi="Arial" w:cs="Arial"/>
          <w:sz w:val="18"/>
          <w:szCs w:val="18"/>
        </w:rPr>
      </w:pPr>
    </w:p>
    <w:p w:rsidR="006E1625" w:rsidRPr="006E1625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Pr="006E1625">
        <w:rPr>
          <w:rFonts w:ascii="Arial" w:hAnsi="Arial" w:cs="Arial"/>
          <w:sz w:val="18"/>
          <w:szCs w:val="18"/>
        </w:rPr>
        <w:t>II.</w:t>
      </w:r>
      <w:r w:rsidRPr="006E1625">
        <w:rPr>
          <w:rFonts w:ascii="Arial" w:hAnsi="Arial" w:cs="Arial"/>
          <w:sz w:val="18"/>
          <w:szCs w:val="18"/>
        </w:rPr>
        <w:tab/>
        <w:t>Información Pr</w:t>
      </w:r>
      <w:r>
        <w:rPr>
          <w:rFonts w:ascii="Arial" w:hAnsi="Arial" w:cs="Arial"/>
          <w:sz w:val="18"/>
          <w:szCs w:val="18"/>
        </w:rPr>
        <w:t>ogramática</w:t>
      </w:r>
      <w:r w:rsidRPr="006E1625">
        <w:rPr>
          <w:rFonts w:ascii="Arial" w:hAnsi="Arial" w:cs="Arial"/>
          <w:sz w:val="18"/>
          <w:szCs w:val="18"/>
        </w:rPr>
        <w:t>:</w:t>
      </w:r>
    </w:p>
    <w:p w:rsidR="006E1625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Gasto por Categoría Programática.</w:t>
      </w:r>
    </w:p>
    <w:p w:rsidR="006E1625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Inversión.</w:t>
      </w:r>
    </w:p>
    <w:p w:rsidR="006E1625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Resultados.</w:t>
      </w:r>
    </w:p>
    <w:p w:rsidR="006E1625" w:rsidRDefault="006E1625" w:rsidP="006E162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6E1625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IV</w:t>
      </w:r>
      <w:r w:rsidRPr="006E1625">
        <w:rPr>
          <w:rFonts w:ascii="Arial" w:hAnsi="Arial" w:cs="Arial"/>
          <w:sz w:val="18"/>
          <w:szCs w:val="18"/>
        </w:rPr>
        <w:t>.</w:t>
      </w:r>
      <w:r w:rsidRPr="006E162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Anexos</w:t>
      </w:r>
      <w:r w:rsidRPr="006E1625">
        <w:rPr>
          <w:rFonts w:ascii="Arial" w:hAnsi="Arial" w:cs="Arial"/>
          <w:sz w:val="18"/>
          <w:szCs w:val="18"/>
        </w:rPr>
        <w:t>:</w:t>
      </w:r>
    </w:p>
    <w:p w:rsidR="006E1625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Relación de Bienes Muebles que Componen el Patrimonio.</w:t>
      </w:r>
    </w:p>
    <w:p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CC5A49">
        <w:rPr>
          <w:rFonts w:ascii="Arial" w:hAnsi="Arial" w:cs="Arial"/>
          <w:sz w:val="18"/>
          <w:szCs w:val="18"/>
        </w:rPr>
        <w:t xml:space="preserve">Relación de Bienes </w:t>
      </w:r>
      <w:r>
        <w:rPr>
          <w:rFonts w:ascii="Arial" w:hAnsi="Arial" w:cs="Arial"/>
          <w:sz w:val="18"/>
          <w:szCs w:val="18"/>
        </w:rPr>
        <w:t>Inmu</w:t>
      </w:r>
      <w:r w:rsidRPr="00CC5A49">
        <w:rPr>
          <w:rFonts w:ascii="Arial" w:hAnsi="Arial" w:cs="Arial"/>
          <w:sz w:val="18"/>
          <w:szCs w:val="18"/>
        </w:rPr>
        <w:t>ebles que Componen el Patrimonio.</w:t>
      </w:r>
    </w:p>
    <w:p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Relación de Cuentas Bancarias Productivas Específicas.</w:t>
      </w:r>
    </w:p>
    <w:p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Relación de Esquemas Bursátiles y de Coberturas Financieras.</w:t>
      </w:r>
    </w:p>
    <w:p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Información Adicional que Dispongan Otras Leyes.</w:t>
      </w:r>
    </w:p>
    <w:p w:rsidR="005033D5" w:rsidRDefault="005033D5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5033D5" w:rsidRDefault="005033D5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B92AB8" w:rsidRDefault="006A5308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 la entrega de Cuenta Pública Armonizada </w:t>
      </w:r>
      <w:r w:rsidR="00927F06">
        <w:rPr>
          <w:rFonts w:ascii="Arial" w:hAnsi="Arial" w:cs="Arial"/>
          <w:sz w:val="18"/>
          <w:szCs w:val="18"/>
        </w:rPr>
        <w:t>del Cuarto Trimestre o Anual</w:t>
      </w:r>
      <w:r w:rsidR="001211D8">
        <w:rPr>
          <w:rFonts w:ascii="Arial" w:hAnsi="Arial" w:cs="Arial"/>
          <w:sz w:val="18"/>
          <w:szCs w:val="18"/>
        </w:rPr>
        <w:t xml:space="preserve"> de </w:t>
      </w:r>
      <w:r w:rsidR="00B92AB8">
        <w:rPr>
          <w:rFonts w:ascii="Arial" w:hAnsi="Arial" w:cs="Arial"/>
          <w:sz w:val="18"/>
          <w:szCs w:val="18"/>
        </w:rPr>
        <w:t>201</w:t>
      </w:r>
      <w:r w:rsidR="00744EC3">
        <w:rPr>
          <w:rFonts w:ascii="Arial" w:hAnsi="Arial" w:cs="Arial"/>
          <w:sz w:val="18"/>
          <w:szCs w:val="18"/>
        </w:rPr>
        <w:t>9</w:t>
      </w:r>
      <w:r w:rsidR="00B92AB8">
        <w:rPr>
          <w:rFonts w:ascii="Arial" w:hAnsi="Arial" w:cs="Arial"/>
          <w:sz w:val="18"/>
          <w:szCs w:val="18"/>
        </w:rPr>
        <w:t xml:space="preserve"> se adjuntan los formatos del 1 al 6 obligatorios de acuerdo a la Ley de Disciplina Financiera, pu</w:t>
      </w:r>
      <w:r w:rsidR="00C824FB">
        <w:rPr>
          <w:rFonts w:ascii="Arial" w:hAnsi="Arial" w:cs="Arial"/>
          <w:sz w:val="18"/>
          <w:szCs w:val="18"/>
        </w:rPr>
        <w:t>blicada el día 11 de octubre del año 2016.</w:t>
      </w:r>
    </w:p>
    <w:p w:rsidR="008A2AD2" w:rsidRDefault="008A2AD2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220FA5" w:rsidRDefault="00744EC3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me</w:t>
      </w:r>
      <w:r w:rsidR="005C5457">
        <w:rPr>
          <w:rFonts w:ascii="Arial" w:hAnsi="Arial" w:cs="Arial"/>
          <w:sz w:val="18"/>
          <w:szCs w:val="18"/>
        </w:rPr>
        <w:t>nciona que el Instituto fue</w:t>
      </w:r>
      <w:r w:rsidR="001F3AF3">
        <w:rPr>
          <w:rFonts w:ascii="Arial" w:hAnsi="Arial" w:cs="Arial"/>
          <w:sz w:val="18"/>
          <w:szCs w:val="18"/>
        </w:rPr>
        <w:t xml:space="preserve"> sede de la Primera Reunión N</w:t>
      </w:r>
      <w:r w:rsidR="005C5457">
        <w:rPr>
          <w:rFonts w:ascii="Arial" w:hAnsi="Arial" w:cs="Arial"/>
          <w:sz w:val="18"/>
          <w:szCs w:val="18"/>
        </w:rPr>
        <w:t>acional de los ICAT celebrado en</w:t>
      </w:r>
      <w:r>
        <w:rPr>
          <w:rFonts w:ascii="Arial" w:hAnsi="Arial" w:cs="Arial"/>
          <w:sz w:val="18"/>
          <w:szCs w:val="18"/>
        </w:rPr>
        <w:t xml:space="preserve"> los días 10, 11 y 12 de abril del presente ejercicio</w:t>
      </w:r>
      <w:r w:rsidR="005C545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donde se </w:t>
      </w:r>
      <w:r w:rsidR="005C5457">
        <w:rPr>
          <w:rFonts w:ascii="Arial" w:hAnsi="Arial" w:cs="Arial"/>
          <w:sz w:val="18"/>
          <w:szCs w:val="18"/>
        </w:rPr>
        <w:t>llevaron a cabo diversas actividades programadas, en los cuales estuvieron participando los invitados de las instituciones de capacitación para el trabajo de diversos Estados del país</w:t>
      </w:r>
      <w:r w:rsidR="00671C27">
        <w:rPr>
          <w:rFonts w:ascii="Arial" w:hAnsi="Arial" w:cs="Arial"/>
          <w:sz w:val="18"/>
          <w:szCs w:val="18"/>
        </w:rPr>
        <w:t>, por la cual los gastos efectuados por el Instituto por haber sido la sede de este evento se ejecutaron con recurso de ingresos propios del ejercicio 2018</w:t>
      </w:r>
      <w:r w:rsidR="005C5457">
        <w:rPr>
          <w:rFonts w:ascii="Arial" w:hAnsi="Arial" w:cs="Arial"/>
          <w:sz w:val="18"/>
          <w:szCs w:val="18"/>
        </w:rPr>
        <w:t>.</w:t>
      </w:r>
    </w:p>
    <w:p w:rsidR="00671C27" w:rsidRDefault="00671C27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671C27" w:rsidRDefault="00671C27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</w:t>
      </w:r>
      <w:r w:rsidR="00927F06">
        <w:rPr>
          <w:rFonts w:ascii="Arial" w:hAnsi="Arial" w:cs="Arial"/>
          <w:sz w:val="18"/>
          <w:szCs w:val="18"/>
        </w:rPr>
        <w:t xml:space="preserve"> las actividades correspondientes al tercer trimestre de este ejercicio, </w:t>
      </w:r>
      <w:r>
        <w:rPr>
          <w:rFonts w:ascii="Arial" w:hAnsi="Arial" w:cs="Arial"/>
          <w:sz w:val="18"/>
          <w:szCs w:val="18"/>
        </w:rPr>
        <w:t>personal del Instituto acudió al Séptimo Concurso Nacional de Gastronomía y participó con dos equipos en el cual uno de ellos ganó el primer lugar del certamen y por lo tanto nuestra institución volverá a ser sede de este concurso para el ejercicio 2020.</w:t>
      </w:r>
    </w:p>
    <w:p w:rsidR="001F3AF3" w:rsidRDefault="001F3AF3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1F3AF3" w:rsidRDefault="001F3AF3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el mes de noviembre se llevó a cabo la Segunda Reunión Nacional de los ICAT con sede en el Estado de Yucatán en la que participaron personal directivo en dicho evento.</w:t>
      </w:r>
      <w:bookmarkStart w:id="0" w:name="_GoBack"/>
      <w:bookmarkEnd w:id="0"/>
    </w:p>
    <w:p w:rsidR="00927F06" w:rsidRDefault="00927F06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927F06" w:rsidRDefault="00927F06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sectPr w:rsidR="00927F06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DB5" w:rsidRDefault="00AD6DB5" w:rsidP="00EA5418">
      <w:pPr>
        <w:spacing w:after="0" w:line="240" w:lineRule="auto"/>
      </w:pPr>
      <w:r>
        <w:separator/>
      </w:r>
    </w:p>
  </w:endnote>
  <w:endnote w:type="continuationSeparator" w:id="0">
    <w:p w:rsidR="00AD6DB5" w:rsidRDefault="00AD6DB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7C37D4" id="12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1F3AF3" w:rsidRPr="001F3AF3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7A0A1E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1F3AF3" w:rsidRPr="001F3AF3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DB5" w:rsidRDefault="00AD6DB5" w:rsidP="00EA5418">
      <w:pPr>
        <w:spacing w:after="0" w:line="240" w:lineRule="auto"/>
      </w:pPr>
      <w:r>
        <w:separator/>
      </w:r>
    </w:p>
  </w:footnote>
  <w:footnote w:type="continuationSeparator" w:id="0">
    <w:p w:rsidR="00AD6DB5" w:rsidRDefault="00AD6DB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744EC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32.6pt;margin-top:-22.15pt;width:347.6pt;height:39.25pt;z-index:251658240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744EC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DAD64F" id="4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A9AE67" wp14:editId="569472E5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50E29E" id="1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CE290E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7C00189"/>
    <w:multiLevelType w:val="hybridMultilevel"/>
    <w:tmpl w:val="A5A67CE0"/>
    <w:lvl w:ilvl="0" w:tplc="AC7ED4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261BA"/>
    <w:multiLevelType w:val="hybridMultilevel"/>
    <w:tmpl w:val="B4883D98"/>
    <w:lvl w:ilvl="0" w:tplc="080A0017">
      <w:start w:val="1"/>
      <w:numFmt w:val="lowerLetter"/>
      <w:lvlText w:val="%1)"/>
      <w:lvlJc w:val="left"/>
      <w:pPr>
        <w:ind w:left="2130" w:hanging="360"/>
      </w:pPr>
    </w:lvl>
    <w:lvl w:ilvl="1" w:tplc="080A0019" w:tentative="1">
      <w:start w:val="1"/>
      <w:numFmt w:val="lowerLetter"/>
      <w:lvlText w:val="%2."/>
      <w:lvlJc w:val="left"/>
      <w:pPr>
        <w:ind w:left="2850" w:hanging="360"/>
      </w:pPr>
    </w:lvl>
    <w:lvl w:ilvl="2" w:tplc="080A001B" w:tentative="1">
      <w:start w:val="1"/>
      <w:numFmt w:val="lowerRoman"/>
      <w:lvlText w:val="%3."/>
      <w:lvlJc w:val="right"/>
      <w:pPr>
        <w:ind w:left="3570" w:hanging="180"/>
      </w:pPr>
    </w:lvl>
    <w:lvl w:ilvl="3" w:tplc="080A000F" w:tentative="1">
      <w:start w:val="1"/>
      <w:numFmt w:val="decimal"/>
      <w:lvlText w:val="%4."/>
      <w:lvlJc w:val="left"/>
      <w:pPr>
        <w:ind w:left="4290" w:hanging="360"/>
      </w:pPr>
    </w:lvl>
    <w:lvl w:ilvl="4" w:tplc="080A0019" w:tentative="1">
      <w:start w:val="1"/>
      <w:numFmt w:val="lowerLetter"/>
      <w:lvlText w:val="%5."/>
      <w:lvlJc w:val="left"/>
      <w:pPr>
        <w:ind w:left="5010" w:hanging="360"/>
      </w:pPr>
    </w:lvl>
    <w:lvl w:ilvl="5" w:tplc="080A001B" w:tentative="1">
      <w:start w:val="1"/>
      <w:numFmt w:val="lowerRoman"/>
      <w:lvlText w:val="%6."/>
      <w:lvlJc w:val="right"/>
      <w:pPr>
        <w:ind w:left="5730" w:hanging="180"/>
      </w:pPr>
    </w:lvl>
    <w:lvl w:ilvl="6" w:tplc="080A000F" w:tentative="1">
      <w:start w:val="1"/>
      <w:numFmt w:val="decimal"/>
      <w:lvlText w:val="%7."/>
      <w:lvlJc w:val="left"/>
      <w:pPr>
        <w:ind w:left="6450" w:hanging="360"/>
      </w:pPr>
    </w:lvl>
    <w:lvl w:ilvl="7" w:tplc="080A0019" w:tentative="1">
      <w:start w:val="1"/>
      <w:numFmt w:val="lowerLetter"/>
      <w:lvlText w:val="%8."/>
      <w:lvlJc w:val="left"/>
      <w:pPr>
        <w:ind w:left="7170" w:hanging="360"/>
      </w:pPr>
    </w:lvl>
    <w:lvl w:ilvl="8" w:tplc="08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 w15:restartNumberingAfterBreak="0">
    <w:nsid w:val="109E2CBE"/>
    <w:multiLevelType w:val="hybridMultilevel"/>
    <w:tmpl w:val="82C436C4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240D33C1"/>
    <w:multiLevelType w:val="hybridMultilevel"/>
    <w:tmpl w:val="747E8870"/>
    <w:lvl w:ilvl="0" w:tplc="080A0017">
      <w:start w:val="1"/>
      <w:numFmt w:val="lowerLetter"/>
      <w:lvlText w:val="%1)"/>
      <w:lvlJc w:val="left"/>
      <w:pPr>
        <w:ind w:left="2136" w:hanging="360"/>
      </w:p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460FD"/>
    <w:multiLevelType w:val="hybridMultilevel"/>
    <w:tmpl w:val="76B2EE3C"/>
    <w:lvl w:ilvl="0" w:tplc="CABE8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42F25"/>
    <w:multiLevelType w:val="hybridMultilevel"/>
    <w:tmpl w:val="CB38DA3C"/>
    <w:lvl w:ilvl="0" w:tplc="080A0017">
      <w:start w:val="1"/>
      <w:numFmt w:val="lowerLetter"/>
      <w:lvlText w:val="%1)"/>
      <w:lvlJc w:val="left"/>
      <w:pPr>
        <w:ind w:left="2145" w:hanging="360"/>
      </w:pPr>
    </w:lvl>
    <w:lvl w:ilvl="1" w:tplc="080A0019" w:tentative="1">
      <w:start w:val="1"/>
      <w:numFmt w:val="lowerLetter"/>
      <w:lvlText w:val="%2."/>
      <w:lvlJc w:val="left"/>
      <w:pPr>
        <w:ind w:left="2865" w:hanging="360"/>
      </w:pPr>
    </w:lvl>
    <w:lvl w:ilvl="2" w:tplc="080A001B" w:tentative="1">
      <w:start w:val="1"/>
      <w:numFmt w:val="lowerRoman"/>
      <w:lvlText w:val="%3."/>
      <w:lvlJc w:val="right"/>
      <w:pPr>
        <w:ind w:left="3585" w:hanging="180"/>
      </w:pPr>
    </w:lvl>
    <w:lvl w:ilvl="3" w:tplc="080A000F" w:tentative="1">
      <w:start w:val="1"/>
      <w:numFmt w:val="decimal"/>
      <w:lvlText w:val="%4."/>
      <w:lvlJc w:val="left"/>
      <w:pPr>
        <w:ind w:left="4305" w:hanging="360"/>
      </w:pPr>
    </w:lvl>
    <w:lvl w:ilvl="4" w:tplc="080A0019" w:tentative="1">
      <w:start w:val="1"/>
      <w:numFmt w:val="lowerLetter"/>
      <w:lvlText w:val="%5."/>
      <w:lvlJc w:val="left"/>
      <w:pPr>
        <w:ind w:left="5025" w:hanging="360"/>
      </w:pPr>
    </w:lvl>
    <w:lvl w:ilvl="5" w:tplc="080A001B" w:tentative="1">
      <w:start w:val="1"/>
      <w:numFmt w:val="lowerRoman"/>
      <w:lvlText w:val="%6."/>
      <w:lvlJc w:val="right"/>
      <w:pPr>
        <w:ind w:left="5745" w:hanging="180"/>
      </w:pPr>
    </w:lvl>
    <w:lvl w:ilvl="6" w:tplc="080A000F" w:tentative="1">
      <w:start w:val="1"/>
      <w:numFmt w:val="decimal"/>
      <w:lvlText w:val="%7."/>
      <w:lvlJc w:val="left"/>
      <w:pPr>
        <w:ind w:left="6465" w:hanging="360"/>
      </w:pPr>
    </w:lvl>
    <w:lvl w:ilvl="7" w:tplc="080A0019" w:tentative="1">
      <w:start w:val="1"/>
      <w:numFmt w:val="lowerLetter"/>
      <w:lvlText w:val="%8."/>
      <w:lvlJc w:val="left"/>
      <w:pPr>
        <w:ind w:left="7185" w:hanging="360"/>
      </w:pPr>
    </w:lvl>
    <w:lvl w:ilvl="8" w:tplc="08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9" w15:restartNumberingAfterBreak="0">
    <w:nsid w:val="3610424A"/>
    <w:multiLevelType w:val="hybridMultilevel"/>
    <w:tmpl w:val="3CD40374"/>
    <w:lvl w:ilvl="0" w:tplc="D9809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0294D"/>
    <w:multiLevelType w:val="hybridMultilevel"/>
    <w:tmpl w:val="56E299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487D230E"/>
    <w:multiLevelType w:val="hybridMultilevel"/>
    <w:tmpl w:val="322C51F2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5B333B"/>
    <w:multiLevelType w:val="hybridMultilevel"/>
    <w:tmpl w:val="4F04DB86"/>
    <w:lvl w:ilvl="0" w:tplc="080A0017">
      <w:start w:val="1"/>
      <w:numFmt w:val="lowerLetter"/>
      <w:lvlText w:val="%1)"/>
      <w:lvlJc w:val="left"/>
      <w:pPr>
        <w:ind w:left="2145" w:hanging="360"/>
      </w:pPr>
    </w:lvl>
    <w:lvl w:ilvl="1" w:tplc="080A0019" w:tentative="1">
      <w:start w:val="1"/>
      <w:numFmt w:val="lowerLetter"/>
      <w:lvlText w:val="%2."/>
      <w:lvlJc w:val="left"/>
      <w:pPr>
        <w:ind w:left="2865" w:hanging="360"/>
      </w:pPr>
    </w:lvl>
    <w:lvl w:ilvl="2" w:tplc="080A001B" w:tentative="1">
      <w:start w:val="1"/>
      <w:numFmt w:val="lowerRoman"/>
      <w:lvlText w:val="%3."/>
      <w:lvlJc w:val="right"/>
      <w:pPr>
        <w:ind w:left="3585" w:hanging="180"/>
      </w:pPr>
    </w:lvl>
    <w:lvl w:ilvl="3" w:tplc="080A000F" w:tentative="1">
      <w:start w:val="1"/>
      <w:numFmt w:val="decimal"/>
      <w:lvlText w:val="%4."/>
      <w:lvlJc w:val="left"/>
      <w:pPr>
        <w:ind w:left="4305" w:hanging="360"/>
      </w:pPr>
    </w:lvl>
    <w:lvl w:ilvl="4" w:tplc="080A0019" w:tentative="1">
      <w:start w:val="1"/>
      <w:numFmt w:val="lowerLetter"/>
      <w:lvlText w:val="%5."/>
      <w:lvlJc w:val="left"/>
      <w:pPr>
        <w:ind w:left="5025" w:hanging="360"/>
      </w:pPr>
    </w:lvl>
    <w:lvl w:ilvl="5" w:tplc="080A001B" w:tentative="1">
      <w:start w:val="1"/>
      <w:numFmt w:val="lowerRoman"/>
      <w:lvlText w:val="%6."/>
      <w:lvlJc w:val="right"/>
      <w:pPr>
        <w:ind w:left="5745" w:hanging="180"/>
      </w:pPr>
    </w:lvl>
    <w:lvl w:ilvl="6" w:tplc="080A000F" w:tentative="1">
      <w:start w:val="1"/>
      <w:numFmt w:val="decimal"/>
      <w:lvlText w:val="%7."/>
      <w:lvlJc w:val="left"/>
      <w:pPr>
        <w:ind w:left="6465" w:hanging="360"/>
      </w:pPr>
    </w:lvl>
    <w:lvl w:ilvl="7" w:tplc="080A0019" w:tentative="1">
      <w:start w:val="1"/>
      <w:numFmt w:val="lowerLetter"/>
      <w:lvlText w:val="%8."/>
      <w:lvlJc w:val="left"/>
      <w:pPr>
        <w:ind w:left="7185" w:hanging="360"/>
      </w:pPr>
    </w:lvl>
    <w:lvl w:ilvl="8" w:tplc="08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4" w15:restartNumberingAfterBreak="0">
    <w:nsid w:val="79CC6827"/>
    <w:multiLevelType w:val="hybridMultilevel"/>
    <w:tmpl w:val="C7FC9C74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A3D4071"/>
    <w:multiLevelType w:val="hybridMultilevel"/>
    <w:tmpl w:val="CA3E56B8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6"/>
  </w:num>
  <w:num w:numId="5">
    <w:abstractNumId w:val="10"/>
  </w:num>
  <w:num w:numId="6">
    <w:abstractNumId w:val="1"/>
  </w:num>
  <w:num w:numId="7">
    <w:abstractNumId w:val="7"/>
  </w:num>
  <w:num w:numId="8">
    <w:abstractNumId w:val="9"/>
  </w:num>
  <w:num w:numId="9">
    <w:abstractNumId w:val="14"/>
  </w:num>
  <w:num w:numId="10">
    <w:abstractNumId w:val="12"/>
  </w:num>
  <w:num w:numId="11">
    <w:abstractNumId w:val="2"/>
  </w:num>
  <w:num w:numId="12">
    <w:abstractNumId w:val="15"/>
  </w:num>
  <w:num w:numId="13">
    <w:abstractNumId w:val="3"/>
  </w:num>
  <w:num w:numId="14">
    <w:abstractNumId w:val="8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0871D0"/>
    <w:rsid w:val="000C3D70"/>
    <w:rsid w:val="000D352F"/>
    <w:rsid w:val="00104CA9"/>
    <w:rsid w:val="001211D8"/>
    <w:rsid w:val="0013011C"/>
    <w:rsid w:val="001646D9"/>
    <w:rsid w:val="00195B67"/>
    <w:rsid w:val="001B1B72"/>
    <w:rsid w:val="001B27C0"/>
    <w:rsid w:val="001C4E0A"/>
    <w:rsid w:val="001E13FF"/>
    <w:rsid w:val="001E5F68"/>
    <w:rsid w:val="001F3AF3"/>
    <w:rsid w:val="00220FA5"/>
    <w:rsid w:val="00242D2B"/>
    <w:rsid w:val="00261F58"/>
    <w:rsid w:val="00273C7A"/>
    <w:rsid w:val="002865A7"/>
    <w:rsid w:val="0029634F"/>
    <w:rsid w:val="002A70B3"/>
    <w:rsid w:val="002E5897"/>
    <w:rsid w:val="00307635"/>
    <w:rsid w:val="00355821"/>
    <w:rsid w:val="003575A4"/>
    <w:rsid w:val="003610E0"/>
    <w:rsid w:val="00372F40"/>
    <w:rsid w:val="003D5DBF"/>
    <w:rsid w:val="003E7FD0"/>
    <w:rsid w:val="00434659"/>
    <w:rsid w:val="0044253C"/>
    <w:rsid w:val="004549E6"/>
    <w:rsid w:val="00486AE1"/>
    <w:rsid w:val="00497D8B"/>
    <w:rsid w:val="004D41B8"/>
    <w:rsid w:val="00502D8E"/>
    <w:rsid w:val="005033D5"/>
    <w:rsid w:val="00507502"/>
    <w:rsid w:val="005117F4"/>
    <w:rsid w:val="00522632"/>
    <w:rsid w:val="00531310"/>
    <w:rsid w:val="00534982"/>
    <w:rsid w:val="00540418"/>
    <w:rsid w:val="00581091"/>
    <w:rsid w:val="00582405"/>
    <w:rsid w:val="005859FA"/>
    <w:rsid w:val="005A4B77"/>
    <w:rsid w:val="005B41AC"/>
    <w:rsid w:val="005C5457"/>
    <w:rsid w:val="005D595D"/>
    <w:rsid w:val="006048D2"/>
    <w:rsid w:val="00611E39"/>
    <w:rsid w:val="006356A4"/>
    <w:rsid w:val="006636DA"/>
    <w:rsid w:val="00671C27"/>
    <w:rsid w:val="0067665D"/>
    <w:rsid w:val="00683D65"/>
    <w:rsid w:val="006A5308"/>
    <w:rsid w:val="006B729B"/>
    <w:rsid w:val="006E1610"/>
    <w:rsid w:val="006E1625"/>
    <w:rsid w:val="006E6B8E"/>
    <w:rsid w:val="006E77DD"/>
    <w:rsid w:val="006F53E2"/>
    <w:rsid w:val="00733580"/>
    <w:rsid w:val="00740B19"/>
    <w:rsid w:val="00744EC3"/>
    <w:rsid w:val="0079582C"/>
    <w:rsid w:val="007D6E9A"/>
    <w:rsid w:val="007E0F5C"/>
    <w:rsid w:val="008379B4"/>
    <w:rsid w:val="00850E90"/>
    <w:rsid w:val="00852690"/>
    <w:rsid w:val="008725E0"/>
    <w:rsid w:val="008A2AD2"/>
    <w:rsid w:val="008A6E4D"/>
    <w:rsid w:val="008B0017"/>
    <w:rsid w:val="008B094B"/>
    <w:rsid w:val="008D4272"/>
    <w:rsid w:val="008E33A4"/>
    <w:rsid w:val="008E3652"/>
    <w:rsid w:val="00927F06"/>
    <w:rsid w:val="009F2CDC"/>
    <w:rsid w:val="009F7629"/>
    <w:rsid w:val="00A14B74"/>
    <w:rsid w:val="00A36597"/>
    <w:rsid w:val="00A56CE5"/>
    <w:rsid w:val="00A6548F"/>
    <w:rsid w:val="00AA3532"/>
    <w:rsid w:val="00AB13B7"/>
    <w:rsid w:val="00AB1695"/>
    <w:rsid w:val="00AD2D9A"/>
    <w:rsid w:val="00AD3822"/>
    <w:rsid w:val="00AD6DB5"/>
    <w:rsid w:val="00AF2E0F"/>
    <w:rsid w:val="00B17423"/>
    <w:rsid w:val="00B42A02"/>
    <w:rsid w:val="00B446AF"/>
    <w:rsid w:val="00B849EE"/>
    <w:rsid w:val="00B92AB8"/>
    <w:rsid w:val="00BA0132"/>
    <w:rsid w:val="00BA11A9"/>
    <w:rsid w:val="00BE16A8"/>
    <w:rsid w:val="00BE7646"/>
    <w:rsid w:val="00BF2891"/>
    <w:rsid w:val="00C44F01"/>
    <w:rsid w:val="00C824FB"/>
    <w:rsid w:val="00CA2D37"/>
    <w:rsid w:val="00CC1B3F"/>
    <w:rsid w:val="00CC360A"/>
    <w:rsid w:val="00CC5A49"/>
    <w:rsid w:val="00CC5C9D"/>
    <w:rsid w:val="00CC5CB6"/>
    <w:rsid w:val="00CE290E"/>
    <w:rsid w:val="00CE4DD8"/>
    <w:rsid w:val="00D055EC"/>
    <w:rsid w:val="00D404ED"/>
    <w:rsid w:val="00D51261"/>
    <w:rsid w:val="00D748D3"/>
    <w:rsid w:val="00D7644D"/>
    <w:rsid w:val="00D807EC"/>
    <w:rsid w:val="00D94A8B"/>
    <w:rsid w:val="00DD230F"/>
    <w:rsid w:val="00DD5405"/>
    <w:rsid w:val="00E022AA"/>
    <w:rsid w:val="00E316A6"/>
    <w:rsid w:val="00E32708"/>
    <w:rsid w:val="00E51648"/>
    <w:rsid w:val="00EA5418"/>
    <w:rsid w:val="00EE6739"/>
    <w:rsid w:val="00F329C8"/>
    <w:rsid w:val="00F77159"/>
    <w:rsid w:val="00F96944"/>
    <w:rsid w:val="00FC41AA"/>
    <w:rsid w:val="00FC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4AED0C"/>
  <w15:docId w15:val="{18092B3B-DDCB-45A9-A179-FF084CD4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D1FBB-A4E6-4A29-9B69-8CB19291D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Usr-DRFin</cp:lastModifiedBy>
  <cp:revision>49</cp:revision>
  <cp:lastPrinted>2014-12-26T20:43:00Z</cp:lastPrinted>
  <dcterms:created xsi:type="dcterms:W3CDTF">2014-09-01T14:30:00Z</dcterms:created>
  <dcterms:modified xsi:type="dcterms:W3CDTF">2020-01-03T22:04:00Z</dcterms:modified>
</cp:coreProperties>
</file>