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7330D" w:rsidP="005117F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30D" w:rsidRDefault="00DC73A9" w:rsidP="00C9089D">
      <w:pPr>
        <w:rPr>
          <w:rFonts w:ascii="Soberana Sans Light" w:hAnsi="Soberana Sans Light"/>
        </w:rPr>
      </w:pPr>
      <w:r>
        <w:rPr>
          <w:noProof/>
          <w:lang w:eastAsia="es-MX"/>
        </w:rPr>
        <w:drawing>
          <wp:inline distT="0" distB="0" distL="0" distR="0" wp14:anchorId="24F06F8B" wp14:editId="36F3EFE1">
            <wp:extent cx="7985487" cy="461740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87" t="11791" r="57747" b="51631"/>
                    <a:stretch/>
                  </pic:blipFill>
                  <pic:spPr bwMode="auto">
                    <a:xfrm>
                      <a:off x="0" y="0"/>
                      <a:ext cx="8035769" cy="46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30D" w:rsidRDefault="0017330D" w:rsidP="00C9089D">
      <w:pPr>
        <w:rPr>
          <w:rFonts w:ascii="Soberana Sans Light" w:hAnsi="Soberana Sans Light"/>
        </w:rPr>
      </w:pP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6E479F" w:rsidP="00C9089D">
      <w:pPr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9933CE" wp14:editId="7250AA0D">
            <wp:extent cx="8603673" cy="5198228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24" t="11787" r="57615" b="45184"/>
                    <a:stretch/>
                  </pic:blipFill>
                  <pic:spPr bwMode="auto">
                    <a:xfrm>
                      <a:off x="0" y="0"/>
                      <a:ext cx="8641864" cy="5221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C86071" w:rsidRDefault="00103DDC" w:rsidP="00C9089D">
      <w:pPr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7266FEF" wp14:editId="558E6601">
            <wp:extent cx="8508670" cy="473409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82" t="11669" r="57480" b="48234"/>
                    <a:stretch/>
                  </pic:blipFill>
                  <pic:spPr bwMode="auto">
                    <a:xfrm>
                      <a:off x="0" y="0"/>
                      <a:ext cx="8547266" cy="475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4D4EE6" w:rsidP="00C9089D">
      <w:pPr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BD09E96" wp14:editId="29B776FA">
            <wp:extent cx="8383979" cy="516826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256" t="11548" r="56930" b="32558"/>
                    <a:stretch/>
                  </pic:blipFill>
                  <pic:spPr bwMode="auto">
                    <a:xfrm>
                      <a:off x="0" y="0"/>
                      <a:ext cx="8413043" cy="5186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</w:rPr>
      </w:pPr>
    </w:p>
    <w:p w:rsidR="00650291" w:rsidRDefault="00DC73A9" w:rsidP="00D54F0B">
      <w:pPr>
        <w:jc w:val="center"/>
        <w:rPr>
          <w:rFonts w:ascii="Soberana Sans Light" w:hAnsi="Soberana Sans Light"/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07C6D23" wp14:editId="31BAF20A">
            <wp:extent cx="6679870" cy="32570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09" t="11908" r="57207" b="52479"/>
                    <a:stretch/>
                  </pic:blipFill>
                  <pic:spPr bwMode="auto">
                    <a:xfrm>
                      <a:off x="0" y="0"/>
                      <a:ext cx="6742849" cy="3287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440B6A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-10.35pt;margin-top:8.3pt;width:273.55pt;height:64.9pt;z-index:251680768;mso-width-percent:400;mso-height-percent:200;mso-width-percent:400;mso-height-percent:200;mso-width-relative:margin;mso-height-relative:margin" filled="f" stroked="f">
            <v:textbox style="mso-next-textbox:#_x0000_s1071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0" type="#_x0000_t202" style="position:absolute;left:0;text-align:left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1070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</w:p>
    <w:p w:rsidR="00315A9A" w:rsidRDefault="00440B6A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82.3pt;margin-top:11.5pt;width:182.7pt;height:0;z-index:25168179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3" type="#_x0000_t32" style="position:absolute;left:0;text-align:left;margin-left:11pt;margin-top:11.5pt;width:209.05pt;height:0;z-index:25168281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315A9A" w:rsidRDefault="00D04F0C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w:lastRenderedPageBreak/>
        <w:drawing>
          <wp:inline distT="0" distB="0" distL="0" distR="0">
            <wp:extent cx="6639636" cy="329120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2515" t="24580" r="56936" b="30727"/>
                    <a:stretch/>
                  </pic:blipFill>
                  <pic:spPr bwMode="auto">
                    <a:xfrm>
                      <a:off x="0" y="0"/>
                      <a:ext cx="6689473" cy="3315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F0C" w:rsidRDefault="00D04F0C" w:rsidP="00315A9A">
      <w:pPr>
        <w:jc w:val="center"/>
        <w:rPr>
          <w:rFonts w:ascii="Arial" w:hAnsi="Arial" w:cs="Arial"/>
          <w:sz w:val="18"/>
          <w:szCs w:val="18"/>
        </w:rPr>
      </w:pPr>
    </w:p>
    <w:p w:rsidR="00D04F0C" w:rsidRDefault="00440B6A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202" style="position:absolute;left:0;text-align:left;margin-left:345.75pt;margin-top:18.2pt;width:273.25pt;height:64.9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7" type="#_x0000_t202" style="position:absolute;left:0;text-align:left;margin-left:-4.45pt;margin-top:21.45pt;width:273.4pt;height:64.9pt;z-index:251675648;mso-width-percent:400;mso-height-percent:200;mso-width-percent:400;mso-height-percent:200;mso-width-relative:margin;mso-height-relative:margin" filled="f" stroked="f">
            <v:textbox style="mso-next-textbox:#_x0000_s1067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440B6A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8" type="#_x0000_t32" style="position:absolute;left:0;text-align:left;margin-left:382.3pt;margin-top:12.3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9" type="#_x0000_t32" style="position:absolute;left:0;text-align:left;margin-left:11pt;margin-top:12.35pt;width:209.05pt;height:0;z-index:25167769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bookmarkStart w:id="0" w:name="_MON_1480275522"/>
    <w:bookmarkEnd w:id="0"/>
    <w:p w:rsidR="00F96944" w:rsidRDefault="00616D6B" w:rsidP="0044253C">
      <w:pPr>
        <w:jc w:val="center"/>
      </w:pPr>
      <w:r>
        <w:object w:dxaOrig="9717" w:dyaOrig="4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224.25pt" o:ole="">
            <v:imagedata r:id="rId14" o:title=""/>
          </v:shape>
          <o:OLEObject Type="Embed" ProgID="Excel.Sheet.8" ShapeID="_x0000_i1025" DrawAspect="Content" ObjectID="_1641202897" r:id="rId15"/>
        </w:object>
      </w:r>
    </w:p>
    <w:p w:rsidR="00AB13B7" w:rsidRDefault="00AB13B7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315A9A" w:rsidRDefault="00315A9A" w:rsidP="00315A9A">
      <w:pPr>
        <w:jc w:val="center"/>
      </w:pPr>
    </w:p>
    <w:p w:rsidR="00A770BF" w:rsidRDefault="00A770BF" w:rsidP="00315A9A">
      <w:pPr>
        <w:jc w:val="center"/>
      </w:pPr>
    </w:p>
    <w:p w:rsidR="00A770BF" w:rsidRDefault="00A770BF" w:rsidP="00315A9A">
      <w:pPr>
        <w:jc w:val="center"/>
      </w:pPr>
    </w:p>
    <w:p w:rsidR="00315A9A" w:rsidRDefault="00315A9A" w:rsidP="00315A9A">
      <w:pPr>
        <w:jc w:val="center"/>
      </w:pPr>
    </w:p>
    <w:p w:rsidR="00315A9A" w:rsidRDefault="00315A9A" w:rsidP="00315A9A">
      <w:pPr>
        <w:jc w:val="center"/>
      </w:pPr>
    </w:p>
    <w:p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440B6A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3160B9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 Flores Hernández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Default="00440B6A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9.3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9.3pt;width:209.05pt;height:0;z-index:251663360" o:connectortype="straight"/>
        </w:pict>
      </w: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6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lastRenderedPageBreak/>
        <w:t>Estatal</w:t>
      </w:r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Código Financiero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p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ara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el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Estado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 Tlaxcala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 s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us Municipios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Constitución Política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d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el Estado Libre </w:t>
        </w:r>
        <w:r w:rsidR="00A07BB6">
          <w:rPr>
            <w:rFonts w:ascii="Arial" w:eastAsia="Times New Roman" w:hAnsi="Arial" w:cs="Arial"/>
            <w:sz w:val="18"/>
            <w:szCs w:val="18"/>
            <w:lang w:eastAsia="es-MX"/>
          </w:rPr>
          <w:t>y</w:t>
        </w:r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 Soberano De Tlaxcala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A07BB6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4804FC">
        <w:t>9</w:t>
      </w:r>
    </w:p>
    <w:p w:rsidR="00065EC1" w:rsidRPr="00065EC1" w:rsidRDefault="00440B6A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F38D2" w:rsidRDefault="009F38D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F38D2" w:rsidRDefault="009F38D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F38D2" w:rsidRDefault="009F38D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F38D2" w:rsidRDefault="009F38D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F38D2" w:rsidRDefault="009F38D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F38D2" w:rsidRDefault="009F38D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F38D2" w:rsidRDefault="009F38D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F38D2" w:rsidRDefault="009F38D2" w:rsidP="009F38D2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publicará en la página web </w:t>
      </w:r>
      <w:hyperlink r:id="rId41" w:history="1">
        <w:r w:rsidRPr="00DB345B">
          <w:rPr>
            <w:rStyle w:val="Hipervnculo"/>
            <w:rFonts w:ascii="Arial" w:hAnsi="Arial" w:cs="Arial"/>
            <w:kern w:val="36"/>
            <w:lang w:eastAsia="es-MX"/>
          </w:rPr>
          <w:t>www.ceat.gob.mx</w:t>
        </w:r>
      </w:hyperlink>
      <w:r>
        <w:rPr>
          <w:rFonts w:ascii="Arial" w:hAnsi="Arial" w:cs="Arial"/>
          <w:color w:val="333333"/>
          <w:kern w:val="36"/>
          <w:lang w:eastAsia="es-MX"/>
        </w:rPr>
        <w:t xml:space="preserve"> en el apartado de Transparencia: Armonización contable, bajo el siguiente link:</w:t>
      </w:r>
    </w:p>
    <w:p w:rsidR="009F38D2" w:rsidRPr="00C53D1C" w:rsidRDefault="009F38D2" w:rsidP="009F38D2">
      <w:pPr>
        <w:shd w:val="clear" w:color="auto" w:fill="FFFFFF"/>
        <w:spacing w:before="161" w:after="161" w:line="516" w:lineRule="atLeast"/>
        <w:jc w:val="both"/>
        <w:outlineLvl w:val="0"/>
        <w:rPr>
          <w:szCs w:val="18"/>
        </w:rPr>
      </w:pPr>
      <w:hyperlink r:id="rId42" w:history="1">
        <w:r>
          <w:rPr>
            <w:rStyle w:val="Hipervnculo"/>
          </w:rPr>
          <w:t>https://ceat.gob.mx/downloads/estados-vinculados-ceat/</w:t>
        </w:r>
      </w:hyperlink>
    </w:p>
    <w:p w:rsidR="009F38D2" w:rsidRDefault="009F38D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1" w:name="_GoBack"/>
      <w:bookmarkEnd w:id="1"/>
    </w:p>
    <w:sectPr w:rsidR="009F38D2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6A" w:rsidRDefault="00440B6A" w:rsidP="00EA5418">
      <w:pPr>
        <w:spacing w:after="0" w:line="240" w:lineRule="auto"/>
      </w:pPr>
      <w:r>
        <w:separator/>
      </w:r>
    </w:p>
  </w:endnote>
  <w:endnote w:type="continuationSeparator" w:id="0">
    <w:p w:rsidR="00440B6A" w:rsidRDefault="00440B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Pr="0013011C" w:rsidRDefault="00440B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9F38D2" w:rsidRPr="009F38D2">
          <w:rPr>
            <w:rFonts w:ascii="Soberana Sans Light" w:hAnsi="Soberana Sans Light"/>
            <w:noProof/>
            <w:lang w:val="es-ES"/>
          </w:rPr>
          <w:t>10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Pr="008E3652" w:rsidRDefault="00440B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9F38D2" w:rsidRPr="009F38D2">
          <w:rPr>
            <w:rFonts w:ascii="Soberana Sans Light" w:hAnsi="Soberana Sans Light"/>
            <w:noProof/>
            <w:lang w:val="es-ES"/>
          </w:rPr>
          <w:t>9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6A" w:rsidRDefault="00440B6A" w:rsidP="00EA5418">
      <w:pPr>
        <w:spacing w:after="0" w:line="240" w:lineRule="auto"/>
      </w:pPr>
      <w:r>
        <w:separator/>
      </w:r>
    </w:p>
  </w:footnote>
  <w:footnote w:type="continuationSeparator" w:id="0">
    <w:p w:rsidR="00440B6A" w:rsidRDefault="00440B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Default="00440B6A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CE40E7" w:rsidRDefault="00D54F0B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2019</w:t>
                    </w:r>
                  </w:p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0E7" w:rsidRPr="0013011C" w:rsidRDefault="00440B6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33694"/>
    <w:rsid w:val="00040466"/>
    <w:rsid w:val="00040531"/>
    <w:rsid w:val="00041C14"/>
    <w:rsid w:val="00064CF2"/>
    <w:rsid w:val="00065EC1"/>
    <w:rsid w:val="000728C9"/>
    <w:rsid w:val="00083CF8"/>
    <w:rsid w:val="00091D3B"/>
    <w:rsid w:val="000A0FA8"/>
    <w:rsid w:val="000A6CC4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41B1C"/>
    <w:rsid w:val="0017330D"/>
    <w:rsid w:val="001772B3"/>
    <w:rsid w:val="00185D53"/>
    <w:rsid w:val="00186E24"/>
    <w:rsid w:val="001A507F"/>
    <w:rsid w:val="001B1B72"/>
    <w:rsid w:val="00203383"/>
    <w:rsid w:val="002116C1"/>
    <w:rsid w:val="00232417"/>
    <w:rsid w:val="0023374C"/>
    <w:rsid w:val="00241763"/>
    <w:rsid w:val="00242EAB"/>
    <w:rsid w:val="00255AAD"/>
    <w:rsid w:val="002A70B3"/>
    <w:rsid w:val="002B6D07"/>
    <w:rsid w:val="002D7665"/>
    <w:rsid w:val="002E3736"/>
    <w:rsid w:val="002E7DEF"/>
    <w:rsid w:val="002F0691"/>
    <w:rsid w:val="00304DC2"/>
    <w:rsid w:val="00307421"/>
    <w:rsid w:val="00307635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5AE0"/>
    <w:rsid w:val="003D5DBF"/>
    <w:rsid w:val="003E7FD0"/>
    <w:rsid w:val="003F0EA4"/>
    <w:rsid w:val="003F10B2"/>
    <w:rsid w:val="004015C1"/>
    <w:rsid w:val="00405F37"/>
    <w:rsid w:val="00431DF9"/>
    <w:rsid w:val="0043531C"/>
    <w:rsid w:val="00440B6A"/>
    <w:rsid w:val="0044253C"/>
    <w:rsid w:val="004804FC"/>
    <w:rsid w:val="00486AE1"/>
    <w:rsid w:val="00486E30"/>
    <w:rsid w:val="00497D8B"/>
    <w:rsid w:val="004A5796"/>
    <w:rsid w:val="004B4AC8"/>
    <w:rsid w:val="004C107A"/>
    <w:rsid w:val="004D1E55"/>
    <w:rsid w:val="004D3691"/>
    <w:rsid w:val="004D41B8"/>
    <w:rsid w:val="004D4EE6"/>
    <w:rsid w:val="004D7802"/>
    <w:rsid w:val="004F51AC"/>
    <w:rsid w:val="00502D8E"/>
    <w:rsid w:val="005117F4"/>
    <w:rsid w:val="00522632"/>
    <w:rsid w:val="00531310"/>
    <w:rsid w:val="00534982"/>
    <w:rsid w:val="00535A60"/>
    <w:rsid w:val="00540418"/>
    <w:rsid w:val="00541720"/>
    <w:rsid w:val="00563098"/>
    <w:rsid w:val="00571E8F"/>
    <w:rsid w:val="00580941"/>
    <w:rsid w:val="005825DD"/>
    <w:rsid w:val="005859FA"/>
    <w:rsid w:val="005A6F65"/>
    <w:rsid w:val="006048D2"/>
    <w:rsid w:val="00611E39"/>
    <w:rsid w:val="00616D6B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B7B8B"/>
    <w:rsid w:val="006C5D33"/>
    <w:rsid w:val="006C7574"/>
    <w:rsid w:val="006D2AE3"/>
    <w:rsid w:val="006E479F"/>
    <w:rsid w:val="006E77DD"/>
    <w:rsid w:val="00707B91"/>
    <w:rsid w:val="0072114A"/>
    <w:rsid w:val="00721D56"/>
    <w:rsid w:val="00730328"/>
    <w:rsid w:val="00747B8B"/>
    <w:rsid w:val="00767E90"/>
    <w:rsid w:val="007758A6"/>
    <w:rsid w:val="0079582C"/>
    <w:rsid w:val="007B513E"/>
    <w:rsid w:val="007B5432"/>
    <w:rsid w:val="007C0AB2"/>
    <w:rsid w:val="007D6E9A"/>
    <w:rsid w:val="007E59DB"/>
    <w:rsid w:val="008061DA"/>
    <w:rsid w:val="008A3A3B"/>
    <w:rsid w:val="008A6E4D"/>
    <w:rsid w:val="008B0017"/>
    <w:rsid w:val="008B2B9B"/>
    <w:rsid w:val="008B3971"/>
    <w:rsid w:val="008C2F7E"/>
    <w:rsid w:val="008C50CD"/>
    <w:rsid w:val="008D3D67"/>
    <w:rsid w:val="008E3652"/>
    <w:rsid w:val="008E7125"/>
    <w:rsid w:val="009316AB"/>
    <w:rsid w:val="00934CBE"/>
    <w:rsid w:val="00990D23"/>
    <w:rsid w:val="009B38E7"/>
    <w:rsid w:val="009C7FBA"/>
    <w:rsid w:val="009D2190"/>
    <w:rsid w:val="009E7334"/>
    <w:rsid w:val="009E7EF1"/>
    <w:rsid w:val="009F38D2"/>
    <w:rsid w:val="00A07BB6"/>
    <w:rsid w:val="00A14B74"/>
    <w:rsid w:val="00A749E3"/>
    <w:rsid w:val="00A770BF"/>
    <w:rsid w:val="00A85035"/>
    <w:rsid w:val="00A8635D"/>
    <w:rsid w:val="00A96790"/>
    <w:rsid w:val="00AB13B7"/>
    <w:rsid w:val="00AC27B5"/>
    <w:rsid w:val="00AD3644"/>
    <w:rsid w:val="00AE148A"/>
    <w:rsid w:val="00AF0A2F"/>
    <w:rsid w:val="00B12F4C"/>
    <w:rsid w:val="00B20BEC"/>
    <w:rsid w:val="00B44DCB"/>
    <w:rsid w:val="00B501F7"/>
    <w:rsid w:val="00B52101"/>
    <w:rsid w:val="00B81360"/>
    <w:rsid w:val="00B849EE"/>
    <w:rsid w:val="00BA5864"/>
    <w:rsid w:val="00BB23F4"/>
    <w:rsid w:val="00BE0066"/>
    <w:rsid w:val="00C02C4D"/>
    <w:rsid w:val="00C06B1F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6525"/>
    <w:rsid w:val="00DC1671"/>
    <w:rsid w:val="00DC73A9"/>
    <w:rsid w:val="00DD0427"/>
    <w:rsid w:val="00DD151C"/>
    <w:rsid w:val="00E0641A"/>
    <w:rsid w:val="00E208F7"/>
    <w:rsid w:val="00E32708"/>
    <w:rsid w:val="00E36E84"/>
    <w:rsid w:val="00E4169E"/>
    <w:rsid w:val="00E90685"/>
    <w:rsid w:val="00E93F0C"/>
    <w:rsid w:val="00EA5418"/>
    <w:rsid w:val="00EB2653"/>
    <w:rsid w:val="00EB614E"/>
    <w:rsid w:val="00ED31C7"/>
    <w:rsid w:val="00F16528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6"/>
        <o:r id="V:Rule2" type="connector" idref="#_x0000_s1073"/>
        <o:r id="V:Rule3" type="connector" idref="#_x0000_s1068"/>
        <o:r id="V:Rule4" type="connector" idref="#_x0000_s1035"/>
        <o:r id="V:Rule5" type="connector" idref="#_x0000_s1072"/>
        <o:r id="V:Rule6" type="connector" idref="#_x0000_s1069"/>
      </o:rules>
    </o:shapelayout>
  </w:shapeDefaults>
  <w:decimalSymbol w:val="."/>
  <w:listSeparator w:val=",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platrans.tlaxcala.gob.mx/sistemas/transparencia/view_docs.php?recno=3086" TargetMode="External"/><Relationship Id="rId26" Type="http://schemas.openxmlformats.org/officeDocument/2006/relationships/hyperlink" Target="http://platrans.tlaxcala.gob.mx/sistemas/transparencia/view_docs.php?recno=3094" TargetMode="External"/><Relationship Id="rId39" Type="http://schemas.openxmlformats.org/officeDocument/2006/relationships/hyperlink" Target="http://platrans.tlaxcala.gob.mx/sistemas/transparencia/view_docs.php?recno=7052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rans.tlaxcala.gob.mx/sistemas/transparencia/view_docs.php?recno=3089" TargetMode="External"/><Relationship Id="rId34" Type="http://schemas.openxmlformats.org/officeDocument/2006/relationships/hyperlink" Target="http://platrans.tlaxcala.gob.mx/sistemas/transparencia/view_docs.php?recno=3102" TargetMode="External"/><Relationship Id="rId42" Type="http://schemas.openxmlformats.org/officeDocument/2006/relationships/hyperlink" Target="https://ceat.gob.mx/downloads/estados-vinculados-ceat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platrans.tlaxcala.gob.mx/sistemas/transparencia/view_docs.php?recno=3085" TargetMode="External"/><Relationship Id="rId25" Type="http://schemas.openxmlformats.org/officeDocument/2006/relationships/hyperlink" Target="http://platrans.tlaxcala.gob.mx/sistemas/transparencia/view_docs.php?recno=3093" TargetMode="External"/><Relationship Id="rId33" Type="http://schemas.openxmlformats.org/officeDocument/2006/relationships/hyperlink" Target="http://platrans.tlaxcala.gob.mx/sistemas/transparencia/view_docs.php?recno=3101" TargetMode="External"/><Relationship Id="rId38" Type="http://schemas.openxmlformats.org/officeDocument/2006/relationships/hyperlink" Target="http://platrans.tlaxcala.gob.mx/sistemas/transparencia/view_docs.php?recno=5711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latrans.tlaxcala.gob.mx/sistemas/transparencia/view_docs.php?recno=3084" TargetMode="External"/><Relationship Id="rId20" Type="http://schemas.openxmlformats.org/officeDocument/2006/relationships/hyperlink" Target="http://platrans.tlaxcala.gob.mx/sistemas/transparencia/view_docs.php?recno=3088" TargetMode="External"/><Relationship Id="rId29" Type="http://schemas.openxmlformats.org/officeDocument/2006/relationships/hyperlink" Target="http://platrans.tlaxcala.gob.mx/sistemas/transparencia/view_docs.php?recno=3096" TargetMode="External"/><Relationship Id="rId41" Type="http://schemas.openxmlformats.org/officeDocument/2006/relationships/hyperlink" Target="http://www.ceat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platrans.tlaxcala.gob.mx/sistemas/transparencia/view_docs.php?recno=3092" TargetMode="External"/><Relationship Id="rId32" Type="http://schemas.openxmlformats.org/officeDocument/2006/relationships/hyperlink" Target="http://platrans.tlaxcala.gob.mx/sistemas/transparencia/view_docs.php?recno=3100" TargetMode="External"/><Relationship Id="rId37" Type="http://schemas.openxmlformats.org/officeDocument/2006/relationships/hyperlink" Target="http://platrans.tlaxcala.gob.mx/sistemas/transparencia/view_docs.php?recno=3682" TargetMode="External"/><Relationship Id="rId40" Type="http://schemas.openxmlformats.org/officeDocument/2006/relationships/hyperlink" Target="http://platrans.tlaxcala.gob.mx/sistemas/transparencia/view_docs.php?recno=7944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23" Type="http://schemas.openxmlformats.org/officeDocument/2006/relationships/hyperlink" Target="http://platrans.tlaxcala.gob.mx/sistemas/transparencia/view_docs.php?recno=3091" TargetMode="External"/><Relationship Id="rId28" Type="http://schemas.openxmlformats.org/officeDocument/2006/relationships/hyperlink" Target="http://platrans.tlaxcala.gob.mx/sistemas/transparencia/view_docs.php?recno=7845" TargetMode="External"/><Relationship Id="rId36" Type="http://schemas.openxmlformats.org/officeDocument/2006/relationships/hyperlink" Target="http://platrans.tlaxcala.gob.mx/sistemas/transparencia/view_docs.php?recno=368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platrans.tlaxcala.gob.mx/sistemas/transparencia/view_docs.php?recno=3087" TargetMode="External"/><Relationship Id="rId31" Type="http://schemas.openxmlformats.org/officeDocument/2006/relationships/hyperlink" Target="http://platrans.tlaxcala.gob.mx/sistemas/transparencia/view_docs.php?recno=3098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hyperlink" Target="http://platrans.tlaxcala.gob.mx/sistemas/transparencia/view_docs.php?recno=3090" TargetMode="External"/><Relationship Id="rId27" Type="http://schemas.openxmlformats.org/officeDocument/2006/relationships/hyperlink" Target="http://platrans.tlaxcala.gob.mx/sistemas/transparencia/view_docs.php?recno=3095" TargetMode="External"/><Relationship Id="rId30" Type="http://schemas.openxmlformats.org/officeDocument/2006/relationships/hyperlink" Target="http://platrans.tlaxcala.gob.mx/sistemas/transparencia/view_docs.php?recno=3097" TargetMode="External"/><Relationship Id="rId35" Type="http://schemas.openxmlformats.org/officeDocument/2006/relationships/hyperlink" Target="http://platrans.tlaxcala.gob.mx/sistemas/transparencia/view_docs.php?recno=3103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0A570-5312-44A1-9522-A8BF27C2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994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96</cp:revision>
  <cp:lastPrinted>2016-12-30T16:24:00Z</cp:lastPrinted>
  <dcterms:created xsi:type="dcterms:W3CDTF">2014-08-29T22:30:00Z</dcterms:created>
  <dcterms:modified xsi:type="dcterms:W3CDTF">2020-01-22T18:55:00Z</dcterms:modified>
</cp:coreProperties>
</file>