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445508" w:rsidP="00D1393B">
      <w:pPr>
        <w:ind w:right="-1062"/>
      </w:pPr>
      <w:r>
        <w:rPr>
          <w:b/>
          <w:bCs/>
          <w:lang w:val="es-ES"/>
        </w:rPr>
        <w:object w:dxaOrig="23624" w:dyaOrig="16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95pt;height:432.85pt" o:ole="">
            <v:imagedata r:id="rId8" o:title=""/>
          </v:shape>
          <o:OLEObject Type="Embed" ProgID="Excel.Sheet.12" ShapeID="_x0000_i1025" DrawAspect="Content" ObjectID="_1640071540" r:id="rId9"/>
        </w:object>
      </w:r>
    </w:p>
    <w:bookmarkStart w:id="1" w:name="_MON_1592735719"/>
    <w:bookmarkEnd w:id="1"/>
    <w:p w:rsidR="00A06F69" w:rsidRDefault="00AD5875" w:rsidP="00D1393B">
      <w:pPr>
        <w:ind w:right="-1062"/>
      </w:pPr>
      <w:r>
        <w:rPr>
          <w:b/>
          <w:bCs/>
          <w:lang w:val="es-ES"/>
        </w:rPr>
        <w:object w:dxaOrig="25245" w:dyaOrig="19486">
          <v:shape id="_x0000_i1026" type="#_x0000_t75" style="width:732.4pt;height:392.3pt" o:ole="">
            <v:imagedata r:id="rId10" o:title=""/>
          </v:shape>
          <o:OLEObject Type="Embed" ProgID="Excel.Sheet.12" ShapeID="_x0000_i1026" DrawAspect="Content" ObjectID="_1640071541" r:id="rId11"/>
        </w:object>
      </w:r>
    </w:p>
    <w:p w:rsidR="00355A64" w:rsidRDefault="00687C5B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44.75pt;margin-top:10.25pt;width:645pt;height:387.3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40071545" r:id="rId13"/>
        </w:object>
      </w:r>
    </w:p>
    <w:p w:rsidR="00E32708" w:rsidRDefault="00687C5B" w:rsidP="00AD7D6D">
      <w:pPr>
        <w:jc w:val="center"/>
      </w:pPr>
      <w:bookmarkStart w:id="2" w:name="_GoBack"/>
      <w:r>
        <w:rPr>
          <w:noProof/>
        </w:rPr>
        <w:lastRenderedPageBreak/>
        <w:object w:dxaOrig="1440" w:dyaOrig="1440">
          <v:shape id="_x0000_s1170" type="#_x0000_t75" style="position:absolute;left:0;text-align:left;margin-left:54.6pt;margin-top:0;width:633.75pt;height:371.8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40071546" r:id="rId15"/>
        </w:object>
      </w:r>
      <w:bookmarkEnd w:id="2"/>
      <w:r w:rsidR="00EC1560">
        <w:br w:type="textWrapping" w:clear="all"/>
      </w:r>
      <w:bookmarkStart w:id="3" w:name="_MON_1470809138"/>
      <w:bookmarkEnd w:id="3"/>
      <w:bookmarkStart w:id="4" w:name="_MON_1470807348"/>
      <w:bookmarkEnd w:id="4"/>
      <w:r w:rsidR="00716A24">
        <w:object w:dxaOrig="17380" w:dyaOrig="12540">
          <v:shape id="_x0000_i1029" type="#_x0000_t75" style="width:665.4pt;height:425.4pt" o:ole="">
            <v:imagedata r:id="rId16" o:title=""/>
          </v:shape>
          <o:OLEObject Type="Embed" ProgID="Excel.Sheet.12" ShapeID="_x0000_i1029" DrawAspect="Content" ObjectID="_1640071542" r:id="rId17"/>
        </w:object>
      </w:r>
      <w:bookmarkStart w:id="5" w:name="_MON_1553862361"/>
      <w:bookmarkStart w:id="6" w:name="_MON_1553862398"/>
      <w:bookmarkStart w:id="7" w:name="_MON_1553862467"/>
      <w:bookmarkStart w:id="8" w:name="_MON_1470814596"/>
      <w:bookmarkEnd w:id="5"/>
      <w:bookmarkEnd w:id="6"/>
      <w:bookmarkEnd w:id="7"/>
      <w:bookmarkEnd w:id="8"/>
      <w:bookmarkStart w:id="9" w:name="_MON_1553862292"/>
      <w:bookmarkEnd w:id="9"/>
      <w:r w:rsidR="00716A24">
        <w:rPr>
          <w:b/>
          <w:bCs/>
          <w:lang w:val="es-ES"/>
        </w:rPr>
        <w:object w:dxaOrig="19040" w:dyaOrig="9690">
          <v:shape id="_x0000_i1030" type="#_x0000_t75" style="width:673.65pt;height:423.7pt" o:ole="">
            <v:imagedata r:id="rId18" o:title=""/>
          </v:shape>
          <o:OLEObject Type="Embed" ProgID="Excel.Sheet.12" ShapeID="_x0000_i1030" DrawAspect="Content" ObjectID="_1640071543" r:id="rId19"/>
        </w:object>
      </w:r>
      <w:bookmarkStart w:id="10" w:name="_MON_1553862534"/>
      <w:bookmarkEnd w:id="10"/>
      <w:bookmarkStart w:id="11" w:name="_MON_1470810366"/>
      <w:bookmarkEnd w:id="11"/>
      <w:r w:rsidR="00AD5875">
        <w:rPr>
          <w:lang w:val="es-ES"/>
        </w:rPr>
        <w:object w:dxaOrig="25330" w:dyaOrig="17500">
          <v:shape id="_x0000_i1031" type="#_x0000_t75" style="width:732.4pt;height:429.5pt" o:ole="">
            <v:imagedata r:id="rId20" o:title=""/>
          </v:shape>
          <o:OLEObject Type="Embed" ProgID="Excel.Sheet.12" ShapeID="_x0000_i1031" DrawAspect="Content" ObjectID="_1640071544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>
        <w:rPr>
          <w:rFonts w:ascii="Courier New" w:hAnsi="Courier New" w:cs="Courier New"/>
          <w:sz w:val="22"/>
          <w:szCs w:val="22"/>
          <w:lang w:val="es-MX"/>
        </w:rPr>
        <w:t>diciembre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>
        <w:rPr>
          <w:rFonts w:ascii="Courier New" w:hAnsi="Courier New" w:cs="Courier New"/>
          <w:sz w:val="22"/>
          <w:szCs w:val="22"/>
          <w:lang w:val="es-MX"/>
        </w:rPr>
        <w:t>547,086</w:t>
      </w:r>
      <w:r w:rsidRPr="00D773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saldo que se tiene reflejado en la cuenta de cheques a nombre del Tribunal Electoral de Tlaxcala, mismos que se aplica</w:t>
      </w:r>
      <w:r>
        <w:rPr>
          <w:rFonts w:ascii="Courier New" w:hAnsi="Courier New" w:cs="Courier New"/>
          <w:sz w:val="22"/>
          <w:szCs w:val="22"/>
          <w:lang w:val="es-MX"/>
        </w:rPr>
        <w:t>rán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para la operatividad administrativa, en los rubros de servicios personales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para la creación del fondo de haber de retiro de los Magistrados Electorales por la cantidad de $422,729.00</w:t>
      </w:r>
      <w:r w:rsidRPr="00D773E2">
        <w:rPr>
          <w:rFonts w:ascii="Courier New" w:hAnsi="Courier New" w:cs="Courier New"/>
          <w:sz w:val="22"/>
          <w:szCs w:val="22"/>
          <w:lang w:val="es-MX"/>
        </w:rPr>
        <w:t>,  servicios generales</w:t>
      </w:r>
      <w:r>
        <w:rPr>
          <w:rFonts w:ascii="Courier New" w:hAnsi="Courier New" w:cs="Courier New"/>
          <w:sz w:val="22"/>
          <w:szCs w:val="22"/>
          <w:lang w:val="es-MX"/>
        </w:rPr>
        <w:t>, corresponde al pago de la provisión del servicio telefónico móvil e internet del mes de diciembre de 2019, por la cantidad de $2,046.00 y el pago del impuesto sobre nóminas por la cantidad de $122,311.00 del mes de diciembre de 2019.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tiene un importe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el </w:t>
      </w:r>
      <w:r w:rsidR="00AF7B30">
        <w:rPr>
          <w:rFonts w:ascii="Courier New" w:hAnsi="Courier New" w:cs="Courier New"/>
          <w:sz w:val="22"/>
          <w:szCs w:val="22"/>
          <w:lang w:val="es-MX"/>
        </w:rPr>
        <w:t>disponible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en efectivo por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>250,108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y que corresponde al fondo de haber de retiro de</w:t>
      </w:r>
      <w:r w:rsidR="00AF7B30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>los ejercicios 2018 y 2019</w:t>
      </w:r>
      <w:r w:rsidR="00AF7B30">
        <w:rPr>
          <w:rFonts w:ascii="Courier New" w:hAnsi="Courier New" w:cs="Courier New"/>
          <w:sz w:val="22"/>
          <w:szCs w:val="22"/>
          <w:lang w:val="es-MX"/>
        </w:rPr>
        <w:t>, por las cantidades de $</w:t>
      </w:r>
      <w:r w:rsidR="00AF7B30" w:rsidRPr="00AF7B30">
        <w:rPr>
          <w:rFonts w:ascii="Courier New" w:hAnsi="Courier New" w:cs="Courier New"/>
          <w:sz w:val="22"/>
          <w:szCs w:val="22"/>
          <w:lang w:val="es-MX"/>
        </w:rPr>
        <w:t>230</w:t>
      </w:r>
      <w:r w:rsidR="00AF7B30">
        <w:rPr>
          <w:rFonts w:ascii="Courier New" w:hAnsi="Courier New" w:cs="Courier New"/>
          <w:sz w:val="22"/>
          <w:szCs w:val="22"/>
          <w:lang w:val="es-MX"/>
        </w:rPr>
        <w:t>,</w:t>
      </w:r>
      <w:r w:rsidR="00AF7B30" w:rsidRPr="00AF7B30">
        <w:rPr>
          <w:rFonts w:ascii="Courier New" w:hAnsi="Courier New" w:cs="Courier New"/>
          <w:sz w:val="22"/>
          <w:szCs w:val="22"/>
          <w:lang w:val="es-MX"/>
        </w:rPr>
        <w:t>123.</w:t>
      </w:r>
      <w:r w:rsidR="00AF7B30">
        <w:rPr>
          <w:rFonts w:ascii="Courier New" w:hAnsi="Courier New" w:cs="Courier New"/>
          <w:sz w:val="22"/>
          <w:szCs w:val="22"/>
          <w:lang w:val="es-MX"/>
        </w:rPr>
        <w:t xml:space="preserve">00 y </w:t>
      </w:r>
      <w:r w:rsidR="00FC0757">
        <w:rPr>
          <w:rFonts w:ascii="Courier New" w:hAnsi="Courier New" w:cs="Courier New"/>
          <w:sz w:val="22"/>
          <w:szCs w:val="22"/>
          <w:lang w:val="es-MX"/>
        </w:rPr>
        <w:t>$20,198.00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no tiene inversiones financieras a corto plazo.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recibió</w:t>
      </w:r>
      <w:r>
        <w:rPr>
          <w:rFonts w:ascii="Courier New" w:hAnsi="Courier New" w:cs="Courier New"/>
          <w:sz w:val="22"/>
          <w:szCs w:val="22"/>
          <w:lang w:val="es-MX"/>
        </w:rPr>
        <w:t xml:space="preserve"> al cierre del cuarto trimestre del presente ejercicio fiscal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recursos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un importe $</w:t>
      </w:r>
      <w:r>
        <w:rPr>
          <w:rFonts w:ascii="Courier New" w:hAnsi="Courier New" w:cs="Courier New"/>
          <w:sz w:val="22"/>
          <w:szCs w:val="22"/>
          <w:lang w:val="es-MX"/>
        </w:rPr>
        <w:t>29,850,588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</w:t>
      </w:r>
      <w:r w:rsidR="00FC0757">
        <w:rPr>
          <w:rFonts w:ascii="Courier New" w:hAnsi="Courier New" w:cs="Courier New"/>
          <w:sz w:val="22"/>
          <w:szCs w:val="22"/>
          <w:lang w:val="es-MX"/>
        </w:rPr>
        <w:t>transferencias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 través de la Secretaría de Planeación y Finanzas del Gobierno del Estado de Tlaxcala.</w:t>
      </w: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cierre del mes de </w:t>
      </w:r>
      <w:r>
        <w:rPr>
          <w:rFonts w:ascii="Courier New" w:hAnsi="Courier New" w:cs="Courier New"/>
          <w:sz w:val="22"/>
          <w:szCs w:val="22"/>
          <w:lang w:val="es-MX"/>
        </w:rPr>
        <w:t>diciembre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201</w:t>
      </w:r>
      <w:r>
        <w:rPr>
          <w:rFonts w:ascii="Courier New" w:hAnsi="Courier New" w:cs="Courier New"/>
          <w:sz w:val="22"/>
          <w:szCs w:val="22"/>
          <w:lang w:val="es-MX"/>
        </w:rPr>
        <w:t>9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>
        <w:rPr>
          <w:rFonts w:ascii="Courier New" w:hAnsi="Courier New" w:cs="Courier New"/>
          <w:sz w:val="22"/>
          <w:szCs w:val="22"/>
          <w:lang w:val="es-MX"/>
        </w:rPr>
        <w:t>2,928,596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adquisiciones de bienes muebles, así mismo se informa que este Tribunal Electoral 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D06BD1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lastRenderedPageBreak/>
        <w:t>En el rubro de activos intangibles, el monto es de $</w:t>
      </w:r>
      <w:r>
        <w:rPr>
          <w:rFonts w:ascii="Courier New" w:hAnsi="Courier New" w:cs="Courier New"/>
          <w:sz w:val="22"/>
          <w:szCs w:val="22"/>
          <w:lang w:val="es-MX"/>
        </w:rPr>
        <w:t>178,648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pesos, y su naturaleza es relativa al software de aplicación para equipo de cómputo.</w:t>
      </w:r>
    </w:p>
    <w:p w:rsidR="00D06BD1" w:rsidRPr="00C80DE2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Se cuenta con la depreciación acumulada calculada en el ejercicio 2016, por la cantidad de $191,475.00.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>
        <w:rPr>
          <w:rFonts w:ascii="Courier New" w:hAnsi="Courier New" w:cs="Courier New"/>
          <w:sz w:val="22"/>
          <w:szCs w:val="22"/>
          <w:lang w:val="es-MX"/>
        </w:rPr>
        <w:t>124,359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corresponde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al pago de impuesto estatal sobre nóminas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del mes de </w:t>
      </w:r>
      <w:r>
        <w:rPr>
          <w:rFonts w:ascii="Courier New" w:hAnsi="Courier New" w:cs="Courier New"/>
          <w:sz w:val="22"/>
          <w:szCs w:val="22"/>
          <w:lang w:val="es-MX"/>
        </w:rPr>
        <w:t>diciembre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201</w:t>
      </w:r>
      <w:r>
        <w:rPr>
          <w:rFonts w:ascii="Courier New" w:hAnsi="Courier New" w:cs="Courier New"/>
          <w:sz w:val="22"/>
          <w:szCs w:val="22"/>
          <w:lang w:val="es-MX"/>
        </w:rPr>
        <w:t>9 por la cantidad de $122,311.00, y el servicio de internet y teléfono móvil por la cantidad de $2,046.00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En el rubro de resultados de ejercicios anteriores se refleja un monto de $</w:t>
      </w:r>
      <w:r w:rsidR="00767ABD">
        <w:rPr>
          <w:rFonts w:ascii="Courier New" w:hAnsi="Courier New" w:cs="Courier New"/>
          <w:sz w:val="22"/>
          <w:szCs w:val="22"/>
          <w:lang w:val="es-MX"/>
        </w:rPr>
        <w:t>2,877,756.</w:t>
      </w:r>
      <w:r>
        <w:rPr>
          <w:rFonts w:ascii="Courier New" w:hAnsi="Courier New" w:cs="Courier New"/>
          <w:sz w:val="22"/>
          <w:szCs w:val="22"/>
          <w:lang w:val="es-MX"/>
        </w:rPr>
        <w:t xml:space="preserve">00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Resultado del ejercicio 2018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>$ 1,045,413.00</w:t>
      </w:r>
    </w:p>
    <w:p w:rsidR="00BF352C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Resultado de ejercicios anteriores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D06BD1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 xml:space="preserve"> 1,827,718.</w:t>
      </w:r>
      <w:r w:rsidR="00D06BD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Pr="00C80DE2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Mas: afectación al resultado del ejercicio 2018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$     4,624.00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$171,893.00, por el concepto de Productos de Tipo corriente, derivados de los rendimientos que generaron las cuentas productivas en el ejercicio 2019.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>, que emite el Consejo Nacional de Armonización Contable (CONAC) se informan las radicaciones presupuestales en el rubro denominado “Transferencias, Asignaciones, Subsidios y Otras Ayudas”, por la cantidad de $29,850,588.00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>
        <w:rPr>
          <w:rFonts w:ascii="Courier New" w:hAnsi="Courier New" w:cs="Courier New"/>
          <w:sz w:val="22"/>
          <w:szCs w:val="22"/>
          <w:lang w:val="es-MX"/>
        </w:rPr>
        <w:t>29,192,181.00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>
        <w:rPr>
          <w:rFonts w:ascii="Courier New" w:hAnsi="Courier New" w:cs="Courier New"/>
          <w:sz w:val="22"/>
          <w:szCs w:val="22"/>
          <w:lang w:val="es-MX"/>
        </w:rPr>
        <w:t>23,949,175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>1,366,709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>3,876,297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>la variación en la hacienda pública generado al cierre del mes de diciembre correspondió a la cantidad de $716,035.00 en el rubro del resultado del ejercicio.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Las cantidades que modifican el resultado obtenido en el ejercicio corresponde a: 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Fondo de haber de retiro por $443,275.00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Adquisiciones por $387,025, menos las bajas de bienes por $114,264.00, corresponde a la cantidad de $272,760.00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lastRenderedPageBreak/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547,086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250,108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D06BD1" w:rsidRPr="00CF11F9" w:rsidTr="00E9041E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797,194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D1" w:rsidRPr="00CF11F9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En el concepto de bienes muebles 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cierre del cuarto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trimestre por un monto de $</w:t>
      </w:r>
      <w:r>
        <w:rPr>
          <w:rFonts w:ascii="Courier New" w:hAnsi="Courier New" w:cs="Courier New"/>
          <w:sz w:val="22"/>
          <w:szCs w:val="22"/>
          <w:lang w:val="es-MX"/>
        </w:rPr>
        <w:t>387,025.00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pesos; así mismo se informa que no se han efectuado adquisiciones de bienes inmuebles.</w:t>
      </w:r>
    </w:p>
    <w:p w:rsidR="00D06BD1" w:rsidRDefault="00F82FF5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Mobiliario y equipo de administración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322,558</w:t>
      </w:r>
    </w:p>
    <w:p w:rsidR="00D06BD1" w:rsidRDefault="00F82FF5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Mobiliario y equipo educacional y recreativo</w:t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23,059</w:t>
      </w:r>
    </w:p>
    <w:p w:rsidR="00F82FF5" w:rsidRDefault="00F82FF5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Licencias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41,408</w:t>
      </w:r>
    </w:p>
    <w:p w:rsidR="00D06BD1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F870B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687C5B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53.4pt;margin-top:12.25pt;width:657.9pt;height:336.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40071547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687C5B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object w:dxaOrig="1440" w:dyaOrig="1440">
          <v:shape id="_x0000_s1176" type="#_x0000_t75" style="position:absolute;left:0;text-align:left;margin-left:38.65pt;margin-top:8.65pt;width:675.2pt;height:355.95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40071548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947ED7" w:rsidRDefault="00947ED7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2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54"/>
        <w:gridCol w:w="2441"/>
        <w:gridCol w:w="2551"/>
        <w:gridCol w:w="734"/>
      </w:tblGrid>
      <w:tr w:rsidR="00947ED7" w:rsidRPr="001539E5" w:rsidTr="00947ED7">
        <w:trPr>
          <w:trHeight w:val="3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3. Más Gasto Contables No Presupuestales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4E77B1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114,265</w:t>
            </w:r>
          </w:p>
        </w:tc>
      </w:tr>
      <w:tr w:rsidR="00947ED7" w:rsidRPr="001539E5" w:rsidTr="00947ED7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4E77B1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114,265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3.2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Provisiones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Disminución de inventarios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40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3.5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Aumento por insuficiencia de provisiones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3.6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ind w:firstLineChars="100" w:firstLine="220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2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right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3.7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Otros Gastos Contables No Presupuestales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947ED7">
        <w:trPr>
          <w:trHeight w:val="180"/>
        </w:trPr>
        <w:tc>
          <w:tcPr>
            <w:tcW w:w="7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39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47ED7" w:rsidRPr="001539E5" w:rsidTr="008B35AE">
        <w:trPr>
          <w:trHeight w:val="746"/>
        </w:trPr>
        <w:tc>
          <w:tcPr>
            <w:tcW w:w="7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FA59BF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4. Total de Gasto Contable (4 = 1 - 2 + 3)</w:t>
            </w:r>
          </w:p>
          <w:p w:rsidR="00947ED7" w:rsidRPr="001539E5" w:rsidRDefault="00947ED7" w:rsidP="005E5474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 w:rsidRPr="001539E5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:rsidR="00947ED7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ED7" w:rsidRPr="001539E5" w:rsidRDefault="004E77B1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29,306,44</w:t>
            </w:r>
            <w:r w:rsidR="00077029">
              <w:rPr>
                <w:rFonts w:ascii="Soberana Sans Light" w:eastAsia="Times New Roman" w:hAnsi="Soberana Sans Light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D7" w:rsidRPr="001539E5" w:rsidRDefault="00947ED7" w:rsidP="005E547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26622A" w:rsidRDefault="0026622A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8B35AE" w:rsidRDefault="008B35AE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 Deudoras: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25,2900,600.00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8131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De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4,731,881.20</w:t>
      </w:r>
      <w:proofErr w:type="gramEnd"/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 443,274.85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5,513,732.91</w:t>
      </w:r>
      <w:proofErr w:type="gramEnd"/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B1CBA">
        <w:rPr>
          <w:rFonts w:ascii="Courier New" w:hAnsi="Courier New" w:cs="Courier New"/>
          <w:sz w:val="22"/>
          <w:szCs w:val="22"/>
          <w:lang w:val="es-MX"/>
        </w:rPr>
        <w:t xml:space="preserve">     </w:t>
      </w:r>
      <w:r>
        <w:rPr>
          <w:rFonts w:ascii="Courier New" w:hAnsi="Courier New" w:cs="Courier New"/>
          <w:sz w:val="22"/>
          <w:szCs w:val="22"/>
          <w:lang w:val="es-MX"/>
        </w:rPr>
        <w:t>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CB1CBA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>
        <w:rPr>
          <w:rFonts w:ascii="Courier New" w:hAnsi="Courier New" w:cs="Courier New"/>
          <w:sz w:val="22"/>
          <w:szCs w:val="22"/>
          <w:lang w:val="es-MX"/>
        </w:rPr>
        <w:t>124,357.00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Total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orden deudoras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65,558,695.31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Cuentas de </w:t>
      </w:r>
      <w:r w:rsidR="00116DC4">
        <w:rPr>
          <w:rFonts w:ascii="Courier New" w:hAnsi="Courier New" w:cs="Courier New"/>
          <w:sz w:val="22"/>
          <w:szCs w:val="22"/>
          <w:lang w:val="es-MX"/>
        </w:rPr>
        <w:t>O</w:t>
      </w:r>
      <w:r>
        <w:rPr>
          <w:rFonts w:ascii="Courier New" w:hAnsi="Courier New" w:cs="Courier New"/>
          <w:sz w:val="22"/>
          <w:szCs w:val="22"/>
          <w:lang w:val="es-MX"/>
        </w:rPr>
        <w:t xml:space="preserve">rden </w:t>
      </w:r>
      <w:r w:rsidR="00116DC4"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>creedoras: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por ejecutar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devengada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0.00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8151</w:t>
      </w:r>
      <w:r>
        <w:rPr>
          <w:rFonts w:ascii="Courier New" w:hAnsi="Courier New" w:cs="Courier New"/>
          <w:sz w:val="22"/>
          <w:szCs w:val="22"/>
        </w:rPr>
        <w:tab/>
        <w:t>Ley de ingresos recaudad</w:t>
      </w:r>
      <w:r w:rsidR="00CB1CBA">
        <w:rPr>
          <w:rFonts w:ascii="Courier New" w:hAnsi="Courier New" w:cs="Courier New"/>
          <w:sz w:val="22"/>
          <w:szCs w:val="22"/>
        </w:rPr>
        <w:t>a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ab/>
      </w:r>
      <w:r w:rsidR="00CB1CBA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30,022,481.20</w:t>
      </w:r>
      <w:proofErr w:type="gramEnd"/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8211</w:t>
      </w:r>
      <w:r>
        <w:rPr>
          <w:rFonts w:ascii="Courier New" w:hAnsi="Courier New" w:cs="Courier New"/>
          <w:sz w:val="22"/>
          <w:szCs w:val="22"/>
        </w:rPr>
        <w:tab/>
        <w:t>Presupuesto de egresos aprobado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ab/>
      </w:r>
      <w:r w:rsidR="00CB1CBA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25,290,600.00</w:t>
      </w:r>
      <w:proofErr w:type="gramEnd"/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8231</w:t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>Ampliaciones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y modificaciones positivas al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Presupuesto de egresos aprobado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ab/>
      </w:r>
      <w:r w:rsidR="00CB1CBA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10,245,614.11</w:t>
      </w:r>
      <w:proofErr w:type="gramEnd"/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Total de orden acreedoras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ab/>
      </w:r>
      <w:r w:rsidR="00CB1CBA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65,558,695.31</w:t>
      </w:r>
      <w:proofErr w:type="gramEnd"/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ejerció el presupuesto asignado al 3</w:t>
      </w:r>
      <w:r>
        <w:rPr>
          <w:rFonts w:ascii="Courier New" w:hAnsi="Courier New" w:cs="Courier New"/>
          <w:sz w:val="22"/>
          <w:szCs w:val="22"/>
          <w:lang w:val="es-MX"/>
        </w:rPr>
        <w:t>1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>
        <w:rPr>
          <w:rFonts w:ascii="Courier New" w:hAnsi="Courier New" w:cs="Courier New"/>
          <w:sz w:val="22"/>
          <w:szCs w:val="22"/>
          <w:lang w:val="es-MX"/>
        </w:rPr>
        <w:t>diciembre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201</w:t>
      </w:r>
      <w:r>
        <w:rPr>
          <w:rFonts w:ascii="Courier New" w:hAnsi="Courier New" w:cs="Courier New"/>
          <w:sz w:val="22"/>
          <w:szCs w:val="22"/>
        </w:rPr>
        <w:t>9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Consideraciones fiscales del ente: Retención de ISR por pago de salarios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Direcciones y Jefaturas de Departamento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No se aplica ninguna Normatividad supletoria.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No existen Provisiones.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>No existen Reservas.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lastRenderedPageBreak/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E9041E">
        <w:trPr>
          <w:jc w:val="center"/>
        </w:trPr>
        <w:tc>
          <w:tcPr>
            <w:tcW w:w="4781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5B" w:rsidRDefault="00687C5B" w:rsidP="00EA5418">
      <w:pPr>
        <w:spacing w:after="0" w:line="240" w:lineRule="auto"/>
      </w:pPr>
      <w:r>
        <w:separator/>
      </w:r>
    </w:p>
  </w:endnote>
  <w:endnote w:type="continuationSeparator" w:id="0">
    <w:p w:rsidR="00687C5B" w:rsidRDefault="00687C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56C3" w:rsidRPr="00F456C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56C3" w:rsidRPr="00F456C3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5B" w:rsidRDefault="00687C5B" w:rsidP="00EA5418">
      <w:pPr>
        <w:spacing w:after="0" w:line="240" w:lineRule="auto"/>
      </w:pPr>
      <w:r>
        <w:separator/>
      </w:r>
    </w:p>
  </w:footnote>
  <w:footnote w:type="continuationSeparator" w:id="0">
    <w:p w:rsidR="00687C5B" w:rsidRDefault="00687C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B340A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B340A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73648A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9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73648A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716A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5A95"/>
    <w:rsid w:val="00087447"/>
    <w:rsid w:val="00090108"/>
    <w:rsid w:val="00092F0C"/>
    <w:rsid w:val="00093D85"/>
    <w:rsid w:val="00096999"/>
    <w:rsid w:val="00096B40"/>
    <w:rsid w:val="000A2165"/>
    <w:rsid w:val="000A23AB"/>
    <w:rsid w:val="000A2DB0"/>
    <w:rsid w:val="000B00F4"/>
    <w:rsid w:val="000B2E50"/>
    <w:rsid w:val="000B5969"/>
    <w:rsid w:val="000B7368"/>
    <w:rsid w:val="000C1356"/>
    <w:rsid w:val="000C23DA"/>
    <w:rsid w:val="000C374B"/>
    <w:rsid w:val="000C5A10"/>
    <w:rsid w:val="000D358E"/>
    <w:rsid w:val="000E1E7B"/>
    <w:rsid w:val="000E2463"/>
    <w:rsid w:val="000E2F01"/>
    <w:rsid w:val="000E4295"/>
    <w:rsid w:val="000E4A51"/>
    <w:rsid w:val="000E4FDE"/>
    <w:rsid w:val="000F04A2"/>
    <w:rsid w:val="000F1288"/>
    <w:rsid w:val="000F151E"/>
    <w:rsid w:val="000F2768"/>
    <w:rsid w:val="000F28EC"/>
    <w:rsid w:val="000F2E00"/>
    <w:rsid w:val="000F38E2"/>
    <w:rsid w:val="00100825"/>
    <w:rsid w:val="00101401"/>
    <w:rsid w:val="0010482C"/>
    <w:rsid w:val="00110B86"/>
    <w:rsid w:val="00111317"/>
    <w:rsid w:val="00111CAF"/>
    <w:rsid w:val="001138FC"/>
    <w:rsid w:val="00114D12"/>
    <w:rsid w:val="00116DC4"/>
    <w:rsid w:val="0012080C"/>
    <w:rsid w:val="00121CD6"/>
    <w:rsid w:val="001224DA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F0EB8"/>
    <w:rsid w:val="001F689E"/>
    <w:rsid w:val="00200772"/>
    <w:rsid w:val="002009A5"/>
    <w:rsid w:val="00200FDC"/>
    <w:rsid w:val="002020C7"/>
    <w:rsid w:val="00204478"/>
    <w:rsid w:val="00204C86"/>
    <w:rsid w:val="00204CEE"/>
    <w:rsid w:val="00205201"/>
    <w:rsid w:val="00206CB9"/>
    <w:rsid w:val="002114D6"/>
    <w:rsid w:val="002137B2"/>
    <w:rsid w:val="0022189C"/>
    <w:rsid w:val="00223DEF"/>
    <w:rsid w:val="0022445E"/>
    <w:rsid w:val="0022584D"/>
    <w:rsid w:val="00227DA2"/>
    <w:rsid w:val="00235CB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253C"/>
    <w:rsid w:val="002B4554"/>
    <w:rsid w:val="002B514E"/>
    <w:rsid w:val="002B518B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13A9"/>
    <w:rsid w:val="002F4C59"/>
    <w:rsid w:val="003026B4"/>
    <w:rsid w:val="00303224"/>
    <w:rsid w:val="0031298B"/>
    <w:rsid w:val="00320439"/>
    <w:rsid w:val="00325679"/>
    <w:rsid w:val="00335D5D"/>
    <w:rsid w:val="00340173"/>
    <w:rsid w:val="00340945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5C60"/>
    <w:rsid w:val="00386701"/>
    <w:rsid w:val="00390FDE"/>
    <w:rsid w:val="0039209A"/>
    <w:rsid w:val="00395135"/>
    <w:rsid w:val="00396C2B"/>
    <w:rsid w:val="003A0303"/>
    <w:rsid w:val="003A04F6"/>
    <w:rsid w:val="003A2D79"/>
    <w:rsid w:val="003A3B4D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3055C"/>
    <w:rsid w:val="004311BE"/>
    <w:rsid w:val="00434187"/>
    <w:rsid w:val="00434B5E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E0BA7"/>
    <w:rsid w:val="004E0C62"/>
    <w:rsid w:val="004E17C5"/>
    <w:rsid w:val="004E3FCD"/>
    <w:rsid w:val="004E77B1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B9E"/>
    <w:rsid w:val="005524CF"/>
    <w:rsid w:val="00552BD6"/>
    <w:rsid w:val="0055414F"/>
    <w:rsid w:val="0055473A"/>
    <w:rsid w:val="00554A09"/>
    <w:rsid w:val="0055516A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A9C"/>
    <w:rsid w:val="005C660C"/>
    <w:rsid w:val="005D1410"/>
    <w:rsid w:val="005D2012"/>
    <w:rsid w:val="005D2569"/>
    <w:rsid w:val="005D3D25"/>
    <w:rsid w:val="005D739B"/>
    <w:rsid w:val="005D7BBC"/>
    <w:rsid w:val="005E0919"/>
    <w:rsid w:val="005E34D4"/>
    <w:rsid w:val="005F179A"/>
    <w:rsid w:val="005F3D85"/>
    <w:rsid w:val="005F4E73"/>
    <w:rsid w:val="005F5F11"/>
    <w:rsid w:val="00601EA6"/>
    <w:rsid w:val="006056EB"/>
    <w:rsid w:val="00607DC2"/>
    <w:rsid w:val="0061144A"/>
    <w:rsid w:val="006130C7"/>
    <w:rsid w:val="006164F7"/>
    <w:rsid w:val="0062524E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5F3"/>
    <w:rsid w:val="0065064B"/>
    <w:rsid w:val="0065159B"/>
    <w:rsid w:val="0065537E"/>
    <w:rsid w:val="00655A13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C5B"/>
    <w:rsid w:val="00693E26"/>
    <w:rsid w:val="00694BBE"/>
    <w:rsid w:val="006A005D"/>
    <w:rsid w:val="006A1648"/>
    <w:rsid w:val="006A3097"/>
    <w:rsid w:val="006A57B5"/>
    <w:rsid w:val="006A79AF"/>
    <w:rsid w:val="006B028D"/>
    <w:rsid w:val="006B1FE7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16A24"/>
    <w:rsid w:val="00722156"/>
    <w:rsid w:val="00722857"/>
    <w:rsid w:val="007234FE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57AF"/>
    <w:rsid w:val="0075496D"/>
    <w:rsid w:val="00762743"/>
    <w:rsid w:val="007671B6"/>
    <w:rsid w:val="00767ABD"/>
    <w:rsid w:val="00781FD8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F59"/>
    <w:rsid w:val="008061A0"/>
    <w:rsid w:val="008063CD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35AE"/>
    <w:rsid w:val="008B544C"/>
    <w:rsid w:val="008B7F9A"/>
    <w:rsid w:val="008C1861"/>
    <w:rsid w:val="008D1D2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90284D"/>
    <w:rsid w:val="009033C1"/>
    <w:rsid w:val="00903DB0"/>
    <w:rsid w:val="00904471"/>
    <w:rsid w:val="0090600E"/>
    <w:rsid w:val="00910C31"/>
    <w:rsid w:val="009128CE"/>
    <w:rsid w:val="009132B2"/>
    <w:rsid w:val="00915740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637"/>
    <w:rsid w:val="00970CFF"/>
    <w:rsid w:val="00972475"/>
    <w:rsid w:val="00977BE5"/>
    <w:rsid w:val="0098235E"/>
    <w:rsid w:val="0098238E"/>
    <w:rsid w:val="00987D98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1007"/>
    <w:rsid w:val="009C4A21"/>
    <w:rsid w:val="009C4CAA"/>
    <w:rsid w:val="009D21E5"/>
    <w:rsid w:val="009D3B70"/>
    <w:rsid w:val="009D3BF0"/>
    <w:rsid w:val="009D5D4C"/>
    <w:rsid w:val="009D7424"/>
    <w:rsid w:val="009E3A8A"/>
    <w:rsid w:val="009F219B"/>
    <w:rsid w:val="009F23C4"/>
    <w:rsid w:val="009F3257"/>
    <w:rsid w:val="009F4CCF"/>
    <w:rsid w:val="009F7868"/>
    <w:rsid w:val="009F79C3"/>
    <w:rsid w:val="00A0019F"/>
    <w:rsid w:val="00A00707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3D2C"/>
    <w:rsid w:val="00A363B6"/>
    <w:rsid w:val="00A46BF5"/>
    <w:rsid w:val="00A5157B"/>
    <w:rsid w:val="00A64126"/>
    <w:rsid w:val="00A650E3"/>
    <w:rsid w:val="00A65AE6"/>
    <w:rsid w:val="00A67867"/>
    <w:rsid w:val="00A74D2D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A2682"/>
    <w:rsid w:val="00AA4572"/>
    <w:rsid w:val="00AA4EF0"/>
    <w:rsid w:val="00AA6F09"/>
    <w:rsid w:val="00AB00B9"/>
    <w:rsid w:val="00AB2467"/>
    <w:rsid w:val="00AB2C38"/>
    <w:rsid w:val="00AB6348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B30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83"/>
    <w:rsid w:val="00BC1565"/>
    <w:rsid w:val="00BC2D38"/>
    <w:rsid w:val="00BC71D9"/>
    <w:rsid w:val="00BC782D"/>
    <w:rsid w:val="00BC7AD1"/>
    <w:rsid w:val="00BD07AE"/>
    <w:rsid w:val="00BD2954"/>
    <w:rsid w:val="00BD32D0"/>
    <w:rsid w:val="00BD49B1"/>
    <w:rsid w:val="00BD4D2F"/>
    <w:rsid w:val="00BD5226"/>
    <w:rsid w:val="00BD5468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4EFE"/>
    <w:rsid w:val="00C54FC5"/>
    <w:rsid w:val="00C5535F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1CBA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06BD1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90874"/>
    <w:rsid w:val="00D909AE"/>
    <w:rsid w:val="00D93CA5"/>
    <w:rsid w:val="00D971E9"/>
    <w:rsid w:val="00D97431"/>
    <w:rsid w:val="00DA0120"/>
    <w:rsid w:val="00DA0E64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DF72E5"/>
    <w:rsid w:val="00E017B3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2BF3"/>
    <w:rsid w:val="00E43810"/>
    <w:rsid w:val="00E43BD9"/>
    <w:rsid w:val="00E43C4B"/>
    <w:rsid w:val="00E53376"/>
    <w:rsid w:val="00E5449A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2563"/>
    <w:rsid w:val="00F42A79"/>
    <w:rsid w:val="00F437BE"/>
    <w:rsid w:val="00F456C3"/>
    <w:rsid w:val="00F46A87"/>
    <w:rsid w:val="00F50BEE"/>
    <w:rsid w:val="00F522B5"/>
    <w:rsid w:val="00F534F6"/>
    <w:rsid w:val="00F53D03"/>
    <w:rsid w:val="00F65FB0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B2D1A"/>
    <w:rsid w:val="00FB50D9"/>
    <w:rsid w:val="00FC05DA"/>
    <w:rsid w:val="00FC0757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5AB0-6CF4-4768-9BEA-1AC33DFE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21</Pages>
  <Words>2506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04 Rectoria</cp:lastModifiedBy>
  <cp:revision>458</cp:revision>
  <cp:lastPrinted>2020-01-08T01:34:00Z</cp:lastPrinted>
  <dcterms:created xsi:type="dcterms:W3CDTF">2018-01-08T17:19:00Z</dcterms:created>
  <dcterms:modified xsi:type="dcterms:W3CDTF">2020-01-09T16:39:00Z</dcterms:modified>
</cp:coreProperties>
</file>