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42" w:rsidRPr="00482568" w:rsidRDefault="00943B53" w:rsidP="00482568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680588" w:rsidRPr="00680588" w:rsidRDefault="00680588" w:rsidP="00680588">
      <w:pPr>
        <w:jc w:val="both"/>
        <w:rPr>
          <w:rFonts w:cstheme="minorHAnsi"/>
        </w:rPr>
      </w:pPr>
      <w:r w:rsidRPr="00680588">
        <w:rPr>
          <w:rFonts w:cstheme="minorHAnsi"/>
        </w:rPr>
        <w:t>Este tomo presenta la información contable, presupuestaria y programática consolidada del Instituto de Acceso a la Información Pública y Protección de Datos Personales del Estado de Tlaxcala, e</w:t>
      </w:r>
      <w:r w:rsidR="00431CEE" w:rsidRPr="00680588">
        <w:rPr>
          <w:rFonts w:cstheme="minorHAnsi"/>
        </w:rPr>
        <w:t xml:space="preserve">n cumplimiento a la Ley General de Contabilidad Gubernamental en su artículo 53, que establece que la Cuenta Pública del Gobierno Federal y las de </w:t>
      </w:r>
      <w:r w:rsidR="002F752A" w:rsidRPr="00680588">
        <w:rPr>
          <w:rFonts w:cstheme="minorHAnsi"/>
        </w:rPr>
        <w:t>las entidades federativas</w:t>
      </w:r>
      <w:r w:rsidR="00431CEE" w:rsidRPr="00680588">
        <w:rPr>
          <w:rFonts w:cstheme="minorHAnsi"/>
        </w:rPr>
        <w:t xml:space="preserve"> deberá atender en su cobertura a lo establ</w:t>
      </w:r>
      <w:r w:rsidRPr="00680588">
        <w:rPr>
          <w:rFonts w:cstheme="minorHAnsi"/>
        </w:rPr>
        <w:t>ecido en su marco legal vigente</w:t>
      </w:r>
      <w:bookmarkStart w:id="0" w:name="_GoBack"/>
      <w:bookmarkEnd w:id="0"/>
      <w:r w:rsidRPr="00680588">
        <w:rPr>
          <w:rFonts w:cstheme="minorHAnsi"/>
        </w:rPr>
        <w:t>.</w:t>
      </w:r>
    </w:p>
    <w:p w:rsidR="00431CEE" w:rsidRPr="00680588" w:rsidRDefault="00431CEE" w:rsidP="00680588">
      <w:pPr>
        <w:jc w:val="both"/>
        <w:rPr>
          <w:rFonts w:cstheme="minorHAnsi"/>
        </w:rPr>
      </w:pPr>
      <w:r w:rsidRPr="00680588">
        <w:rPr>
          <w:rFonts w:cstheme="minorHAnsi"/>
        </w:rPr>
        <w:t xml:space="preserve">De conformidad con el Acuerdo por el que se armoniza la estructura de las cuentas públicas y atendiendo a la </w:t>
      </w:r>
      <w:r w:rsidR="00680588">
        <w:rPr>
          <w:rFonts w:cstheme="minorHAnsi"/>
        </w:rPr>
        <w:t>n</w:t>
      </w:r>
      <w:r w:rsidRPr="00680588">
        <w:rPr>
          <w:rFonts w:cstheme="minorHAnsi"/>
        </w:rPr>
        <w:t xml:space="preserve">ormatividad </w:t>
      </w:r>
      <w:r w:rsidR="002F752A" w:rsidRPr="00680588">
        <w:rPr>
          <w:rFonts w:cstheme="minorHAnsi"/>
        </w:rPr>
        <w:t>aplicable</w:t>
      </w:r>
      <w:r w:rsidRPr="00680588">
        <w:rPr>
          <w:rFonts w:cstheme="minorHAnsi"/>
        </w:rPr>
        <w:t>, la información contable que se presenta, es la siguiente: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 xml:space="preserve">Estado de </w:t>
      </w:r>
      <w:r w:rsidR="00680588">
        <w:rPr>
          <w:rFonts w:cstheme="minorHAnsi"/>
        </w:rPr>
        <w:t>actividades</w:t>
      </w:r>
      <w:r w:rsidRPr="00680588">
        <w:rPr>
          <w:rFonts w:cstheme="minorHAnsi"/>
        </w:rPr>
        <w:t>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de</w:t>
      </w:r>
      <w:r w:rsidR="00680588">
        <w:rPr>
          <w:rFonts w:cstheme="minorHAnsi"/>
        </w:rPr>
        <w:t xml:space="preserve"> situación financiera</w:t>
      </w:r>
      <w:r w:rsidRPr="00680588">
        <w:rPr>
          <w:rFonts w:cstheme="minorHAnsi"/>
        </w:rPr>
        <w:t>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de variación en la hacienda pública;</w:t>
      </w:r>
    </w:p>
    <w:p w:rsidR="00431CEE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de cambios en la situación financiera;</w:t>
      </w:r>
    </w:p>
    <w:p w:rsidR="00680588" w:rsidRPr="00680588" w:rsidRDefault="00680588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Estado de flujos de efectivo;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Informes sobre pasivos contingentes;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Notas a los estados financieros;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analítico del activo;</w:t>
      </w:r>
      <w:r w:rsidR="00680588">
        <w:rPr>
          <w:rFonts w:cstheme="minorHAnsi"/>
        </w:rPr>
        <w:t xml:space="preserve"> e</w:t>
      </w:r>
    </w:p>
    <w:p w:rsidR="00431CEE" w:rsidRPr="00680588" w:rsidRDefault="00431CEE" w:rsidP="00431CE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 xml:space="preserve">Estado analítico de la deuda y otros pasivos; y </w:t>
      </w:r>
    </w:p>
    <w:p w:rsidR="00431CEE" w:rsidRPr="00680588" w:rsidRDefault="00431CEE" w:rsidP="00431CEE">
      <w:pPr>
        <w:autoSpaceDE w:val="0"/>
        <w:autoSpaceDN w:val="0"/>
        <w:adjustRightInd w:val="0"/>
        <w:spacing w:before="80"/>
        <w:jc w:val="both"/>
        <w:rPr>
          <w:rFonts w:cstheme="minorHAnsi"/>
        </w:rPr>
      </w:pPr>
      <w:r w:rsidRPr="00680588">
        <w:rPr>
          <w:rFonts w:cstheme="minorHAnsi"/>
        </w:rPr>
        <w:t>Por su parte la información presupuestal consolidada que se presenta es la siguiente:</w:t>
      </w:r>
    </w:p>
    <w:p w:rsidR="00431CEE" w:rsidRPr="00680588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analítico de ingresos;</w:t>
      </w:r>
    </w:p>
    <w:p w:rsidR="00431CEE" w:rsidRPr="00680588" w:rsidRDefault="00431CEE" w:rsidP="00431CE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Estado analítico del ejercicio del presupuesto de egresos con las siguientes clasificaciones:</w:t>
      </w:r>
    </w:p>
    <w:p w:rsidR="00431CEE" w:rsidRPr="00777C5C" w:rsidRDefault="00777C5C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jc w:val="both"/>
        <w:rPr>
          <w:rFonts w:cstheme="minorHAnsi"/>
        </w:rPr>
      </w:pPr>
      <w:r>
        <w:rPr>
          <w:rFonts w:cstheme="minorHAnsi"/>
        </w:rPr>
        <w:t>A</w:t>
      </w:r>
      <w:r w:rsidR="00431CEE" w:rsidRPr="00777C5C">
        <w:rPr>
          <w:rFonts w:cstheme="minorHAnsi"/>
        </w:rPr>
        <w:t>dministrativa;</w:t>
      </w:r>
    </w:p>
    <w:p w:rsidR="00777C5C" w:rsidRDefault="00431CEE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 xml:space="preserve">Económica </w:t>
      </w:r>
    </w:p>
    <w:p w:rsidR="00431CEE" w:rsidRPr="00680588" w:rsidRDefault="00777C5C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contextualSpacing w:val="0"/>
        <w:jc w:val="both"/>
        <w:rPr>
          <w:rFonts w:cstheme="minorHAnsi"/>
        </w:rPr>
      </w:pPr>
      <w:r>
        <w:rPr>
          <w:rFonts w:cstheme="minorHAnsi"/>
        </w:rPr>
        <w:t>P</w:t>
      </w:r>
      <w:r w:rsidR="00431CEE" w:rsidRPr="00680588">
        <w:rPr>
          <w:rFonts w:cstheme="minorHAnsi"/>
        </w:rPr>
        <w:t>or objeto del gasto, y</w:t>
      </w:r>
    </w:p>
    <w:p w:rsidR="00431CEE" w:rsidRDefault="00777C5C" w:rsidP="00777C5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Funcional.</w:t>
      </w:r>
    </w:p>
    <w:p w:rsidR="00777C5C" w:rsidRDefault="00777C5C" w:rsidP="00777C5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cstheme="minorHAnsi"/>
        </w:rPr>
      </w:pPr>
      <w:r>
        <w:rPr>
          <w:rFonts w:cstheme="minorHAnsi"/>
        </w:rPr>
        <w:t>Endeudamiento neto;</w:t>
      </w:r>
    </w:p>
    <w:p w:rsidR="00777C5C" w:rsidRDefault="00B751A4" w:rsidP="00777C5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cstheme="minorHAnsi"/>
        </w:rPr>
      </w:pPr>
      <w:r>
        <w:rPr>
          <w:rFonts w:cstheme="minorHAnsi"/>
        </w:rPr>
        <w:lastRenderedPageBreak/>
        <w:t>Intereses de la deuda, y</w:t>
      </w:r>
    </w:p>
    <w:p w:rsidR="00431CEE" w:rsidRPr="00B751A4" w:rsidRDefault="00B751A4" w:rsidP="008D5A7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B751A4">
        <w:rPr>
          <w:rFonts w:cstheme="minorHAnsi"/>
        </w:rPr>
        <w:t>Un Flujo de fondos que resuma todas las operaciones;</w:t>
      </w:r>
    </w:p>
    <w:p w:rsidR="00431CEE" w:rsidRPr="00680588" w:rsidRDefault="00431CEE" w:rsidP="00431CEE">
      <w:pPr>
        <w:autoSpaceDE w:val="0"/>
        <w:autoSpaceDN w:val="0"/>
        <w:adjustRightInd w:val="0"/>
        <w:spacing w:before="80"/>
        <w:jc w:val="both"/>
        <w:rPr>
          <w:rFonts w:cstheme="minorHAnsi"/>
        </w:rPr>
      </w:pPr>
      <w:r w:rsidRPr="00680588">
        <w:rPr>
          <w:rFonts w:cstheme="minorHAnsi"/>
        </w:rPr>
        <w:t>La información programática consolidada que se presenta es la siguiente:</w:t>
      </w:r>
    </w:p>
    <w:p w:rsidR="00431CEE" w:rsidRDefault="00431CEE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 w:rsidRPr="00680588">
        <w:rPr>
          <w:rFonts w:cstheme="minorHAnsi"/>
        </w:rPr>
        <w:t>Gasto por Categoría Programátic</w:t>
      </w:r>
      <w:r w:rsidR="00B751A4">
        <w:rPr>
          <w:rFonts w:cstheme="minorHAnsi"/>
        </w:rPr>
        <w:t>a;</w:t>
      </w:r>
    </w:p>
    <w:p w:rsidR="00B751A4" w:rsidRDefault="00B751A4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Programas y proyectos de inversión, y </w:t>
      </w:r>
    </w:p>
    <w:p w:rsidR="00B751A4" w:rsidRDefault="00B751A4" w:rsidP="00431CEE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Indicadores de resultados, y</w:t>
      </w:r>
    </w:p>
    <w:p w:rsidR="00B751A4" w:rsidRPr="00680588" w:rsidRDefault="00B751A4" w:rsidP="00B751A4">
      <w:pPr>
        <w:pStyle w:val="Prrafodelista"/>
        <w:autoSpaceDE w:val="0"/>
        <w:autoSpaceDN w:val="0"/>
        <w:adjustRightInd w:val="0"/>
        <w:spacing w:before="80" w:after="0"/>
        <w:contextualSpacing w:val="0"/>
        <w:jc w:val="both"/>
        <w:rPr>
          <w:rFonts w:cstheme="minorHAnsi"/>
        </w:rPr>
      </w:pPr>
    </w:p>
    <w:p w:rsidR="00943B53" w:rsidRPr="00680588" w:rsidRDefault="00943B53" w:rsidP="00431CEE">
      <w:pPr>
        <w:jc w:val="both"/>
        <w:rPr>
          <w:rFonts w:cstheme="minorHAnsi"/>
        </w:rPr>
      </w:pPr>
      <w:r w:rsidRPr="00680588">
        <w:rPr>
          <w:rFonts w:cstheme="minorHAnsi"/>
        </w:rPr>
        <w:t>Dentro de las atribu</w:t>
      </w:r>
      <w:r w:rsidR="00954CE4" w:rsidRPr="00680588">
        <w:rPr>
          <w:rFonts w:cstheme="minorHAnsi"/>
        </w:rPr>
        <w:t>ciones que la ley le confiere a</w:t>
      </w:r>
      <w:r w:rsidRPr="00680588">
        <w:rPr>
          <w:rFonts w:cstheme="minorHAnsi"/>
        </w:rPr>
        <w:t xml:space="preserve">l </w:t>
      </w:r>
      <w:r w:rsidR="00954CE4" w:rsidRPr="00680588">
        <w:rPr>
          <w:rFonts w:cstheme="minorHAnsi"/>
        </w:rPr>
        <w:t>Instituto</w:t>
      </w:r>
      <w:r w:rsidRPr="00680588">
        <w:rPr>
          <w:rFonts w:cstheme="minorHAnsi"/>
        </w:rPr>
        <w:t xml:space="preserve"> de Acceso a la Información Pública y Protección de Datos Personales del Estado de Tlaxcala está la de garantizar el derecho de acceso a la información pública y la protección de datos personales.</w:t>
      </w:r>
    </w:p>
    <w:p w:rsidR="00943B53" w:rsidRPr="00680588" w:rsidRDefault="00943B53" w:rsidP="00431CEE">
      <w:pPr>
        <w:jc w:val="both"/>
        <w:rPr>
          <w:rFonts w:cstheme="minorHAnsi"/>
        </w:rPr>
      </w:pPr>
      <w:r w:rsidRPr="00680588">
        <w:rPr>
          <w:rFonts w:cstheme="minorHAnsi"/>
        </w:rPr>
        <w:t>La construcción permanente de una cultura democrática tiene como retos la revaloración de la dimensión ética de la política –entendida como coherencia personal y testimonio-,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943B53" w:rsidRPr="00680588" w:rsidRDefault="00943B53" w:rsidP="00431CEE">
      <w:pPr>
        <w:jc w:val="both"/>
        <w:rPr>
          <w:rFonts w:cstheme="minorHAnsi"/>
        </w:rPr>
      </w:pPr>
      <w:r w:rsidRPr="00680588">
        <w:rPr>
          <w:rFonts w:cstheme="minorHAnsi"/>
        </w:rPr>
        <w:t>La falta de transparencia y de voluntad política de los sectores de la sociedad –públicos o privados-,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056042" w:rsidRPr="00680588" w:rsidRDefault="00954CE4" w:rsidP="00482568">
      <w:pPr>
        <w:jc w:val="both"/>
        <w:rPr>
          <w:rFonts w:cstheme="minorHAnsi"/>
        </w:rPr>
      </w:pPr>
      <w:r w:rsidRPr="00680588">
        <w:rPr>
          <w:rFonts w:cstheme="minorHAnsi"/>
        </w:rPr>
        <w:t xml:space="preserve">El Instituto </w:t>
      </w:r>
      <w:r w:rsidR="00943B53" w:rsidRPr="00680588">
        <w:rPr>
          <w:rFonts w:cstheme="minorHAnsi"/>
        </w:rPr>
        <w:t>de Acceso a la Información pública y Protección de Datos Personales del Estado de Tlaxcala se rige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 Acceso a la Información P</w:t>
      </w:r>
      <w:r w:rsidR="00AB22A9">
        <w:rPr>
          <w:rFonts w:cstheme="minorHAnsi"/>
        </w:rPr>
        <w:t>ú</w:t>
      </w:r>
      <w:r w:rsidR="00943B53" w:rsidRPr="00680588">
        <w:rPr>
          <w:rFonts w:cstheme="minorHAnsi"/>
        </w:rPr>
        <w:t>blica y de la Protección de Datos Personales, mediante el conocimiento de las Leyes en la Materia, promoviendo con la sociedad los valores de la transparencia y de protección de Datos Personales. Lo anterior en el marco de las reformas cons</w:t>
      </w:r>
      <w:r w:rsidR="00AB22A9">
        <w:rPr>
          <w:rFonts w:cstheme="minorHAnsi"/>
        </w:rPr>
        <w:t>t</w:t>
      </w:r>
      <w:r w:rsidR="00943B53" w:rsidRPr="00680588">
        <w:rPr>
          <w:rFonts w:cstheme="minorHAnsi"/>
        </w:rPr>
        <w:t>itucionales en materia de Transparencia aprobadas por el Congreso de la Unión el</w:t>
      </w:r>
      <w:r w:rsidRPr="00680588">
        <w:rPr>
          <w:rFonts w:cstheme="minorHAnsi"/>
        </w:rPr>
        <w:t xml:space="preserve"> pasado 7 de febrero de  2015</w:t>
      </w:r>
      <w:r w:rsidR="00943B53" w:rsidRPr="00680588">
        <w:rPr>
          <w:rFonts w:cstheme="minorHAnsi"/>
        </w:rPr>
        <w:t>, la cual tiene por objeto primordial el establecimiento de un Sistema Nacional de Transparencia la cual a través de una Ley de carácter General, busca dotar de mayores facultades a los Órganos Garantes Locales, la cual persigue se considere como base del presupuesto de cada Órgano Garante, el ingreso per cápita del Estado, a fin de asegurar el cumplimiento de sus obligaciones y su buen funcionamiento y determinar sobre su organización interna.</w:t>
      </w:r>
    </w:p>
    <w:sectPr w:rsidR="00056042" w:rsidRPr="0068058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6A0" w:rsidRDefault="002766A0" w:rsidP="00EA5418">
      <w:pPr>
        <w:spacing w:after="0" w:line="240" w:lineRule="auto"/>
      </w:pPr>
      <w:r>
        <w:separator/>
      </w:r>
    </w:p>
  </w:endnote>
  <w:endnote w:type="continuationSeparator" w:id="0">
    <w:p w:rsidR="002766A0" w:rsidRDefault="002766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766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431CEE">
      <w:rPr>
        <w:rFonts w:ascii="Soberana Sans Light" w:hAnsi="Soberana Sans Light"/>
      </w:rPr>
      <w:t>Int</w:t>
    </w:r>
    <w:r w:rsidR="00056042">
      <w:rPr>
        <w:rFonts w:ascii="Soberana Sans Light" w:hAnsi="Soberana Sans Light"/>
      </w:rPr>
      <w:t>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024C9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024C9" w:rsidRPr="0013011C">
          <w:rPr>
            <w:rFonts w:ascii="Soberana Sans Light" w:hAnsi="Soberana Sans Light"/>
          </w:rPr>
          <w:fldChar w:fldCharType="separate"/>
        </w:r>
        <w:r w:rsidR="000A0735" w:rsidRPr="000A0735">
          <w:rPr>
            <w:rFonts w:ascii="Soberana Sans Light" w:hAnsi="Soberana Sans Light"/>
            <w:noProof/>
            <w:lang w:val="es-ES"/>
          </w:rPr>
          <w:t>2</w:t>
        </w:r>
        <w:r w:rsidR="00C024C9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766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024C9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024C9" w:rsidRPr="008E3652">
          <w:rPr>
            <w:rFonts w:ascii="Soberana Sans Light" w:hAnsi="Soberana Sans Light"/>
          </w:rPr>
          <w:fldChar w:fldCharType="separate"/>
        </w:r>
        <w:r w:rsidR="000A0735" w:rsidRPr="000A0735">
          <w:rPr>
            <w:rFonts w:ascii="Soberana Sans Light" w:hAnsi="Soberana Sans Light"/>
            <w:noProof/>
            <w:lang w:val="es-ES"/>
          </w:rPr>
          <w:t>1</w:t>
        </w:r>
        <w:r w:rsidR="00C024C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6A0" w:rsidRDefault="002766A0" w:rsidP="00EA5418">
      <w:pPr>
        <w:spacing w:after="0" w:line="240" w:lineRule="auto"/>
      </w:pPr>
      <w:r>
        <w:separator/>
      </w:r>
    </w:p>
  </w:footnote>
  <w:footnote w:type="continuationSeparator" w:id="0">
    <w:p w:rsidR="002766A0" w:rsidRDefault="002766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766A0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766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B054D5"/>
    <w:multiLevelType w:val="hybridMultilevel"/>
    <w:tmpl w:val="ED7C7262"/>
    <w:lvl w:ilvl="0" w:tplc="43163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5AEE"/>
    <w:rsid w:val="00056042"/>
    <w:rsid w:val="000A0735"/>
    <w:rsid w:val="000A202D"/>
    <w:rsid w:val="0013011C"/>
    <w:rsid w:val="001646D9"/>
    <w:rsid w:val="001B1B72"/>
    <w:rsid w:val="001C3517"/>
    <w:rsid w:val="00274572"/>
    <w:rsid w:val="002766A0"/>
    <w:rsid w:val="002865A7"/>
    <w:rsid w:val="002A70B3"/>
    <w:rsid w:val="002E5897"/>
    <w:rsid w:val="002F752A"/>
    <w:rsid w:val="00307635"/>
    <w:rsid w:val="003207F8"/>
    <w:rsid w:val="00355821"/>
    <w:rsid w:val="003575A4"/>
    <w:rsid w:val="003610E0"/>
    <w:rsid w:val="00372F40"/>
    <w:rsid w:val="003D5DBF"/>
    <w:rsid w:val="003E7FD0"/>
    <w:rsid w:val="00431CEE"/>
    <w:rsid w:val="0044253C"/>
    <w:rsid w:val="00465BB8"/>
    <w:rsid w:val="00482568"/>
    <w:rsid w:val="00486AE1"/>
    <w:rsid w:val="00497D8B"/>
    <w:rsid w:val="004A4CC7"/>
    <w:rsid w:val="004D41B8"/>
    <w:rsid w:val="00502D8E"/>
    <w:rsid w:val="005117F4"/>
    <w:rsid w:val="00522632"/>
    <w:rsid w:val="00531310"/>
    <w:rsid w:val="00534982"/>
    <w:rsid w:val="005352F5"/>
    <w:rsid w:val="00540418"/>
    <w:rsid w:val="00582405"/>
    <w:rsid w:val="005859FA"/>
    <w:rsid w:val="005D278A"/>
    <w:rsid w:val="006048D2"/>
    <w:rsid w:val="00611E39"/>
    <w:rsid w:val="00680588"/>
    <w:rsid w:val="006A5FCA"/>
    <w:rsid w:val="006B729B"/>
    <w:rsid w:val="006E6B8E"/>
    <w:rsid w:val="006E77DD"/>
    <w:rsid w:val="00777C5C"/>
    <w:rsid w:val="0079582C"/>
    <w:rsid w:val="007A074A"/>
    <w:rsid w:val="007D6E9A"/>
    <w:rsid w:val="00850E90"/>
    <w:rsid w:val="008A6E4D"/>
    <w:rsid w:val="008B0017"/>
    <w:rsid w:val="008D4272"/>
    <w:rsid w:val="008E3652"/>
    <w:rsid w:val="00943B53"/>
    <w:rsid w:val="00946059"/>
    <w:rsid w:val="00954CE4"/>
    <w:rsid w:val="009E7E84"/>
    <w:rsid w:val="00A14B74"/>
    <w:rsid w:val="00A21A6B"/>
    <w:rsid w:val="00AB13B7"/>
    <w:rsid w:val="00AB22A9"/>
    <w:rsid w:val="00B17423"/>
    <w:rsid w:val="00B42A02"/>
    <w:rsid w:val="00B751A4"/>
    <w:rsid w:val="00B849EE"/>
    <w:rsid w:val="00C024C9"/>
    <w:rsid w:val="00C12D94"/>
    <w:rsid w:val="00C44F01"/>
    <w:rsid w:val="00C82F65"/>
    <w:rsid w:val="00C9167A"/>
    <w:rsid w:val="00CA2D37"/>
    <w:rsid w:val="00CC5CB6"/>
    <w:rsid w:val="00CE1DD7"/>
    <w:rsid w:val="00D055EC"/>
    <w:rsid w:val="00D404ED"/>
    <w:rsid w:val="00D51261"/>
    <w:rsid w:val="00D748D3"/>
    <w:rsid w:val="00DD230F"/>
    <w:rsid w:val="00E32708"/>
    <w:rsid w:val="00EA5418"/>
    <w:rsid w:val="00F70AF8"/>
    <w:rsid w:val="00F96944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20933F0-08AA-432C-8448-E5E27D47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EA8C-152B-47F0-91D6-D4ED3600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28</cp:revision>
  <cp:lastPrinted>2014-10-24T01:42:00Z</cp:lastPrinted>
  <dcterms:created xsi:type="dcterms:W3CDTF">2014-09-01T14:30:00Z</dcterms:created>
  <dcterms:modified xsi:type="dcterms:W3CDTF">2019-10-16T15:39:00Z</dcterms:modified>
</cp:coreProperties>
</file>