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AA6498">
        <w:rPr>
          <w:rFonts w:ascii="Arial" w:hAnsi="Arial" w:cs="Arial"/>
          <w:sz w:val="18"/>
          <w:szCs w:val="18"/>
        </w:rPr>
        <w:t>3</w:t>
      </w:r>
      <w:r>
        <w:rPr>
          <w:rFonts w:ascii="Arial" w:hAnsi="Arial" w:cs="Arial"/>
          <w:sz w:val="18"/>
          <w:szCs w:val="18"/>
        </w:rPr>
        <w:t>,</w:t>
      </w:r>
      <w:r w:rsidR="00AA6498">
        <w:rPr>
          <w:rFonts w:ascii="Arial" w:hAnsi="Arial" w:cs="Arial"/>
          <w:sz w:val="18"/>
          <w:szCs w:val="18"/>
        </w:rPr>
        <w:t>943</w:t>
      </w:r>
      <w:r>
        <w:rPr>
          <w:rFonts w:ascii="Arial" w:hAnsi="Arial" w:cs="Arial"/>
          <w:sz w:val="18"/>
          <w:szCs w:val="18"/>
        </w:rPr>
        <w:t>,</w:t>
      </w:r>
      <w:r w:rsidR="00AA6498">
        <w:rPr>
          <w:rFonts w:ascii="Arial" w:hAnsi="Arial" w:cs="Arial"/>
          <w:sz w:val="18"/>
          <w:szCs w:val="18"/>
        </w:rPr>
        <w:t>226</w:t>
      </w:r>
      <w:r>
        <w:rPr>
          <w:rFonts w:ascii="Arial" w:hAnsi="Arial" w:cs="Arial"/>
          <w:sz w:val="18"/>
          <w:szCs w:val="18"/>
        </w:rPr>
        <w:t>,</w:t>
      </w:r>
      <w:r w:rsidR="00AA6498">
        <w:rPr>
          <w:rFonts w:ascii="Arial" w:hAnsi="Arial" w:cs="Arial"/>
          <w:sz w:val="18"/>
          <w:szCs w:val="18"/>
        </w:rPr>
        <w:t>142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A6498">
        <w:rPr>
          <w:rFonts w:ascii="Arial" w:hAnsi="Arial" w:cs="Arial"/>
          <w:sz w:val="18"/>
          <w:szCs w:val="18"/>
        </w:rPr>
        <w:t>Cuarto</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AA6498">
        <w:rPr>
          <w:rFonts w:ascii="Arial" w:hAnsi="Arial" w:cs="Arial"/>
          <w:sz w:val="18"/>
          <w:szCs w:val="18"/>
        </w:rPr>
        <w:t>80</w:t>
      </w:r>
      <w:r>
        <w:rPr>
          <w:rFonts w:ascii="Arial" w:hAnsi="Arial" w:cs="Arial"/>
          <w:sz w:val="18"/>
          <w:szCs w:val="18"/>
        </w:rPr>
        <w:t>,</w:t>
      </w:r>
      <w:r w:rsidR="00AA6498">
        <w:rPr>
          <w:rFonts w:ascii="Arial" w:hAnsi="Arial" w:cs="Arial"/>
          <w:sz w:val="18"/>
          <w:szCs w:val="18"/>
        </w:rPr>
        <w:t>630</w:t>
      </w:r>
      <w:r>
        <w:rPr>
          <w:rFonts w:ascii="Arial" w:hAnsi="Arial" w:cs="Arial"/>
          <w:sz w:val="18"/>
          <w:szCs w:val="18"/>
        </w:rPr>
        <w:t>,</w:t>
      </w:r>
      <w:r w:rsidR="00AA6498">
        <w:rPr>
          <w:rFonts w:ascii="Arial" w:hAnsi="Arial" w:cs="Arial"/>
          <w:sz w:val="18"/>
          <w:szCs w:val="18"/>
        </w:rPr>
        <w:t>968</w:t>
      </w:r>
      <w:r w:rsidRPr="0073056A">
        <w:rPr>
          <w:rFonts w:ascii="Arial" w:hAnsi="Arial" w:cs="Arial"/>
          <w:sz w:val="18"/>
          <w:szCs w:val="18"/>
        </w:rPr>
        <w:t xml:space="preserve"> que se tiene al cierre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1769D8">
        <w:rPr>
          <w:rFonts w:ascii="Arial" w:hAnsi="Arial" w:cs="Arial"/>
          <w:sz w:val="18"/>
          <w:szCs w:val="18"/>
        </w:rPr>
        <w:t>cuarto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Al cierre del 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582</w:t>
      </w:r>
      <w:r>
        <w:rPr>
          <w:rFonts w:ascii="Arial" w:hAnsi="Arial" w:cs="Arial"/>
          <w:sz w:val="18"/>
          <w:szCs w:val="18"/>
        </w:rPr>
        <w:t>,</w:t>
      </w:r>
      <w:r w:rsidR="001435CE">
        <w:rPr>
          <w:rFonts w:ascii="Arial" w:hAnsi="Arial" w:cs="Arial"/>
          <w:sz w:val="18"/>
          <w:szCs w:val="18"/>
        </w:rPr>
        <w:t>659</w:t>
      </w:r>
      <w:r>
        <w:rPr>
          <w:rFonts w:ascii="Arial" w:hAnsi="Arial" w:cs="Arial"/>
          <w:sz w:val="18"/>
          <w:szCs w:val="18"/>
        </w:rPr>
        <w:t>,</w:t>
      </w:r>
      <w:r w:rsidR="001435CE">
        <w:rPr>
          <w:rFonts w:ascii="Arial" w:hAnsi="Arial" w:cs="Arial"/>
          <w:sz w:val="18"/>
          <w:szCs w:val="18"/>
        </w:rPr>
        <w:t>941</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669</w:t>
      </w:r>
      <w:r w:rsidRPr="00F619D6">
        <w:rPr>
          <w:rFonts w:ascii="Arial" w:hAnsi="Arial" w:cs="Arial"/>
          <w:sz w:val="18"/>
          <w:szCs w:val="18"/>
        </w:rPr>
        <w:t>,</w:t>
      </w:r>
      <w:r w:rsidR="001435CE">
        <w:rPr>
          <w:rFonts w:ascii="Arial" w:hAnsi="Arial" w:cs="Arial"/>
          <w:sz w:val="18"/>
          <w:szCs w:val="18"/>
        </w:rPr>
        <w:t>537</w:t>
      </w:r>
      <w:r w:rsidRPr="00F619D6">
        <w:rPr>
          <w:rFonts w:ascii="Arial" w:hAnsi="Arial" w:cs="Arial"/>
          <w:sz w:val="18"/>
          <w:szCs w:val="18"/>
        </w:rPr>
        <w:t>,</w:t>
      </w:r>
      <w:r w:rsidR="001435CE">
        <w:rPr>
          <w:rFonts w:ascii="Arial" w:hAnsi="Arial" w:cs="Arial"/>
          <w:sz w:val="18"/>
          <w:szCs w:val="18"/>
        </w:rPr>
        <w:t>123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435CE">
        <w:rPr>
          <w:rFonts w:ascii="Arial" w:hAnsi="Arial" w:cs="Arial"/>
          <w:sz w:val="18"/>
          <w:szCs w:val="18"/>
        </w:rPr>
        <w:t>diciembre</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556DC7">
        <w:rPr>
          <w:rFonts w:ascii="Arial" w:hAnsi="Arial" w:cs="Arial"/>
          <w:sz w:val="18"/>
          <w:szCs w:val="18"/>
        </w:rPr>
        <w:t>877</w:t>
      </w:r>
      <w:r>
        <w:rPr>
          <w:rFonts w:ascii="Arial" w:hAnsi="Arial" w:cs="Arial"/>
          <w:sz w:val="18"/>
          <w:szCs w:val="18"/>
        </w:rPr>
        <w:t>,</w:t>
      </w:r>
      <w:r w:rsidR="00556DC7">
        <w:rPr>
          <w:rFonts w:ascii="Arial" w:hAnsi="Arial" w:cs="Arial"/>
          <w:sz w:val="18"/>
          <w:szCs w:val="18"/>
        </w:rPr>
        <w:t>055</w:t>
      </w:r>
      <w:r>
        <w:rPr>
          <w:rFonts w:ascii="Arial" w:hAnsi="Arial" w:cs="Arial"/>
          <w:sz w:val="18"/>
          <w:szCs w:val="18"/>
        </w:rPr>
        <w:t>,</w:t>
      </w:r>
      <w:r w:rsidR="00556DC7">
        <w:rPr>
          <w:rFonts w:ascii="Arial" w:hAnsi="Arial" w:cs="Arial"/>
          <w:sz w:val="18"/>
          <w:szCs w:val="18"/>
        </w:rPr>
        <w:t>356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556DC7">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556DC7">
        <w:rPr>
          <w:rFonts w:ascii="Arial" w:hAnsi="Arial" w:cs="Arial"/>
          <w:sz w:val="18"/>
          <w:szCs w:val="18"/>
        </w:rPr>
        <w:t>23</w:t>
      </w:r>
      <w:r>
        <w:rPr>
          <w:rFonts w:ascii="Arial" w:hAnsi="Arial" w:cs="Arial"/>
          <w:sz w:val="18"/>
          <w:szCs w:val="18"/>
        </w:rPr>
        <w:t>,</w:t>
      </w:r>
      <w:r w:rsidR="00556DC7">
        <w:rPr>
          <w:rFonts w:ascii="Arial" w:hAnsi="Arial" w:cs="Arial"/>
          <w:sz w:val="18"/>
          <w:szCs w:val="18"/>
        </w:rPr>
        <w:t>250</w:t>
      </w:r>
      <w:r>
        <w:rPr>
          <w:rFonts w:ascii="Arial" w:hAnsi="Arial" w:cs="Arial"/>
          <w:sz w:val="18"/>
          <w:szCs w:val="18"/>
        </w:rPr>
        <w:t>,</w:t>
      </w:r>
      <w:r w:rsidR="00556DC7">
        <w:rPr>
          <w:rFonts w:ascii="Arial" w:hAnsi="Arial" w:cs="Arial"/>
          <w:sz w:val="18"/>
          <w:szCs w:val="18"/>
        </w:rPr>
        <w:t>070</w:t>
      </w:r>
      <w:r>
        <w:rPr>
          <w:rFonts w:ascii="Arial" w:hAnsi="Arial" w:cs="Arial"/>
          <w:sz w:val="18"/>
          <w:szCs w:val="18"/>
        </w:rPr>
        <w:t>,</w:t>
      </w:r>
      <w:r w:rsidR="00556DC7">
        <w:rPr>
          <w:rFonts w:ascii="Arial" w:hAnsi="Arial" w:cs="Arial"/>
          <w:sz w:val="18"/>
          <w:szCs w:val="18"/>
        </w:rPr>
        <w:t>289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556DC7">
        <w:rPr>
          <w:rFonts w:ascii="Arial" w:hAnsi="Arial" w:cs="Arial"/>
          <w:sz w:val="18"/>
          <w:szCs w:val="18"/>
        </w:rPr>
        <w:t>21</w:t>
      </w:r>
      <w:r>
        <w:rPr>
          <w:rFonts w:ascii="Arial" w:hAnsi="Arial" w:cs="Arial"/>
          <w:sz w:val="18"/>
          <w:szCs w:val="18"/>
        </w:rPr>
        <w:t>,</w:t>
      </w:r>
      <w:r w:rsidR="00556DC7">
        <w:rPr>
          <w:rFonts w:ascii="Arial" w:hAnsi="Arial" w:cs="Arial"/>
          <w:sz w:val="18"/>
          <w:szCs w:val="18"/>
        </w:rPr>
        <w:t>752</w:t>
      </w:r>
      <w:r>
        <w:rPr>
          <w:rFonts w:ascii="Arial" w:hAnsi="Arial" w:cs="Arial"/>
          <w:sz w:val="18"/>
          <w:szCs w:val="18"/>
        </w:rPr>
        <w:t>,</w:t>
      </w:r>
      <w:r w:rsidR="00556DC7">
        <w:rPr>
          <w:rFonts w:ascii="Arial" w:hAnsi="Arial" w:cs="Arial"/>
          <w:sz w:val="18"/>
          <w:szCs w:val="18"/>
        </w:rPr>
        <w:t>619</w:t>
      </w:r>
      <w:r>
        <w:rPr>
          <w:rFonts w:ascii="Arial" w:hAnsi="Arial" w:cs="Arial"/>
          <w:sz w:val="18"/>
          <w:szCs w:val="18"/>
        </w:rPr>
        <w:t>,</w:t>
      </w:r>
      <w:r w:rsidR="00556DC7">
        <w:rPr>
          <w:rFonts w:ascii="Arial" w:hAnsi="Arial" w:cs="Arial"/>
          <w:sz w:val="18"/>
          <w:szCs w:val="18"/>
        </w:rPr>
        <w:t>573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556DC7">
        <w:rPr>
          <w:rFonts w:ascii="Arial" w:hAnsi="Arial" w:cs="Arial"/>
          <w:sz w:val="18"/>
          <w:szCs w:val="18"/>
        </w:rPr>
        <w:t>497</w:t>
      </w:r>
      <w:r>
        <w:rPr>
          <w:rFonts w:ascii="Arial" w:hAnsi="Arial" w:cs="Arial"/>
          <w:sz w:val="18"/>
          <w:szCs w:val="18"/>
        </w:rPr>
        <w:t>,</w:t>
      </w:r>
      <w:r w:rsidR="00941FB8">
        <w:rPr>
          <w:rFonts w:ascii="Arial" w:hAnsi="Arial" w:cs="Arial"/>
          <w:sz w:val="18"/>
          <w:szCs w:val="18"/>
        </w:rPr>
        <w:t>45</w:t>
      </w:r>
      <w:r w:rsidR="00556DC7">
        <w:rPr>
          <w:rFonts w:ascii="Arial" w:hAnsi="Arial" w:cs="Arial"/>
          <w:sz w:val="18"/>
          <w:szCs w:val="18"/>
        </w:rPr>
        <w:t>0</w:t>
      </w:r>
      <w:r>
        <w:rPr>
          <w:rFonts w:ascii="Arial" w:hAnsi="Arial" w:cs="Arial"/>
          <w:sz w:val="18"/>
          <w:szCs w:val="18"/>
        </w:rPr>
        <w:t>,</w:t>
      </w:r>
      <w:r w:rsidR="00941FB8">
        <w:rPr>
          <w:rFonts w:ascii="Arial" w:hAnsi="Arial" w:cs="Arial"/>
          <w:sz w:val="18"/>
          <w:szCs w:val="18"/>
        </w:rPr>
        <w:t>7</w:t>
      </w:r>
      <w:r w:rsidR="00556DC7">
        <w:rPr>
          <w:rFonts w:ascii="Arial" w:hAnsi="Arial" w:cs="Arial"/>
          <w:sz w:val="18"/>
          <w:szCs w:val="18"/>
        </w:rPr>
        <w:t>1</w:t>
      </w:r>
      <w:r w:rsidR="00941FB8">
        <w:rPr>
          <w:rFonts w:ascii="Arial" w:hAnsi="Arial" w:cs="Arial"/>
          <w:sz w:val="18"/>
          <w:szCs w:val="18"/>
        </w:rPr>
        <w:t>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3A072B">
        <w:rPr>
          <w:rFonts w:ascii="Arial" w:hAnsi="Arial" w:cs="Arial"/>
          <w:sz w:val="18"/>
          <w:szCs w:val="18"/>
        </w:rPr>
        <w:t>dic</w:t>
      </w:r>
      <w:r w:rsidR="00941FB8">
        <w:rPr>
          <w:rFonts w:ascii="Arial" w:hAnsi="Arial" w:cs="Arial"/>
          <w:sz w:val="18"/>
          <w:szCs w:val="18"/>
        </w:rPr>
        <w:t>iembre</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3A072B">
        <w:rPr>
          <w:rFonts w:ascii="Arial" w:hAnsi="Arial" w:cs="Arial"/>
          <w:sz w:val="18"/>
          <w:szCs w:val="18"/>
        </w:rPr>
        <w:t>552</w:t>
      </w:r>
      <w:r>
        <w:rPr>
          <w:rFonts w:ascii="Arial" w:hAnsi="Arial" w:cs="Arial"/>
          <w:sz w:val="18"/>
          <w:szCs w:val="18"/>
        </w:rPr>
        <w:t>,</w:t>
      </w:r>
      <w:r w:rsidR="003A072B">
        <w:rPr>
          <w:rFonts w:ascii="Arial" w:hAnsi="Arial" w:cs="Arial"/>
          <w:sz w:val="18"/>
          <w:szCs w:val="18"/>
        </w:rPr>
        <w:t>141</w:t>
      </w:r>
      <w:r>
        <w:rPr>
          <w:rFonts w:ascii="Arial" w:hAnsi="Arial" w:cs="Arial"/>
          <w:sz w:val="18"/>
          <w:szCs w:val="18"/>
        </w:rPr>
        <w:t>,</w:t>
      </w:r>
      <w:r w:rsidR="00941FB8">
        <w:rPr>
          <w:rFonts w:ascii="Arial" w:hAnsi="Arial" w:cs="Arial"/>
          <w:sz w:val="18"/>
          <w:szCs w:val="18"/>
        </w:rPr>
        <w:t>3</w:t>
      </w:r>
      <w:r w:rsidR="003A072B">
        <w:rPr>
          <w:rFonts w:ascii="Arial" w:hAnsi="Arial" w:cs="Arial"/>
          <w:sz w:val="18"/>
          <w:szCs w:val="18"/>
        </w:rPr>
        <w:t>36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3A072B">
        <w:rPr>
          <w:rFonts w:ascii="Arial" w:hAnsi="Arial" w:cs="Arial"/>
          <w:sz w:val="18"/>
          <w:szCs w:val="18"/>
        </w:rPr>
        <w:t>525</w:t>
      </w:r>
      <w:r w:rsidR="00E004F0">
        <w:rPr>
          <w:rFonts w:ascii="Arial" w:hAnsi="Arial" w:cs="Arial"/>
          <w:sz w:val="18"/>
          <w:szCs w:val="18"/>
        </w:rPr>
        <w:t>,</w:t>
      </w:r>
      <w:r w:rsidR="003A072B">
        <w:rPr>
          <w:rFonts w:ascii="Arial" w:hAnsi="Arial" w:cs="Arial"/>
          <w:sz w:val="18"/>
          <w:szCs w:val="18"/>
        </w:rPr>
        <w:t>078</w:t>
      </w:r>
      <w:r>
        <w:rPr>
          <w:rFonts w:ascii="Arial" w:hAnsi="Arial" w:cs="Arial"/>
          <w:sz w:val="18"/>
          <w:szCs w:val="18"/>
        </w:rPr>
        <w:t>,</w:t>
      </w:r>
      <w:r w:rsidR="003A072B">
        <w:rPr>
          <w:rFonts w:ascii="Arial" w:hAnsi="Arial" w:cs="Arial"/>
          <w:sz w:val="18"/>
          <w:szCs w:val="18"/>
        </w:rPr>
        <w:t>394</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3A072B">
        <w:rPr>
          <w:rFonts w:ascii="Arial" w:hAnsi="Arial" w:cs="Arial"/>
          <w:sz w:val="18"/>
          <w:szCs w:val="18"/>
        </w:rPr>
        <w:t>9</w:t>
      </w:r>
      <w:r>
        <w:rPr>
          <w:rFonts w:ascii="Arial" w:hAnsi="Arial" w:cs="Arial"/>
          <w:sz w:val="18"/>
          <w:szCs w:val="18"/>
        </w:rPr>
        <w:t>,</w:t>
      </w:r>
      <w:r w:rsidR="003A072B">
        <w:rPr>
          <w:rFonts w:ascii="Arial" w:hAnsi="Arial" w:cs="Arial"/>
          <w:sz w:val="18"/>
          <w:szCs w:val="18"/>
        </w:rPr>
        <w:t>112</w:t>
      </w:r>
      <w:r>
        <w:rPr>
          <w:rFonts w:ascii="Arial" w:hAnsi="Arial" w:cs="Arial"/>
          <w:sz w:val="18"/>
          <w:szCs w:val="18"/>
        </w:rPr>
        <w:t>,</w:t>
      </w:r>
      <w:r w:rsidR="003A072B">
        <w:rPr>
          <w:rFonts w:ascii="Arial" w:hAnsi="Arial" w:cs="Arial"/>
          <w:sz w:val="18"/>
          <w:szCs w:val="18"/>
        </w:rPr>
        <w:t>29</w:t>
      </w:r>
      <w:r w:rsidR="00E23A75">
        <w:rPr>
          <w:rFonts w:ascii="Arial" w:hAnsi="Arial" w:cs="Arial"/>
          <w:sz w:val="18"/>
          <w:szCs w:val="18"/>
        </w:rPr>
        <w:t>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3A072B">
        <w:rPr>
          <w:rFonts w:ascii="Arial" w:hAnsi="Arial" w:cs="Arial"/>
          <w:sz w:val="18"/>
          <w:szCs w:val="18"/>
        </w:rPr>
        <w:t>3</w:t>
      </w:r>
      <w:r>
        <w:rPr>
          <w:rFonts w:ascii="Arial" w:hAnsi="Arial" w:cs="Arial"/>
          <w:sz w:val="18"/>
          <w:szCs w:val="18"/>
        </w:rPr>
        <w:t>,</w:t>
      </w:r>
      <w:r w:rsidR="003A072B">
        <w:rPr>
          <w:rFonts w:ascii="Arial" w:hAnsi="Arial" w:cs="Arial"/>
          <w:sz w:val="18"/>
          <w:szCs w:val="18"/>
        </w:rPr>
        <w:t>119</w:t>
      </w:r>
      <w:r>
        <w:rPr>
          <w:rFonts w:ascii="Arial" w:hAnsi="Arial" w:cs="Arial"/>
          <w:sz w:val="18"/>
          <w:szCs w:val="18"/>
        </w:rPr>
        <w:t>,</w:t>
      </w:r>
      <w:r w:rsidR="003A072B">
        <w:rPr>
          <w:rFonts w:ascii="Arial" w:hAnsi="Arial" w:cs="Arial"/>
          <w:sz w:val="18"/>
          <w:szCs w:val="18"/>
        </w:rPr>
        <w:t>575</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3A072B">
        <w:rPr>
          <w:rFonts w:ascii="Arial" w:hAnsi="Arial" w:cs="Arial"/>
          <w:sz w:val="18"/>
          <w:szCs w:val="18"/>
        </w:rPr>
        <w:t>dic</w:t>
      </w:r>
      <w:r w:rsidR="0007519E">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7519E">
        <w:rPr>
          <w:rFonts w:ascii="Arial" w:hAnsi="Arial" w:cs="Arial"/>
          <w:sz w:val="18"/>
          <w:szCs w:val="18"/>
        </w:rPr>
        <w:t>3</w:t>
      </w:r>
      <w:r w:rsidR="003A072B">
        <w:rPr>
          <w:rFonts w:ascii="Arial" w:hAnsi="Arial" w:cs="Arial"/>
          <w:sz w:val="18"/>
          <w:szCs w:val="18"/>
        </w:rPr>
        <w:t>91</w:t>
      </w:r>
      <w:r>
        <w:rPr>
          <w:rFonts w:ascii="Arial" w:hAnsi="Arial" w:cs="Arial"/>
          <w:sz w:val="18"/>
          <w:szCs w:val="18"/>
        </w:rPr>
        <w:t>,</w:t>
      </w:r>
      <w:r w:rsidR="003A072B">
        <w:rPr>
          <w:rFonts w:ascii="Arial" w:hAnsi="Arial" w:cs="Arial"/>
          <w:sz w:val="18"/>
          <w:szCs w:val="18"/>
        </w:rPr>
        <w:t>106</w:t>
      </w:r>
      <w:r>
        <w:rPr>
          <w:rFonts w:ascii="Arial" w:hAnsi="Arial" w:cs="Arial"/>
          <w:sz w:val="18"/>
          <w:szCs w:val="18"/>
        </w:rPr>
        <w:t>,</w:t>
      </w:r>
      <w:r w:rsidR="003A072B">
        <w:rPr>
          <w:rFonts w:ascii="Arial" w:hAnsi="Arial" w:cs="Arial"/>
          <w:sz w:val="18"/>
          <w:szCs w:val="18"/>
        </w:rPr>
        <w:t>976</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EE3D4E">
        <w:rPr>
          <w:rFonts w:ascii="Arial" w:hAnsi="Arial" w:cs="Arial"/>
          <w:sz w:val="18"/>
          <w:szCs w:val="18"/>
        </w:rPr>
        <w:t>dic</w:t>
      </w:r>
      <w:r w:rsidR="0007519E">
        <w:rPr>
          <w:rFonts w:ascii="Arial" w:hAnsi="Arial" w:cs="Arial"/>
          <w:sz w:val="18"/>
          <w:szCs w:val="18"/>
        </w:rPr>
        <w:t xml:space="preserve">iembre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EE3D4E">
        <w:rPr>
          <w:rFonts w:ascii="Arial" w:hAnsi="Arial" w:cs="Arial"/>
          <w:sz w:val="18"/>
          <w:szCs w:val="18"/>
        </w:rPr>
        <w:t>311</w:t>
      </w:r>
      <w:r w:rsidRPr="00502DDD">
        <w:rPr>
          <w:rFonts w:ascii="Arial" w:hAnsi="Arial" w:cs="Arial"/>
          <w:sz w:val="18"/>
          <w:szCs w:val="18"/>
        </w:rPr>
        <w:t>,</w:t>
      </w:r>
      <w:r w:rsidR="00EE3D4E">
        <w:rPr>
          <w:rFonts w:ascii="Arial" w:hAnsi="Arial" w:cs="Arial"/>
          <w:sz w:val="18"/>
          <w:szCs w:val="18"/>
        </w:rPr>
        <w:t>082</w:t>
      </w:r>
      <w:r w:rsidRPr="00502DDD">
        <w:rPr>
          <w:rFonts w:ascii="Arial" w:hAnsi="Arial" w:cs="Arial"/>
          <w:sz w:val="18"/>
          <w:szCs w:val="18"/>
        </w:rPr>
        <w:t>,</w:t>
      </w:r>
      <w:r w:rsidR="00EE3D4E">
        <w:rPr>
          <w:rFonts w:ascii="Arial" w:hAnsi="Arial" w:cs="Arial"/>
          <w:sz w:val="18"/>
          <w:szCs w:val="18"/>
        </w:rPr>
        <w:t>233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EE3D4E">
        <w:rPr>
          <w:rFonts w:ascii="Arial" w:hAnsi="Arial" w:cs="Arial"/>
          <w:sz w:val="18"/>
          <w:szCs w:val="18"/>
        </w:rPr>
        <w:t>dic</w:t>
      </w:r>
      <w:r w:rsidR="00923251">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923251">
        <w:rPr>
          <w:rFonts w:ascii="Arial" w:hAnsi="Arial" w:cs="Arial"/>
          <w:sz w:val="18"/>
          <w:szCs w:val="18"/>
        </w:rPr>
        <w:t>815</w:t>
      </w:r>
      <w:r>
        <w:rPr>
          <w:rFonts w:ascii="Arial" w:hAnsi="Arial" w:cs="Arial"/>
          <w:sz w:val="18"/>
          <w:szCs w:val="18"/>
        </w:rPr>
        <w:t>,</w:t>
      </w:r>
      <w:r w:rsidR="00923251">
        <w:rPr>
          <w:rFonts w:ascii="Arial" w:hAnsi="Arial" w:cs="Arial"/>
          <w:sz w:val="18"/>
          <w:szCs w:val="18"/>
        </w:rPr>
        <w:t>464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923251">
        <w:rPr>
          <w:rFonts w:ascii="Arial" w:hAnsi="Arial" w:cs="Arial"/>
          <w:sz w:val="18"/>
          <w:szCs w:val="18"/>
        </w:rPr>
        <w:t>1</w:t>
      </w:r>
      <w:r w:rsidR="00EE3D4E">
        <w:rPr>
          <w:rFonts w:ascii="Arial" w:hAnsi="Arial" w:cs="Arial"/>
          <w:sz w:val="18"/>
          <w:szCs w:val="18"/>
        </w:rPr>
        <w:t>36</w:t>
      </w:r>
      <w:r>
        <w:rPr>
          <w:rFonts w:ascii="Arial" w:hAnsi="Arial" w:cs="Arial"/>
          <w:sz w:val="18"/>
          <w:szCs w:val="18"/>
        </w:rPr>
        <w:t>,</w:t>
      </w:r>
      <w:r w:rsidR="00EE3D4E">
        <w:rPr>
          <w:rFonts w:ascii="Arial" w:hAnsi="Arial" w:cs="Arial"/>
          <w:sz w:val="18"/>
          <w:szCs w:val="18"/>
        </w:rPr>
        <w:t>218</w:t>
      </w:r>
      <w:r>
        <w:rPr>
          <w:rFonts w:ascii="Arial" w:hAnsi="Arial" w:cs="Arial"/>
          <w:sz w:val="18"/>
          <w:szCs w:val="18"/>
        </w:rPr>
        <w:t>,</w:t>
      </w:r>
      <w:r w:rsidR="00EE3D4E">
        <w:rPr>
          <w:rFonts w:ascii="Arial" w:hAnsi="Arial" w:cs="Arial"/>
          <w:sz w:val="18"/>
          <w:szCs w:val="18"/>
        </w:rPr>
        <w:t>650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EE3D4E">
        <w:rPr>
          <w:rFonts w:ascii="Arial" w:hAnsi="Arial" w:cs="Arial"/>
          <w:sz w:val="18"/>
          <w:szCs w:val="18"/>
        </w:rPr>
        <w:t>21</w:t>
      </w:r>
      <w:r>
        <w:rPr>
          <w:rFonts w:ascii="Arial" w:hAnsi="Arial" w:cs="Arial"/>
          <w:sz w:val="18"/>
          <w:szCs w:val="18"/>
        </w:rPr>
        <w:t>,</w:t>
      </w:r>
      <w:r w:rsidR="00EE3D4E">
        <w:rPr>
          <w:rFonts w:ascii="Arial" w:hAnsi="Arial" w:cs="Arial"/>
          <w:sz w:val="18"/>
          <w:szCs w:val="18"/>
        </w:rPr>
        <w:t>856</w:t>
      </w:r>
      <w:r>
        <w:rPr>
          <w:rFonts w:ascii="Arial" w:hAnsi="Arial" w:cs="Arial"/>
          <w:sz w:val="18"/>
          <w:szCs w:val="18"/>
        </w:rPr>
        <w:t>,</w:t>
      </w:r>
      <w:r w:rsidR="00EE3D4E">
        <w:rPr>
          <w:rFonts w:ascii="Arial" w:hAnsi="Arial" w:cs="Arial"/>
          <w:sz w:val="18"/>
          <w:szCs w:val="18"/>
        </w:rPr>
        <w:t>705</w:t>
      </w:r>
      <w:r>
        <w:rPr>
          <w:rFonts w:ascii="Arial" w:hAnsi="Arial" w:cs="Arial"/>
          <w:sz w:val="18"/>
          <w:szCs w:val="18"/>
        </w:rPr>
        <w:t>,</w:t>
      </w:r>
      <w:r w:rsidR="00EE3D4E">
        <w:rPr>
          <w:rFonts w:ascii="Arial" w:hAnsi="Arial" w:cs="Arial"/>
          <w:sz w:val="18"/>
          <w:szCs w:val="18"/>
        </w:rPr>
        <w:t>630</w:t>
      </w:r>
      <w:r>
        <w:rPr>
          <w:rFonts w:ascii="Arial" w:hAnsi="Arial" w:cs="Arial"/>
          <w:sz w:val="18"/>
          <w:szCs w:val="18"/>
        </w:rPr>
        <w:t xml:space="preserve"> al mes de </w:t>
      </w:r>
      <w:r w:rsidR="00EE3D4E">
        <w:rPr>
          <w:rFonts w:ascii="Arial" w:hAnsi="Arial" w:cs="Arial"/>
          <w:sz w:val="18"/>
          <w:szCs w:val="18"/>
        </w:rPr>
        <w:t>dic</w:t>
      </w:r>
      <w:r w:rsidR="00923251">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3D56C9">
        <w:rPr>
          <w:rFonts w:ascii="Arial" w:hAnsi="Arial" w:cs="Arial"/>
          <w:sz w:val="18"/>
          <w:szCs w:val="18"/>
        </w:rPr>
        <w:t>8</w:t>
      </w:r>
      <w:r>
        <w:rPr>
          <w:rFonts w:ascii="Arial" w:hAnsi="Arial" w:cs="Arial"/>
          <w:sz w:val="18"/>
          <w:szCs w:val="18"/>
        </w:rPr>
        <w:t>,</w:t>
      </w:r>
      <w:r w:rsidR="003D56C9">
        <w:rPr>
          <w:rFonts w:ascii="Arial" w:hAnsi="Arial" w:cs="Arial"/>
          <w:sz w:val="18"/>
          <w:szCs w:val="18"/>
        </w:rPr>
        <w:t>922</w:t>
      </w:r>
      <w:r>
        <w:rPr>
          <w:rFonts w:ascii="Arial" w:hAnsi="Arial" w:cs="Arial"/>
          <w:sz w:val="18"/>
          <w:szCs w:val="18"/>
        </w:rPr>
        <w:t>,</w:t>
      </w:r>
      <w:r w:rsidR="003D56C9">
        <w:rPr>
          <w:rFonts w:ascii="Arial" w:hAnsi="Arial" w:cs="Arial"/>
          <w:sz w:val="18"/>
          <w:szCs w:val="18"/>
        </w:rPr>
        <w:t>326</w:t>
      </w:r>
      <w:r>
        <w:rPr>
          <w:rFonts w:ascii="Arial" w:hAnsi="Arial" w:cs="Arial"/>
          <w:sz w:val="18"/>
          <w:szCs w:val="18"/>
        </w:rPr>
        <w:t>,</w:t>
      </w:r>
      <w:r w:rsidR="003D56C9">
        <w:rPr>
          <w:rFonts w:ascii="Arial" w:hAnsi="Arial" w:cs="Arial"/>
          <w:sz w:val="18"/>
          <w:szCs w:val="18"/>
        </w:rPr>
        <w:t>317</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3A301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3D56C9">
        <w:rPr>
          <w:rFonts w:ascii="Arial" w:hAnsi="Arial" w:cs="Arial"/>
          <w:sz w:val="18"/>
          <w:szCs w:val="18"/>
        </w:rPr>
        <w:t>dic</w:t>
      </w:r>
      <w:r w:rsidR="003A3013">
        <w:rPr>
          <w:rFonts w:ascii="Arial" w:hAnsi="Arial" w:cs="Arial"/>
          <w:sz w:val="18"/>
          <w:szCs w:val="18"/>
        </w:rPr>
        <w:t>iembre</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D56C9">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D56C9">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3D56C9">
              <w:rPr>
                <w:rFonts w:ascii="Arial" w:eastAsia="Times New Roman" w:hAnsi="Arial" w:cs="Arial"/>
                <w:color w:val="000000"/>
                <w:sz w:val="18"/>
                <w:szCs w:val="18"/>
                <w:lang w:eastAsia="es-MX"/>
              </w:rPr>
              <w:t>397</w:t>
            </w:r>
            <w:r w:rsidRPr="00AE0E84">
              <w:rPr>
                <w:rFonts w:ascii="Arial" w:eastAsia="Times New Roman" w:hAnsi="Arial" w:cs="Arial"/>
                <w:color w:val="000000"/>
                <w:sz w:val="18"/>
                <w:szCs w:val="18"/>
                <w:lang w:eastAsia="es-MX"/>
              </w:rPr>
              <w:t>,</w:t>
            </w:r>
            <w:r w:rsidR="003D56C9">
              <w:rPr>
                <w:rFonts w:ascii="Arial" w:eastAsia="Times New Roman" w:hAnsi="Arial" w:cs="Arial"/>
                <w:color w:val="000000"/>
                <w:sz w:val="18"/>
                <w:szCs w:val="18"/>
                <w:lang w:eastAsia="es-MX"/>
              </w:rPr>
              <w:t>026</w:t>
            </w:r>
            <w:r w:rsidRPr="00AE0E84">
              <w:rPr>
                <w:rFonts w:ascii="Arial" w:eastAsia="Times New Roman" w:hAnsi="Arial" w:cs="Arial"/>
                <w:color w:val="000000"/>
                <w:sz w:val="18"/>
                <w:szCs w:val="18"/>
                <w:lang w:eastAsia="es-MX"/>
              </w:rPr>
              <w:t>,</w:t>
            </w:r>
            <w:r w:rsidR="003D56C9">
              <w:rPr>
                <w:rFonts w:ascii="Arial" w:eastAsia="Times New Roman" w:hAnsi="Arial" w:cs="Arial"/>
                <w:color w:val="000000"/>
                <w:sz w:val="18"/>
                <w:szCs w:val="18"/>
                <w:lang w:eastAsia="es-MX"/>
              </w:rPr>
              <w:t>706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0B552D">
              <w:rPr>
                <w:rFonts w:ascii="Arial" w:eastAsia="Times New Roman" w:hAnsi="Arial" w:cs="Arial"/>
                <w:color w:val="000000"/>
                <w:sz w:val="18"/>
                <w:szCs w:val="18"/>
                <w:lang w:eastAsia="es-MX"/>
              </w:rPr>
              <w:t>3</w:t>
            </w:r>
            <w:r w:rsidR="00AE0E84" w:rsidRPr="00AE0E84">
              <w:rPr>
                <w:rFonts w:ascii="Arial" w:eastAsia="Times New Roman" w:hAnsi="Arial" w:cs="Arial"/>
                <w:color w:val="000000"/>
                <w:sz w:val="18"/>
                <w:szCs w:val="18"/>
                <w:lang w:eastAsia="es-MX"/>
              </w:rPr>
              <w:t>.</w:t>
            </w:r>
            <w:r w:rsidR="000B552D">
              <w:rPr>
                <w:rFonts w:ascii="Arial" w:eastAsia="Times New Roman" w:hAnsi="Arial" w:cs="Arial"/>
                <w:color w:val="000000"/>
                <w:sz w:val="18"/>
                <w:szCs w:val="18"/>
                <w:lang w:eastAsia="es-MX"/>
              </w:rPr>
              <w:t>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1,</w:t>
            </w:r>
            <w:r w:rsidR="00EB2A4A">
              <w:rPr>
                <w:rFonts w:ascii="Arial" w:eastAsia="Times New Roman" w:hAnsi="Arial" w:cs="Arial"/>
                <w:color w:val="000000"/>
                <w:sz w:val="18"/>
                <w:szCs w:val="18"/>
                <w:lang w:eastAsia="es-MX"/>
              </w:rPr>
              <w:t>721</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332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475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0B552D">
              <w:rPr>
                <w:rFonts w:ascii="Arial" w:eastAsia="Times New Roman" w:hAnsi="Arial" w:cs="Arial"/>
                <w:color w:val="000000"/>
                <w:sz w:val="18"/>
                <w:szCs w:val="18"/>
                <w:lang w:eastAsia="es-MX"/>
              </w:rPr>
              <w:t>7</w:t>
            </w:r>
            <w:r w:rsidR="00AE0E84" w:rsidRPr="00AE0E84">
              <w:rPr>
                <w:rFonts w:ascii="Arial" w:eastAsia="Times New Roman" w:hAnsi="Arial" w:cs="Arial"/>
                <w:color w:val="000000"/>
                <w:sz w:val="18"/>
                <w:szCs w:val="18"/>
                <w:lang w:eastAsia="es-MX"/>
              </w:rPr>
              <w:t>.</w:t>
            </w:r>
            <w:r w:rsidR="000B552D">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9</w:t>
            </w:r>
            <w:r w:rsidR="008C568D">
              <w:rPr>
                <w:rFonts w:ascii="Arial" w:eastAsia="Times New Roman" w:hAnsi="Arial" w:cs="Arial"/>
                <w:color w:val="000000"/>
                <w:sz w:val="18"/>
                <w:szCs w:val="18"/>
                <w:lang w:eastAsia="es-MX"/>
              </w:rPr>
              <w:t>8</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410</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09</w:t>
            </w:r>
            <w:r w:rsidR="00EB2A4A">
              <w:rPr>
                <w:rFonts w:ascii="Arial" w:eastAsia="Times New Roman" w:hAnsi="Arial" w:cs="Arial"/>
                <w:color w:val="000000"/>
                <w:sz w:val="18"/>
                <w:szCs w:val="18"/>
                <w:lang w:eastAsia="es-MX"/>
              </w:rPr>
              <w:t>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w:t>
            </w:r>
            <w:r w:rsidR="000B552D">
              <w:rPr>
                <w:rFonts w:ascii="Arial" w:eastAsia="Times New Roman" w:hAnsi="Arial" w:cs="Arial"/>
                <w:color w:val="000000"/>
                <w:sz w:val="18"/>
                <w:szCs w:val="18"/>
                <w:lang w:eastAsia="es-MX"/>
              </w:rPr>
              <w:t>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w:t>
            </w:r>
            <w:r w:rsidR="00EB2A4A">
              <w:rPr>
                <w:rFonts w:ascii="Arial" w:eastAsia="Times New Roman" w:hAnsi="Arial" w:cs="Arial"/>
                <w:color w:val="000000"/>
                <w:sz w:val="18"/>
                <w:szCs w:val="18"/>
                <w:lang w:eastAsia="es-MX"/>
              </w:rPr>
              <w:t>9</w:t>
            </w:r>
            <w:r w:rsidR="008C568D">
              <w:rPr>
                <w:rFonts w:ascii="Arial" w:eastAsia="Times New Roman" w:hAnsi="Arial" w:cs="Arial"/>
                <w:color w:val="000000"/>
                <w:sz w:val="18"/>
                <w:szCs w:val="18"/>
                <w:lang w:eastAsia="es-MX"/>
              </w:rPr>
              <w:t>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369</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026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885</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902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190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0B552D"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327</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884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318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w:t>
            </w:r>
            <w:r w:rsidR="000B552D">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44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064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90</w:t>
            </w:r>
            <w:r w:rsidR="003C7A1D">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w:t>
            </w:r>
            <w:r w:rsidR="000B552D">
              <w:rPr>
                <w:rFonts w:ascii="Arial" w:eastAsia="Times New Roman" w:hAnsi="Arial" w:cs="Arial"/>
                <w:color w:val="000000"/>
                <w:sz w:val="18"/>
                <w:szCs w:val="18"/>
                <w:lang w:eastAsia="es-MX"/>
              </w:rPr>
              <w:t>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4</w:t>
            </w:r>
            <w:r w:rsidR="00F50FC7">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501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5</w:t>
            </w:r>
            <w:r w:rsidR="00EB2A4A">
              <w:rPr>
                <w:rFonts w:ascii="Arial" w:eastAsia="Times New Roman" w:hAnsi="Arial" w:cs="Arial"/>
                <w:color w:val="000000"/>
                <w:sz w:val="18"/>
                <w:szCs w:val="18"/>
                <w:lang w:eastAsia="es-MX"/>
              </w:rPr>
              <w:t>62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w:t>
            </w:r>
            <w:r w:rsidR="000B552D">
              <w:rPr>
                <w:rFonts w:ascii="Arial" w:eastAsia="Times New Roman" w:hAnsi="Arial" w:cs="Arial"/>
                <w:color w:val="000000"/>
                <w:sz w:val="18"/>
                <w:szCs w:val="18"/>
                <w:lang w:eastAsia="es-MX"/>
              </w:rPr>
              <w:t>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w:t>
            </w:r>
            <w:r w:rsidR="00EB2A4A">
              <w:rPr>
                <w:rFonts w:ascii="Arial" w:eastAsia="Times New Roman" w:hAnsi="Arial" w:cs="Arial"/>
                <w:color w:val="000000"/>
                <w:sz w:val="18"/>
                <w:szCs w:val="18"/>
                <w:lang w:eastAsia="es-MX"/>
              </w:rPr>
              <w:t>60</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920</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720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640</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788</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708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0B552D">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0B552D">
              <w:rPr>
                <w:rFonts w:ascii="Calibri" w:eastAsia="Times New Roman" w:hAnsi="Calibri" w:cs="Calibri"/>
                <w:color w:val="000000"/>
                <w:lang w:eastAsia="es-MX"/>
              </w:rPr>
              <w:t>10</w:t>
            </w:r>
            <w:r w:rsidRPr="00AE0E84">
              <w:rPr>
                <w:rFonts w:ascii="Calibri" w:eastAsia="Times New Roman" w:hAnsi="Calibri" w:cs="Calibri"/>
                <w:color w:val="000000"/>
                <w:lang w:eastAsia="es-MX"/>
              </w:rPr>
              <w:t>,</w:t>
            </w:r>
            <w:r w:rsidR="000B552D">
              <w:rPr>
                <w:rFonts w:ascii="Calibri" w:eastAsia="Times New Roman" w:hAnsi="Calibri" w:cs="Calibri"/>
                <w:color w:val="000000"/>
                <w:lang w:eastAsia="es-MX"/>
              </w:rPr>
              <w:t>012</w:t>
            </w:r>
            <w:r w:rsidRPr="00AE0E84">
              <w:rPr>
                <w:rFonts w:ascii="Calibri" w:eastAsia="Times New Roman" w:hAnsi="Calibri" w:cs="Calibri"/>
                <w:color w:val="000000"/>
                <w:lang w:eastAsia="es-MX"/>
              </w:rPr>
              <w:t>,</w:t>
            </w:r>
            <w:r w:rsidR="000B552D">
              <w:rPr>
                <w:rFonts w:ascii="Calibri" w:eastAsia="Times New Roman" w:hAnsi="Calibri" w:cs="Calibri"/>
                <w:color w:val="000000"/>
                <w:lang w:eastAsia="es-MX"/>
              </w:rPr>
              <w:t>200</w:t>
            </w:r>
            <w:r w:rsidRPr="00AE0E84">
              <w:rPr>
                <w:rFonts w:ascii="Calibri" w:eastAsia="Times New Roman" w:hAnsi="Calibri" w:cs="Calibri"/>
                <w:color w:val="000000"/>
                <w:lang w:eastAsia="es-MX"/>
              </w:rPr>
              <w:t>,</w:t>
            </w:r>
            <w:r w:rsidR="000B552D">
              <w:rPr>
                <w:rFonts w:ascii="Calibri" w:eastAsia="Times New Roman" w:hAnsi="Calibri" w:cs="Calibri"/>
                <w:color w:val="000000"/>
                <w:lang w:eastAsia="es-MX"/>
              </w:rPr>
              <w:t>704</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B552D">
        <w:rPr>
          <w:rFonts w:ascii="Arial" w:hAnsi="Arial" w:cs="Arial"/>
          <w:sz w:val="18"/>
          <w:szCs w:val="18"/>
        </w:rPr>
        <w:t>dic</w:t>
      </w:r>
      <w:r w:rsidR="00F50FC7">
        <w:rPr>
          <w:rFonts w:ascii="Arial" w:hAnsi="Arial" w:cs="Arial"/>
          <w:sz w:val="18"/>
          <w:szCs w:val="18"/>
        </w:rPr>
        <w:t>iembre</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F50FC7">
        <w:rPr>
          <w:rFonts w:ascii="Arial" w:hAnsi="Arial" w:cs="Arial"/>
          <w:sz w:val="18"/>
          <w:szCs w:val="18"/>
        </w:rPr>
        <w:t>2</w:t>
      </w:r>
      <w:r w:rsidR="00032921">
        <w:rPr>
          <w:rFonts w:ascii="Arial" w:hAnsi="Arial" w:cs="Arial"/>
          <w:sz w:val="18"/>
          <w:szCs w:val="18"/>
        </w:rPr>
        <w:t>,</w:t>
      </w:r>
      <w:r w:rsidR="000B552D">
        <w:rPr>
          <w:rFonts w:ascii="Arial" w:hAnsi="Arial" w:cs="Arial"/>
          <w:sz w:val="18"/>
          <w:szCs w:val="18"/>
        </w:rPr>
        <w:t>922</w:t>
      </w:r>
      <w:r>
        <w:rPr>
          <w:rFonts w:ascii="Arial" w:hAnsi="Arial" w:cs="Arial"/>
          <w:sz w:val="18"/>
          <w:szCs w:val="18"/>
        </w:rPr>
        <w:t>,</w:t>
      </w:r>
      <w:r w:rsidR="000B552D">
        <w:rPr>
          <w:rFonts w:ascii="Arial" w:hAnsi="Arial" w:cs="Arial"/>
          <w:sz w:val="18"/>
          <w:szCs w:val="18"/>
        </w:rPr>
        <w:t>178</w:t>
      </w:r>
      <w:r>
        <w:rPr>
          <w:rFonts w:ascii="Arial" w:hAnsi="Arial" w:cs="Arial"/>
          <w:sz w:val="18"/>
          <w:szCs w:val="18"/>
        </w:rPr>
        <w:t>,</w:t>
      </w:r>
      <w:r w:rsidR="000B552D">
        <w:rPr>
          <w:rFonts w:ascii="Arial" w:hAnsi="Arial" w:cs="Arial"/>
          <w:sz w:val="18"/>
          <w:szCs w:val="18"/>
        </w:rPr>
        <w:t>609</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del ejercicio 201</w:t>
      </w:r>
      <w:r w:rsidR="003E33EF">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Pr>
          <w:rFonts w:ascii="Arial" w:hAnsi="Arial" w:cs="Arial"/>
          <w:sz w:val="18"/>
          <w:szCs w:val="18"/>
        </w:rPr>
        <w:t>diciembre</w:t>
      </w:r>
      <w:r w:rsidR="00134F21">
        <w:rPr>
          <w:rFonts w:ascii="Arial" w:hAnsi="Arial" w:cs="Arial"/>
          <w:sz w:val="18"/>
          <w:szCs w:val="18"/>
        </w:rPr>
        <w:t xml:space="preserve"> por este concepto un monto de $ </w:t>
      </w:r>
      <w:r>
        <w:rPr>
          <w:rFonts w:ascii="Arial" w:hAnsi="Arial" w:cs="Arial"/>
          <w:sz w:val="18"/>
          <w:szCs w:val="18"/>
        </w:rPr>
        <w:t>2</w:t>
      </w:r>
      <w:r w:rsidR="00032921">
        <w:rPr>
          <w:rFonts w:ascii="Arial" w:hAnsi="Arial" w:cs="Arial"/>
          <w:sz w:val="18"/>
          <w:szCs w:val="18"/>
        </w:rPr>
        <w:t>,</w:t>
      </w:r>
      <w:r>
        <w:rPr>
          <w:rFonts w:ascii="Arial" w:hAnsi="Arial" w:cs="Arial"/>
          <w:sz w:val="18"/>
          <w:szCs w:val="18"/>
        </w:rPr>
        <w:t>282</w:t>
      </w:r>
      <w:r w:rsidR="00134F21">
        <w:rPr>
          <w:rFonts w:ascii="Arial" w:hAnsi="Arial" w:cs="Arial"/>
          <w:sz w:val="18"/>
          <w:szCs w:val="18"/>
        </w:rPr>
        <w:t>,</w:t>
      </w:r>
      <w:r>
        <w:rPr>
          <w:rFonts w:ascii="Arial" w:hAnsi="Arial" w:cs="Arial"/>
          <w:sz w:val="18"/>
          <w:szCs w:val="18"/>
        </w:rPr>
        <w:t>774</w:t>
      </w:r>
      <w:r w:rsidR="00134F21">
        <w:rPr>
          <w:rFonts w:ascii="Arial" w:hAnsi="Arial" w:cs="Arial"/>
          <w:sz w:val="18"/>
          <w:szCs w:val="18"/>
        </w:rPr>
        <w:t>,</w:t>
      </w:r>
      <w:r>
        <w:rPr>
          <w:rFonts w:ascii="Arial" w:hAnsi="Arial" w:cs="Arial"/>
          <w:sz w:val="18"/>
          <w:szCs w:val="18"/>
        </w:rPr>
        <w:t>152</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F5E29">
        <w:rPr>
          <w:rFonts w:ascii="Arial" w:hAnsi="Arial" w:cs="Arial"/>
          <w:sz w:val="18"/>
          <w:szCs w:val="18"/>
        </w:rPr>
        <w:t>2</w:t>
      </w:r>
      <w:r w:rsidR="000B552D">
        <w:rPr>
          <w:rFonts w:ascii="Arial" w:hAnsi="Arial" w:cs="Arial"/>
          <w:sz w:val="18"/>
          <w:szCs w:val="18"/>
        </w:rPr>
        <w:t>27</w:t>
      </w:r>
      <w:r>
        <w:rPr>
          <w:rFonts w:ascii="Arial" w:hAnsi="Arial" w:cs="Arial"/>
          <w:sz w:val="18"/>
          <w:szCs w:val="18"/>
        </w:rPr>
        <w:t>,</w:t>
      </w:r>
      <w:r w:rsidR="000B552D">
        <w:rPr>
          <w:rFonts w:ascii="Arial" w:hAnsi="Arial" w:cs="Arial"/>
          <w:sz w:val="18"/>
          <w:szCs w:val="18"/>
        </w:rPr>
        <w:t>740</w:t>
      </w:r>
      <w:r>
        <w:rPr>
          <w:rFonts w:ascii="Arial" w:hAnsi="Arial" w:cs="Arial"/>
          <w:sz w:val="18"/>
          <w:szCs w:val="18"/>
        </w:rPr>
        <w:t>,</w:t>
      </w:r>
      <w:r w:rsidR="009F5E29">
        <w:rPr>
          <w:rFonts w:ascii="Arial" w:hAnsi="Arial" w:cs="Arial"/>
          <w:sz w:val="18"/>
          <w:szCs w:val="18"/>
        </w:rPr>
        <w:t>1</w:t>
      </w:r>
      <w:r w:rsidR="00CC60A4">
        <w:rPr>
          <w:rFonts w:ascii="Arial" w:hAnsi="Arial" w:cs="Arial"/>
          <w:sz w:val="18"/>
          <w:szCs w:val="18"/>
        </w:rPr>
        <w:t>97</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CC60A4">
        <w:rPr>
          <w:rFonts w:ascii="Arial" w:hAnsi="Arial" w:cs="Arial"/>
          <w:sz w:val="18"/>
          <w:szCs w:val="18"/>
        </w:rPr>
        <w:t>dic</w:t>
      </w:r>
      <w:r w:rsidR="00917AC1">
        <w:rPr>
          <w:rFonts w:ascii="Arial" w:hAnsi="Arial" w:cs="Arial"/>
          <w:sz w:val="18"/>
          <w:szCs w:val="18"/>
        </w:rPr>
        <w: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CC60A4">
        <w:rPr>
          <w:rFonts w:ascii="Arial" w:hAnsi="Arial" w:cs="Arial"/>
          <w:sz w:val="18"/>
          <w:szCs w:val="18"/>
        </w:rPr>
        <w:t>292</w:t>
      </w:r>
      <w:r w:rsidR="00BA3B1D">
        <w:rPr>
          <w:rFonts w:ascii="Arial" w:hAnsi="Arial" w:cs="Arial"/>
          <w:sz w:val="18"/>
          <w:szCs w:val="18"/>
        </w:rPr>
        <w:t>,</w:t>
      </w:r>
      <w:r w:rsidR="00917AC1">
        <w:rPr>
          <w:rFonts w:ascii="Arial" w:hAnsi="Arial" w:cs="Arial"/>
          <w:sz w:val="18"/>
          <w:szCs w:val="18"/>
        </w:rPr>
        <w:t>3</w:t>
      </w:r>
      <w:r w:rsidR="00CC60A4">
        <w:rPr>
          <w:rFonts w:ascii="Arial" w:hAnsi="Arial" w:cs="Arial"/>
          <w:sz w:val="18"/>
          <w:szCs w:val="18"/>
        </w:rPr>
        <w:t>70</w:t>
      </w:r>
      <w:r w:rsidR="00BA3B1D">
        <w:rPr>
          <w:rFonts w:ascii="Arial" w:hAnsi="Arial" w:cs="Arial"/>
          <w:sz w:val="18"/>
          <w:szCs w:val="18"/>
        </w:rPr>
        <w:t>,</w:t>
      </w:r>
      <w:r w:rsidR="00CC60A4">
        <w:rPr>
          <w:rFonts w:ascii="Arial" w:hAnsi="Arial" w:cs="Arial"/>
          <w:sz w:val="18"/>
          <w:szCs w:val="18"/>
        </w:rPr>
        <w:t>042</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CC60A4">
        <w:rPr>
          <w:rFonts w:ascii="Arial" w:hAnsi="Arial" w:cs="Arial"/>
          <w:sz w:val="18"/>
          <w:szCs w:val="18"/>
        </w:rPr>
        <w:t>dic</w:t>
      </w:r>
      <w:r w:rsidR="00917AC1">
        <w:rPr>
          <w:rFonts w:ascii="Arial" w:hAnsi="Arial" w:cs="Arial"/>
          <w:sz w:val="18"/>
          <w:szCs w:val="18"/>
        </w:rPr>
        <w: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CC60A4">
        <w:rPr>
          <w:rFonts w:ascii="Arial" w:hAnsi="Arial" w:cs="Arial"/>
          <w:sz w:val="18"/>
          <w:szCs w:val="18"/>
        </w:rPr>
        <w:t>14</w:t>
      </w:r>
      <w:r>
        <w:rPr>
          <w:rFonts w:ascii="Arial" w:hAnsi="Arial" w:cs="Arial"/>
          <w:sz w:val="18"/>
          <w:szCs w:val="18"/>
        </w:rPr>
        <w:t>,</w:t>
      </w:r>
      <w:r w:rsidR="00917AC1">
        <w:rPr>
          <w:rFonts w:ascii="Arial" w:hAnsi="Arial" w:cs="Arial"/>
          <w:sz w:val="18"/>
          <w:szCs w:val="18"/>
        </w:rPr>
        <w:t>6</w:t>
      </w:r>
      <w:r w:rsidR="00CC60A4">
        <w:rPr>
          <w:rFonts w:ascii="Arial" w:hAnsi="Arial" w:cs="Arial"/>
          <w:sz w:val="18"/>
          <w:szCs w:val="18"/>
        </w:rPr>
        <w:t>36</w:t>
      </w:r>
      <w:r>
        <w:rPr>
          <w:rFonts w:ascii="Arial" w:hAnsi="Arial" w:cs="Arial"/>
          <w:sz w:val="18"/>
          <w:szCs w:val="18"/>
        </w:rPr>
        <w:t>,</w:t>
      </w:r>
      <w:r w:rsidR="00E06027">
        <w:rPr>
          <w:rFonts w:ascii="Arial" w:hAnsi="Arial" w:cs="Arial"/>
          <w:sz w:val="18"/>
          <w:szCs w:val="18"/>
        </w:rPr>
        <w:t>8</w:t>
      </w:r>
      <w:r w:rsidR="00CC60A4">
        <w:rPr>
          <w:rFonts w:ascii="Arial" w:hAnsi="Arial" w:cs="Arial"/>
          <w:sz w:val="18"/>
          <w:szCs w:val="18"/>
        </w:rPr>
        <w:t>67</w:t>
      </w:r>
      <w:r>
        <w:rPr>
          <w:rFonts w:ascii="Arial" w:hAnsi="Arial" w:cs="Arial"/>
          <w:sz w:val="18"/>
          <w:szCs w:val="18"/>
        </w:rPr>
        <w:t>,</w:t>
      </w:r>
      <w:r w:rsidR="00612216">
        <w:rPr>
          <w:rFonts w:ascii="Arial" w:hAnsi="Arial" w:cs="Arial"/>
          <w:sz w:val="18"/>
          <w:szCs w:val="18"/>
        </w:rPr>
        <w:t>616</w:t>
      </w:r>
      <w:r>
        <w:rPr>
          <w:rFonts w:ascii="Arial" w:hAnsi="Arial" w:cs="Arial"/>
          <w:sz w:val="18"/>
          <w:szCs w:val="18"/>
        </w:rPr>
        <w:t xml:space="preserve"> de los cuales los principales sectores que reciben estas asignaciones son el sector educativo al cual le corresponde el </w:t>
      </w:r>
      <w:r w:rsidR="00612216">
        <w:rPr>
          <w:rFonts w:ascii="Arial" w:hAnsi="Arial" w:cs="Arial"/>
          <w:sz w:val="18"/>
          <w:szCs w:val="18"/>
        </w:rPr>
        <w:t>65</w:t>
      </w:r>
      <w:r>
        <w:rPr>
          <w:rFonts w:ascii="Arial" w:hAnsi="Arial" w:cs="Arial"/>
          <w:sz w:val="18"/>
          <w:szCs w:val="18"/>
        </w:rPr>
        <w:t xml:space="preserve">% y el sector salud con un </w:t>
      </w:r>
      <w:r w:rsidR="00612216">
        <w:rPr>
          <w:rFonts w:ascii="Arial" w:hAnsi="Arial" w:cs="Arial"/>
          <w:sz w:val="18"/>
          <w:szCs w:val="18"/>
        </w:rPr>
        <w:t>31</w:t>
      </w:r>
      <w:r>
        <w:rPr>
          <w:rFonts w:ascii="Arial" w:hAnsi="Arial" w:cs="Arial"/>
          <w:sz w:val="18"/>
          <w:szCs w:val="18"/>
        </w:rPr>
        <w:t xml:space="preserve">% y el restante </w:t>
      </w:r>
      <w:r w:rsidR="005B048C">
        <w:rPr>
          <w:rFonts w:ascii="Arial" w:hAnsi="Arial" w:cs="Arial"/>
          <w:sz w:val="18"/>
          <w:szCs w:val="18"/>
        </w:rPr>
        <w:t>4</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612216">
        <w:rPr>
          <w:rFonts w:ascii="Arial" w:hAnsi="Arial" w:cs="Arial"/>
          <w:sz w:val="18"/>
          <w:szCs w:val="18"/>
        </w:rPr>
        <w:t>dic</w:t>
      </w:r>
      <w:r w:rsidR="005B048C">
        <w:rPr>
          <w:rFonts w:ascii="Arial" w:hAnsi="Arial" w:cs="Arial"/>
          <w:sz w:val="18"/>
          <w:szCs w:val="18"/>
        </w:rPr>
        <w:t>iembre</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612216">
        <w:rPr>
          <w:rFonts w:ascii="Arial" w:hAnsi="Arial" w:cs="Arial"/>
          <w:sz w:val="18"/>
          <w:szCs w:val="18"/>
        </w:rPr>
        <w:t>497</w:t>
      </w:r>
      <w:r>
        <w:rPr>
          <w:rFonts w:ascii="Arial" w:hAnsi="Arial" w:cs="Arial"/>
          <w:sz w:val="18"/>
          <w:szCs w:val="18"/>
        </w:rPr>
        <w:t>,</w:t>
      </w:r>
      <w:r w:rsidR="00612216">
        <w:rPr>
          <w:rFonts w:ascii="Arial" w:hAnsi="Arial" w:cs="Arial"/>
          <w:sz w:val="18"/>
          <w:szCs w:val="18"/>
        </w:rPr>
        <w:t>450</w:t>
      </w:r>
      <w:r>
        <w:rPr>
          <w:rFonts w:ascii="Arial" w:hAnsi="Arial" w:cs="Arial"/>
          <w:sz w:val="18"/>
          <w:szCs w:val="18"/>
        </w:rPr>
        <w:t>,</w:t>
      </w:r>
      <w:r w:rsidR="00612216">
        <w:rPr>
          <w:rFonts w:ascii="Arial" w:hAnsi="Arial" w:cs="Arial"/>
          <w:sz w:val="18"/>
          <w:szCs w:val="18"/>
        </w:rPr>
        <w:t>716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B048C">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1D1569">
        <w:rPr>
          <w:rFonts w:ascii="Arial" w:hAnsi="Arial" w:cs="Arial"/>
          <w:sz w:val="18"/>
          <w:szCs w:val="18"/>
        </w:rPr>
        <w:t>dic</w:t>
      </w:r>
      <w:r w:rsidR="005B048C">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1D1569">
        <w:rPr>
          <w:rFonts w:ascii="Arial" w:hAnsi="Arial" w:cs="Arial"/>
          <w:sz w:val="18"/>
          <w:szCs w:val="18"/>
        </w:rPr>
        <w:t>dic</w:t>
      </w:r>
      <w:r w:rsidR="00062509">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138</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034</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845</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reflejando un</w:t>
      </w:r>
      <w:r w:rsidR="001D1569">
        <w:rPr>
          <w:lang w:val="es-MX"/>
        </w:rPr>
        <w:t>a</w:t>
      </w:r>
      <w:r w:rsidR="00817DFF">
        <w:rPr>
          <w:lang w:val="es-MX"/>
        </w:rPr>
        <w:t xml:space="preserve"> </w:t>
      </w:r>
      <w:r w:rsidR="001D1569">
        <w:rPr>
          <w:lang w:val="es-MX"/>
        </w:rPr>
        <w:t>disminución</w:t>
      </w:r>
      <w:r w:rsidR="004B263B">
        <w:rPr>
          <w:lang w:val="es-MX"/>
        </w:rPr>
        <w:t xml:space="preserve"> </w:t>
      </w:r>
      <w:r w:rsidR="00817DFF">
        <w:rPr>
          <w:lang w:val="es-MX"/>
        </w:rPr>
        <w:t>de</w:t>
      </w:r>
      <w:r w:rsidR="00EC56A4">
        <w:rPr>
          <w:lang w:val="es-MX"/>
        </w:rPr>
        <w:t xml:space="preserve"> </w:t>
      </w:r>
      <w:r w:rsidR="00817DFF">
        <w:rPr>
          <w:lang w:val="es-MX"/>
        </w:rPr>
        <w:t>$</w:t>
      </w:r>
      <w:r w:rsidR="00100FD7">
        <w:rPr>
          <w:lang w:val="es-MX"/>
        </w:rPr>
        <w:t xml:space="preserve"> </w:t>
      </w:r>
      <w:r w:rsidR="001D1569">
        <w:rPr>
          <w:lang w:val="es-MX"/>
        </w:rPr>
        <w:t>140</w:t>
      </w:r>
      <w:r w:rsidR="00AC2CB6">
        <w:rPr>
          <w:lang w:val="es-MX"/>
        </w:rPr>
        <w:t>,</w:t>
      </w:r>
      <w:r w:rsidR="001D1569">
        <w:rPr>
          <w:lang w:val="es-MX"/>
        </w:rPr>
        <w:t>211</w:t>
      </w:r>
      <w:r w:rsidR="00AC2CB6">
        <w:rPr>
          <w:lang w:val="es-MX"/>
        </w:rPr>
        <w:t>,</w:t>
      </w:r>
      <w:r w:rsidR="001D1569">
        <w:rPr>
          <w:lang w:val="es-MX"/>
        </w:rPr>
        <w:t>339</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5E68A5">
        <w:rPr>
          <w:lang w:val="es-MX"/>
        </w:rPr>
        <w:t>497</w:t>
      </w:r>
      <w:r>
        <w:rPr>
          <w:lang w:val="es-MX"/>
        </w:rPr>
        <w:t>,</w:t>
      </w:r>
      <w:r w:rsidR="005E68A5">
        <w:rPr>
          <w:lang w:val="es-MX"/>
        </w:rPr>
        <w:t>450</w:t>
      </w:r>
      <w:r>
        <w:rPr>
          <w:lang w:val="es-MX"/>
        </w:rPr>
        <w:t>,</w:t>
      </w:r>
      <w:r w:rsidR="005E68A5">
        <w:rPr>
          <w:lang w:val="es-MX"/>
        </w:rPr>
        <w:t>716</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5E68A5">
        <w:rPr>
          <w:lang w:val="es-MX"/>
        </w:rPr>
        <w:t>dic</w:t>
      </w:r>
      <w:r w:rsidR="00EC0BE3">
        <w:rPr>
          <w:lang w:val="es-MX"/>
        </w:rPr>
        <w:t>iembre</w:t>
      </w:r>
      <w:r>
        <w:rPr>
          <w:lang w:val="es-MX"/>
        </w:rPr>
        <w:t xml:space="preserve"> un importe de </w:t>
      </w:r>
      <w:r w:rsidRPr="004466A7">
        <w:rPr>
          <w:lang w:val="es-MX"/>
        </w:rPr>
        <w:t>$</w:t>
      </w:r>
      <w:r>
        <w:rPr>
          <w:lang w:val="es-MX"/>
        </w:rPr>
        <w:t xml:space="preserve"> </w:t>
      </w:r>
      <w:r w:rsidR="005E68A5">
        <w:rPr>
          <w:lang w:val="es-MX"/>
        </w:rPr>
        <w:t>-1</w:t>
      </w:r>
      <w:r>
        <w:rPr>
          <w:lang w:val="es-MX"/>
        </w:rPr>
        <w:t>,</w:t>
      </w:r>
      <w:r w:rsidR="005E68A5">
        <w:rPr>
          <w:lang w:val="es-MX"/>
        </w:rPr>
        <w:t>300</w:t>
      </w:r>
      <w:r>
        <w:rPr>
          <w:lang w:val="es-MX"/>
        </w:rPr>
        <w:t>,</w:t>
      </w:r>
      <w:r w:rsidR="005E68A5">
        <w:rPr>
          <w:lang w:val="es-MX"/>
        </w:rPr>
        <w:t>858,344</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E68A5">
        <w:rPr>
          <w:lang w:val="es-MX"/>
        </w:rPr>
        <w:t>1</w:t>
      </w:r>
      <w:r w:rsidRPr="00DA18AC">
        <w:rPr>
          <w:lang w:val="es-MX"/>
        </w:rPr>
        <w:t xml:space="preserve"> de </w:t>
      </w:r>
      <w:r w:rsidR="005E68A5">
        <w:rPr>
          <w:lang w:val="es-MX"/>
        </w:rPr>
        <w:t>dic</w:t>
      </w:r>
      <w:r w:rsidR="00EC0BE3">
        <w:rPr>
          <w:lang w:val="es-MX"/>
        </w:rPr>
        <w:t>iembre</w:t>
      </w:r>
      <w:r w:rsidRPr="00DA18AC">
        <w:rPr>
          <w:lang w:val="es-MX"/>
        </w:rPr>
        <w:t xml:space="preserve"> de 201</w:t>
      </w:r>
      <w:r w:rsidR="00FE6B37">
        <w:rPr>
          <w:lang w:val="es-MX"/>
        </w:rPr>
        <w:t>9</w:t>
      </w:r>
      <w:r w:rsidRPr="00DA18AC">
        <w:rPr>
          <w:lang w:val="es-MX"/>
        </w:rPr>
        <w:t xml:space="preserve"> de $ </w:t>
      </w:r>
      <w:r w:rsidR="009743B6">
        <w:rPr>
          <w:lang w:val="es-MX"/>
        </w:rPr>
        <w:t>-</w:t>
      </w:r>
      <w:r w:rsidR="005E68A5">
        <w:rPr>
          <w:lang w:val="es-MX"/>
        </w:rPr>
        <w:t>336</w:t>
      </w:r>
      <w:r w:rsidRPr="00DA18AC">
        <w:rPr>
          <w:lang w:val="es-MX"/>
        </w:rPr>
        <w:t>,</w:t>
      </w:r>
      <w:r w:rsidR="005E68A5">
        <w:rPr>
          <w:lang w:val="es-MX"/>
        </w:rPr>
        <w:t>803</w:t>
      </w:r>
      <w:r w:rsidRPr="00DA18AC">
        <w:rPr>
          <w:lang w:val="es-MX"/>
        </w:rPr>
        <w:t>,</w:t>
      </w:r>
      <w:r w:rsidR="005E68A5">
        <w:rPr>
          <w:lang w:val="es-MX"/>
        </w:rPr>
        <w:t>711</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53400D"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65pt" o:ole="">
            <v:imagedata r:id="rId8" o:title=""/>
          </v:shape>
          <o:OLEObject Type="Embed" ProgID="Excel.Sheet.12" ShapeID="_x0000_i1025" DrawAspect="Content" ObjectID="_1641744562"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5E1149"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90.5pt;height:294.35pt;z-index:251663360">
            <v:imagedata r:id="rId10" o:title=""/>
            <w10:wrap type="topAndBottom"/>
          </v:shape>
          <o:OLEObject Type="Embed" ProgID="Excel.Sheet.12" ShapeID="_x0000_s1046" DrawAspect="Content" ObjectID="_1641744563" r:id="rId11"/>
        </w:object>
      </w: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5E1149"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88.85pt;height:419.05pt;z-index:251664384">
            <v:imagedata r:id="rId12" o:title=""/>
            <w10:wrap type="topAndBottom"/>
          </v:shape>
          <o:OLEObject Type="Embed" ProgID="Excel.Sheet.12" ShapeID="_x0000_s1047" DrawAspect="Content" ObjectID="_1641744564"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5E68A5">
        <w:rPr>
          <w:rFonts w:ascii="Arial" w:hAnsi="Arial" w:cs="Arial"/>
          <w:sz w:val="18"/>
          <w:szCs w:val="18"/>
        </w:rPr>
        <w:t>dic</w:t>
      </w:r>
      <w:r w:rsidR="0070431B">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En el tercer trimestre de 2019 la economía mundial continuó mostrando signos de desaceleración en línea con el desarrollo del ciclo económico. Las tensiones comerciales y los conflictos geopolíticos fueron factores que contribuyeron a la desaceleración global de manera importante. Los sectores más afectados de las economías fueron aquellos con mayor exposición al comercio internacional como es el sector agrícola y el industrial, de este último destacan las manufacturas, en particular los medios de transporte y los productos electrónicos.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En este contexto, el Fondo Monetario Internacional (FMI), en su actualización del reporte de Perspectivas de la Economía Mundial de octubre respecto a las presentadas en julio, revisó a la baja su estimación para el ritmo de crecimiento de la economía mundial para el cierre de 2019 de 3.2 a 3.0% y para 2020 de 3.5 a 3.4%. Pese a este contexto de mayor incertidumbre ante las tensiones comerciales y geopolíticas, y la desaceleración de la economía mundial, los niveles de empleo permanecen sólidos, con salarios creciendo marginalmente, aunque sin presiones inflacionarias importantes. En este entorno, los principales bancos centrales del mundo, tanto de las economías avanzadas como emergentes, relajaron su postura monetaria para apoyar la expansión de la actividad económica. En línea con el proceso de desaceleración en la actividad económica global, la actividad económica en México ha mostrado una desaceleración en su ritmo de crecimiento. Muestra de ello es la contracción en las actividades industriales, específicamente en los sectores de minería y construcción que han ligado tres trimestres con registros negativos en su crecimiento, así como la disminución significativa en los niveles destinados a la inversión pública y privada y el estancamiento del gasto de consumo. No obstante, respecto al mercado laboral, durante el tercer trimestre de 2019 la generación de empleos formales exhibió un crecimiento positivo, aunque con un ritmo de expansión menor.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Mientras que las trayectorias de las tasas de participación, de desempleo y de informalidad se mantuvieron en niveles similares a los observados en el segundo trimestre del año. Por su parte, los salarios reales (contractuales y de cotización en el IMSS) así como las remuneraciones reales por persona ocupada en el sector manufacturero exhibieron incrementos anuales en términos reales. En materia de precios, durante el tercer trimestre de 2019 se consolidó el proceso de convergencia de la tasa de inflación hacia su nivel objetivo de 3%. La reducción de la inflación general fue resultado principalmente de las reducciones registradas en el componente no subyacente, en particular, en los productos energéticos. Por su parte, el componente subyacente se ha mantenido relativamente estable en niveles superiores al objetivo de 3%, pero dentro del intervalo de variabilidad de este objetivo. En consecuencia, durante el trimestre, la Junta de Gobierno del Banco de México realizó dos recortes de 25 puntos base a su tasa de referencia, ubicándola al cierre de septiembre en un nivel de 7.75%. Al cierre del tercer trimestre, el tipo de cambio registró una depreciación de 2.66%. Adicionalmente, la variación de la moneda respecto al dólar mostró una mayor volatilidad en el tercer trimestre en comparación con el segundo trimestre, lo cual fue un reflejo de la incertidumbre generada por las tensiones comerciales a nivel global y la posibilidad de la aprobación del Tratado entre México, Estados Unidos y Canadá (T-MEC) por el Congreso estadounidense. </w:t>
      </w:r>
    </w:p>
    <w:p w:rsidR="00AF4C0F" w:rsidRPr="00AF4C0F" w:rsidRDefault="00AF4C0F" w:rsidP="00AF4C0F">
      <w:pPr>
        <w:tabs>
          <w:tab w:val="left" w:pos="284"/>
        </w:tabs>
        <w:ind w:left="284"/>
        <w:jc w:val="both"/>
        <w:rPr>
          <w:rFonts w:ascii="Arial" w:hAnsi="Arial" w:cs="Arial"/>
          <w:sz w:val="18"/>
          <w:szCs w:val="18"/>
        </w:rPr>
      </w:pP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lastRenderedPageBreak/>
        <w:t xml:space="preserve">A pesar del entorno económico, al cierre del tercer trimestre de 2019, los principales balances de finanzas públicas fueron mejores que lo programado. Se registró un superávit primario del Sector Público, definido como la diferencia entre los ingresos totales y los gastos distintos del costo financiero, de 279 mil 868 millones de pesos, mayor al monto previsto originalmente de 153 mil 93 millones de pesos y al registrado el año anterior de 114 mil 202 millones de pesos. Este nivel de superávit primario es compatible con el estimado en los Criterios Generales de Política Económica 2019 de 1.0% del PIB. En el mismo periodo, el balance del Sector Público presentó un déficit de 160 mil 226 millones de pesos, menor al previsto en el programa de 349 mil 533 millones de pesos y al déficit de 311 mil 19 millones de pesos observado en el mismo periodo de 2018. Los Requerimientos Financieros del Sector Público (RFSP), la medida más amplia del balance del sector público federal, registraron un déficit de 172 mil 480 millones de pesos. En el mismo periodo del año anterior, los RFSP presentaron un déficit de 304 mil 601 millones de pesos. Cabe destacar que para fortalecer la posición financiera de Pemex y mejorar su rentabilidad y contribución estratégica de largo plazo a la economía mexicana, en septiembre el Gobierno de México realizó una aportación patrimonial a la empresa de 97 mil 131 millones de pesos. Esta operación no tendrá impacto en la deuda neta del sector público o en el Saldo Histórico de los Requerimientos Financieros del Sector Público. Con esta aportación patrimonial Pemex realizó la recompra de un monto agregado de aproximadamente 5 mil 5 millones de dólares en bonos, reduciendo significativamente su deuda en dólares con vencimientos entre enero 2020 y septiembre 2023.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En enero-septiembre de 2019 los ingresos presupuestarios totales del sector público fueron inferiores al programa en 12 mil 6 millones de pesos y mayores en 1.0% real respecto a los recaudados en igual lapso del año anterior. La desviación respecto al programa se explica por menores ingresos petroleros en 62 mil 393 millones de pesos, debido principalmente a una menor plataforma de producción y volumen de ventas internas de Pemex; menores ingresos de la CFE en 8 mil 758 millones de pesos; menores ingresos tributarios en 68 mil 87 millones de pesos respecto al programa, debido principalmente a una menor recaudación del IVA neto, que se compensaron en parte por ingresos no tributarios superiores a lo previsto por 109 mil 566 millones de pesos y por ingresos de las entidades de control presupuestario directo (IMSS e ISSSTE) mayores en 17 mil 666 millones de pesos. Al excluir la aportación patrimonial del Gobierno Federal a Pemex, los ingresos petroleros registran una desviación con respecto a lo aprobado de 159 mil 524 millones de pesos, lo que implica una caída de 17.7% con respecto al tercer trimestre de 2018. En el periodo enero-septiembre de 2019, el gasto neto pagado se ubicó en 4 billones 187 mil 16 millones de pesos, monto inferior al previsto en el programa en 151 mil 337 millones de pesos.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A su interior, el gasto programable fue menor al programa en 80 mil 992 millones de pesos, lo que obedece principalmente a un menor gasto en 23 mil 658 millones de pesos de la Administración Pública Centralizada y en 91 mil 788 millones de pesos en el IMSS, el ISSSTE y Pemex, conjuntamente, que se compensan parcialmente por el mayor gasto de la CFE respecto a lo originalmente previsto por 33 mil 738 millones de pesos. Al excluir la aportación patrimonial del Gobierno Federal a Pemex, el gasto programable de la Administración Pública Centralizada es menor en 120 mil 789 millones de pesos a lo previsto. El gasto no programable fue inferior en 70 mil 345 millones de pesos a lo previsto, debido al menor costo financiero por 37 mil 665 millones de pesos; menores participaciones por 24 mil 68 millones de pesos y menor pago de Adefas y otros por 8 mil 612 millones de pesos. Los resultados de finanzas públicas al cierre del tercer trimestre de 2019 ratifican el compromiso de la Administración con finanzas públicas sanas.</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Para 2019 se prevé alcanzar un balance primario de 1.0% del PIB como fue presentado en el Paquete Económico 2019. Asimismo, se prevé que los RFSP representen 2.7% del PIB, nivel superior al presentado en el Paquete Económico 2019 de 2.5% del PIB. Este incremento se explica, principalmente por la reducción de activos financieros del Gobierno Federal como resultado del uso del Fondo de Estabilización de los Ingresos Presupuestarios (FEIP) para compensar los menores ingresos del Gobierno Federal respecto a los aprobados en la Ley de Ingresos de la Federación para el ejercicio fiscal 2019. La estimación de cierre para estas variables permite prever que el Saldo Histórico de los RFSP (SHRFSP) se ubicará en 45.3% del PIB, en congruencia con lo presentado en el Paquete Económico 2019.</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En línea con el proceso de desaceleración en la actividad económica global que se ha venido manifestando a lo largo de 2019, la información macroeconómica correspondiente al cierre del segundo trimestre y a los primeros meses del tercer trimestre de 2019 indica una desaceleración en el ritmo de crecimiento de la economía mexicana. En el segundo trimestre de 2019, el PIB registró una disminución en términos reales de 0.8% en su comparación anual, mientras que, al eliminar el efecto estacional, el nivel del PIB en el segundo trimestre de 2019 no registró variación en términos reales con respecto al nivel observado en el primer trimestre del año. Por </w:t>
      </w:r>
      <w:r w:rsidRPr="004D5BEA">
        <w:rPr>
          <w:rFonts w:ascii="Arial" w:hAnsi="Arial" w:cs="Arial"/>
          <w:sz w:val="18"/>
          <w:szCs w:val="18"/>
        </w:rPr>
        <w:lastRenderedPageBreak/>
        <w:t xml:space="preserve">sector de actividad económica, la desaceleración en el ritmo de crecimiento de la actividad económica agregada es resultado, principalmente, de la contracción en las actividades industriales, específicamente en los sectores de minería y construcción, los cuales ligaron tres trimestres con registros negativos en su crecimiento.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Respecto a los componentes de la demanda interna, la desaceleración se reflejó en una contracción significativa en los niveles destinados a la inversión pública y privada y un estancamiento del gasto de consumo. Por su parte, la balanza comercial registró un superávit comercial histórico, resultado de una expansión significativa en las exportaciones, particularmente las no petroleras, y de una disminución en las importaciones de capital. La información disponible para los primeros dos meses (julio-agosto) del tercer trimestre de 2019 muestra que el promedio del IGAE registró una disminución de 0.3% respecto al promedio del mismo bimestre de 2018. No obstante, eliminando el factor estacional, el promedio del IGAE en el bimestre no registro variación con respecto al promedio de los últimos dos meses (mayo-junio) del segundo trimestre de 2019. La ausencia de crecimiento en el IGAE durante el bimestre quedó determinada por la expansión registrada en las actividades primarias y secundarias, mientras que las actividades terciarias fueron las que registraron una contracción durante el periodo. A pesar de la desaceleración observada en la actividad económica, durante los primeros dos meses del tercer trimestre las actividades industriales se expandieron, indicando una leve mejoría en su dinámica de crecimiento, concretamente en los sectores de minería y construcción. Respecto al mercado laboral, durante el tercer trimestre de 2019 la generación de empleos formales exhibió un crecimiento positivo, aunque con un ritmo de expansión menor; por su parte, las trayectorias de las tasas de participación, de desempleo y de informalidad se mantuvieron en niveles similares a las observadas en el segundo trimestre del año.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Mientras tanto, los salarios reales (contractuales y de cotización en el IMSS) así como las remuneraciones reales por persona ocupada en el sector manufacturero exhibieron incrementos en términos reales a tasa anual. En materia de precios, durante el tercer trimestre de 2019 se consolidó el proceso de convergencia de la tasa de inflación hacia su nivel objetivo de 3%. La reducción de la inflación general fue resultado principalmente de las reducciones registradas en el componente no subyacente, en particular, en los productos energéticos. Por su parte el 32 componente subyacente se ha mantenido relativamente estable en niveles superiores al objetivo de 3%, pero dentro del intervalo de variabilidad de este objetivo. Producción de bienes y servicios por sector de actividad económica Segundo trimestre de 2019 Durante el segundo trimestre de 2019, el nivel de actividad económica contabilizado a través del Producto Interno Bruto (PIB) registró una disminución en términos reales de 0.8% en su comparación anual. El menor nivel en la actividad económica agregada en el trimestre estuvo determinado por la combinación de una contracción en las actividades industriales (concretamente en los sectores de minería y construcción), por un nulo crecimiento en el sector servicios y por una expansión en las actividades agropecuarias. No obstante, al eliminar el efecto estacional, el nivel del PIB en el segundo trimestre de 2019 no registró variación en términos reales con respecto al nivel observado en el trimestre previo.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La ausencia en el crecimiento de la actividad económica agregada, en su comparación trimestral, quedó establecida por la expansión en el sector servicios, mientras que las actividades industriales y agropecuarias fueron las que registraron una contracción durante el periodo.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Eliminando los efectos del calendario, para el periodo abril-junio de 2019 la dinámica de crecimiento por sector y subsector de la actividad económica con respecto al primer trimestre del año fue la siguiente: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El nivel de actividad en el sector primario registró una disminución de 3.4%, reflejo de una contracción en las actividades agrícolas.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El nivel de actividad en el sector secundario disminuyó 0.2%, ligando tres trimestres consecutivos en los cuales se registra una contracción. Al interior del sector secundario, por subsector de actividad económica se destaca lo siguiente: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t xml:space="preserve">El subsector de la minería presentó una disminución de 1.1%, alcanzando seis trimestres consecutivos contrayéndose.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t xml:space="preserve">El subsector eléctrico, que incluye el suministro de agua y gas, se expandió 1.6%, luego de dos trimestres en donde se habían registrado disminuciones en su crecimiento.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lastRenderedPageBreak/>
        <w:t xml:space="preserve">El subsector de la construcción reportó una contracción de 2.9%, ligando cinco trimestres consecutivos sin registros positivos en su crecimiento.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t xml:space="preserve">El subsector de las manufacturas se expandió 1.1%, después de dos trimestres en donde no se habían registrado incrementos.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El nivel de actividad en el sector terciario se expandió 0.2%. Los subsectores que más contribuyeron al crecimiento fueron el comercio al por menor y el transporte, mientras que el subsector del comercio al por mayor registró una contracción.</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Con base en las cifras oportunas, durante el tercer trimestre de 2019, la balanza comercial presentó un déficit comercial de 458 millones de dólares, cifra menor que el déficit observado de 5,754 millones de dólares en el mismo trimestre de 2018. En su comparación anual, el déficit registrado se debió a la ampliación del superávit de la balanza no petrolera, que pasó de 270 a 4,836 millones de dólares para el periodo de referencia y a la reducción del déficit de la balanza petrolera, que pasó de un déficit de 6,024 millones de dólares en el tercer trimestre de 2018, a un déficit de 5,294 millones de dólares en el mismo periodo de 2019.</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Durante el tercer trimestre de 2019, las exportaciones totales registraron un incremento anual de 2.6% como resultado del crecimiento de las exportaciones no petroleras, principalmente.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Las exportaciones no petroleras se expandieron a tasa anual en 4.7% durante el tercer trimestre de 2019. Al interior de este rubro, las exportaciones manufactureras y las agropecuarias se incrementaron 4.1% y 26.8%, respectivamente; mientras que las exportaciones extractivas disminuyeron 0.7% con respecto al tercer trimestre del año previo.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Por su parte, las exportaciones petroleras mostraron una reducción anual de 24.3% durante julio-septiembre de 2019.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Por destino, las exportaciones no petroleras dirigidas a Estados Unidos aumentaron 5.5% anual y las destinadas al resto del mundo presentaron un avance de 0.8% anual. Durante el tercer trimestre de 2019, las importaciones disminuyeron 1.9% en comparación con el mismo trimestre del año previo, como resultado de la reducción en las importaciones de bienes de consumo (-5.7%) y las de capital (-14.7%).</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Durante el tercer trimestre de 2019, los mercados financieros nacionales estuvieron afectados por la desaceleración de la economía mundial y la presencia de factores de riesgo, principalmente externos, que aumentaron su volatilidad. Las variables financieras en el mercado local mostraron un desempeño mixto y en línea con otras economías emergentes. En particular, los mercados cambiarios y accionarios registraron un desempeño negativo, mientras que el mercado de renta fija exhibió un incremento en el precio de los bonos gubernamentales.</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Durante el tercer trimestre de 2019, la Junta de Gobierno del Banco de México se reunió en dos ocasiones y en ambas decidió recortar su tasa de referencia en 25 puntos base, ubicándola al cierre del trimestre en un nivel de 7.75%. Cabe destacar que, en su última reunión del 26 de septiembre, dos miembros votaron a favor de reducir la tasa objetivo en 50 puntos base, mientras que tres miembros votaron por un recorte de 25 puntos base. En el comunicado, la Junta de Gobierno del banco central destacó que el recorte considera la disminución de la inflación general, la amplitud de las condiciones de holgura de la economía y el comportamiento reciente de las curvas de rendimiento externas e internas. Por último, la Junta añadió que dará un seguimiento cercano a todos los factores y elementos de incertidumbre que inciden tanto en el comportamiento de la inflación como en la de sus perspectivas y tomará las acciones que se requieran con base en la información disponible.</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0F5D5C" w:rsidRPr="004D5BEA" w:rsidRDefault="000F5D5C"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drawing>
          <wp:inline distT="0" distB="0" distL="0" distR="0">
            <wp:extent cx="2560320" cy="3555365"/>
            <wp:effectExtent l="0" t="0" r="0" b="698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5365"/>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627 mil 447 personas y representa 1.1% del total nacional. La población ocupada representó 97% de la PEA de la entidad, es decir, 604 mil 668 personas. De esta población, 59 % son hombres y 41 % son mujeres. Un dato a destacar es el aumento de la participación laboral femenina en el estado. En 2000, la proporción de mujeres trabajadoras tlaxcaltecas dentro de la población ocupada total era de 34%. Actualmente, alcanza 41%, 2 puntos porcentuales mayor al promedio nacional.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Al mes de septiembre de 2019 la tasa de ocupación reflejó una participación del 1.1 % al total nacional, representando un incremento de 1,997 puestos de trabajo respecto a diciembre de 2018. Al mes de noviembre de 2019, se tienen registrados 104,903 trabajadores asegurados en el IMSS, tal y como se muestra en el siguiente cuadro:</w:t>
      </w: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lastRenderedPageBreak/>
        <w:drawing>
          <wp:inline distT="0" distB="0" distL="0" distR="0">
            <wp:extent cx="8119745" cy="430149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5746" t="26006" r="14308" b="14655"/>
                    <a:stretch>
                      <a:fillRect/>
                    </a:stretch>
                  </pic:blipFill>
                  <pic:spPr bwMode="auto">
                    <a:xfrm>
                      <a:off x="0" y="0"/>
                      <a:ext cx="8119745" cy="4301490"/>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lastRenderedPageBreak/>
        <w:drawing>
          <wp:inline distT="0" distB="0" distL="0" distR="0">
            <wp:extent cx="6722745" cy="5083810"/>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9781" t="30606" r="29346" b="14549"/>
                    <a:stretch>
                      <a:fillRect/>
                    </a:stretch>
                  </pic:blipFill>
                  <pic:spPr bwMode="auto">
                    <a:xfrm>
                      <a:off x="0" y="0"/>
                      <a:ext cx="6722745" cy="5083810"/>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De acuerdo al Directorio Estadístico Nacional de Unidades Económicas, Tlaxcala cuenta con 81,102 Unidades Económicas, lo que representa el 2 % del total nacional. Al tercer trimestre de 2019 la Población Económicamente Activa (PEA) ascendió a 627,447 personas, representando el 63 % de la población en edad de trabajar. Del Total de la PEA, el 97 % está ocupada y el 3 % se encuentra desocupada.</w:t>
      </w:r>
    </w:p>
    <w:p w:rsidR="004D5BEA" w:rsidRPr="004D5BEA" w:rsidRDefault="004D5BEA"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drawing>
          <wp:inline distT="0" distB="0" distL="0" distR="0">
            <wp:extent cx="5852160" cy="44551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5572" t="21272" r="24660" b="11349"/>
                    <a:stretch>
                      <a:fillRect/>
                    </a:stretch>
                  </pic:blipFill>
                  <pic:spPr bwMode="auto">
                    <a:xfrm>
                      <a:off x="0" y="0"/>
                      <a:ext cx="5852160" cy="4455160"/>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4D5BEA" w:rsidRPr="004D5BEA" w:rsidRDefault="004D5BEA"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noProof/>
          <w:sz w:val="18"/>
          <w:szCs w:val="18"/>
          <w:lang w:eastAsia="es-MX"/>
        </w:rPr>
        <w:drawing>
          <wp:inline distT="0" distB="0" distL="0" distR="0">
            <wp:extent cx="8281035" cy="436689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1035" cy="4366895"/>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D1C90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4D5BEA">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Neovolcánico, que atraviesa como un cinturón la parte central de México, de oriente a poniente hasta alcanzar el mar </w:t>
      </w:r>
      <w:r w:rsidRPr="0073056A">
        <w:rPr>
          <w:rFonts w:ascii="Arial" w:hAnsi="Arial" w:cs="Arial"/>
          <w:sz w:val="18"/>
          <w:szCs w:val="18"/>
        </w:rPr>
        <w:lastRenderedPageBreak/>
        <w:t>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w:t>
      </w:r>
      <w:r w:rsidRPr="0073056A">
        <w:rPr>
          <w:rFonts w:ascii="Arial" w:hAnsi="Arial" w:cs="Arial"/>
          <w:sz w:val="18"/>
          <w:szCs w:val="18"/>
        </w:rPr>
        <w:lastRenderedPageBreak/>
        <w:t>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w:t>
      </w:r>
      <w:r>
        <w:rPr>
          <w:rFonts w:ascii="Arial" w:hAnsi="Arial" w:cs="Arial"/>
          <w:sz w:val="18"/>
          <w:szCs w:val="18"/>
        </w:rPr>
        <w:lastRenderedPageBreak/>
        <w:t xml:space="preserve">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0B552D" w:rsidRDefault="000B552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0B552D" w:rsidRDefault="000B552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0B552D" w:rsidRDefault="000B552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0B552D" w:rsidRDefault="000B552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0B552D" w:rsidRDefault="000B552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0B552D" w:rsidRDefault="000B552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0B552D" w:rsidRDefault="000B552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149" w:rsidRDefault="005E1149" w:rsidP="00EA5418">
      <w:pPr>
        <w:spacing w:after="0" w:line="240" w:lineRule="auto"/>
      </w:pPr>
      <w:r>
        <w:separator/>
      </w:r>
    </w:p>
  </w:endnote>
  <w:endnote w:type="continuationSeparator" w:id="0">
    <w:p w:rsidR="005E1149" w:rsidRDefault="005E114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Pr="004E3EA4" w:rsidRDefault="000B552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6471D" w:rsidRPr="0096471D">
          <w:rPr>
            <w:rFonts w:ascii="Arial" w:hAnsi="Arial" w:cs="Arial"/>
            <w:noProof/>
            <w:sz w:val="20"/>
            <w:lang w:val="es-ES"/>
          </w:rPr>
          <w:t>20</w:t>
        </w:r>
        <w:r w:rsidRPr="004E3EA4">
          <w:rPr>
            <w:rFonts w:ascii="Arial" w:hAnsi="Arial" w:cs="Arial"/>
            <w:sz w:val="20"/>
          </w:rPr>
          <w:fldChar w:fldCharType="end"/>
        </w:r>
      </w:sdtContent>
    </w:sdt>
  </w:p>
  <w:p w:rsidR="000B552D" w:rsidRDefault="000B55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Pr="003527CD" w:rsidRDefault="000B552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6471D" w:rsidRPr="0096471D">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149" w:rsidRDefault="005E1149" w:rsidP="00EA5418">
      <w:pPr>
        <w:spacing w:after="0" w:line="240" w:lineRule="auto"/>
      </w:pPr>
      <w:r>
        <w:separator/>
      </w:r>
    </w:p>
  </w:footnote>
  <w:footnote w:type="continuationSeparator" w:id="0">
    <w:p w:rsidR="005E1149" w:rsidRDefault="005E114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Default="003D5A25">
    <w:pPr>
      <w:pStyle w:val="Encabezado"/>
    </w:pPr>
    <w:r>
      <w:rPr>
        <w:noProof/>
        <w:lang w:eastAsia="es-MX"/>
      </w:rPr>
      <mc:AlternateContent>
        <mc:Choice Requires="wps">
          <w:drawing>
            <wp:anchor distT="0" distB="0" distL="114300" distR="114300" simplePos="0" relativeHeight="251668480" behindDoc="0" locked="0" layoutInCell="1" allowOverlap="1" wp14:anchorId="23EEE4D7" wp14:editId="1ECDD397">
              <wp:simplePos x="0" y="0"/>
              <wp:positionH relativeFrom="column">
                <wp:posOffset>1971675</wp:posOffset>
              </wp:positionH>
              <wp:positionV relativeFrom="paragraph">
                <wp:posOffset>-268605</wp:posOffset>
              </wp:positionV>
              <wp:extent cx="3648075" cy="4667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B552D" w:rsidRDefault="000B552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B552D" w:rsidRPr="00275FC6" w:rsidRDefault="000B552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EE4D7" id="_x0000_t202" coordsize="21600,21600" o:spt="202" path="m,l,21600r21600,l21600,xe">
              <v:stroke joinstyle="miter"/>
              <v:path gradientshapeok="t" o:connecttype="rect"/>
            </v:shapetype>
            <v:shape id="Cuadro de texto 5" o:spid="_x0000_s1102" type="#_x0000_t202" style="position:absolute;margin-left:155.25pt;margin-top:-21.15pt;width:287.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" filled="f" stroked="f">
              <v:textbox>
                <w:txbxContent>
                  <w:p w:rsidR="000B552D" w:rsidRDefault="000B552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B552D" w:rsidRDefault="000B552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B552D" w:rsidRPr="00275FC6" w:rsidRDefault="000B552D" w:rsidP="00040466">
                    <w:pPr>
                      <w:jc w:val="right"/>
                      <w:rPr>
                        <w:rFonts w:ascii="Soberana Titular" w:hAnsi="Soberana Titular" w:cs="Arial"/>
                        <w:color w:val="808080" w:themeColor="background1" w:themeShade="80"/>
                        <w:sz w:val="20"/>
                        <w:szCs w:val="20"/>
                      </w:rPr>
                    </w:pPr>
                  </w:p>
                </w:txbxContent>
              </v:textbox>
            </v:shape>
          </w:pict>
        </mc:Fallback>
      </mc:AlternateContent>
    </w:r>
    <w:r w:rsidR="000B552D">
      <w:rPr>
        <w:noProof/>
        <w:lang w:eastAsia="es-MX"/>
      </w:rPr>
      <mc:AlternateContent>
        <mc:Choice Requires="wpg">
          <w:drawing>
            <wp:anchor distT="0" distB="0" distL="114300" distR="114300" simplePos="0" relativeHeight="251669504" behindDoc="0" locked="0" layoutInCell="1" allowOverlap="1" wp14:anchorId="6D779B3E" wp14:editId="208B880B">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52D" w:rsidRPr="00DE4269" w:rsidRDefault="000B552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79B3E"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0B552D" w:rsidRPr="00DE4269" w:rsidRDefault="000B552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sidR="000B552D">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70E97AD" wp14:editId="15DD9D32">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Pr="003527CD" w:rsidRDefault="000B552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2921"/>
    <w:rsid w:val="00037045"/>
    <w:rsid w:val="00037E57"/>
    <w:rsid w:val="00040466"/>
    <w:rsid w:val="000417DA"/>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4D45"/>
    <w:rsid w:val="000D553D"/>
    <w:rsid w:val="000E0A96"/>
    <w:rsid w:val="000E10A7"/>
    <w:rsid w:val="000E4072"/>
    <w:rsid w:val="000E5C7A"/>
    <w:rsid w:val="000E6692"/>
    <w:rsid w:val="000F0E08"/>
    <w:rsid w:val="000F1B18"/>
    <w:rsid w:val="000F5D5C"/>
    <w:rsid w:val="00100FD7"/>
    <w:rsid w:val="0010182C"/>
    <w:rsid w:val="00105410"/>
    <w:rsid w:val="00112770"/>
    <w:rsid w:val="001130E9"/>
    <w:rsid w:val="001156F5"/>
    <w:rsid w:val="00115E5C"/>
    <w:rsid w:val="00115FAF"/>
    <w:rsid w:val="001203B5"/>
    <w:rsid w:val="00120A86"/>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12203"/>
    <w:rsid w:val="00221C53"/>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52F9"/>
    <w:rsid w:val="002F546C"/>
    <w:rsid w:val="00300EF3"/>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4047"/>
    <w:rsid w:val="0035405F"/>
    <w:rsid w:val="0035468F"/>
    <w:rsid w:val="00356170"/>
    <w:rsid w:val="003612CA"/>
    <w:rsid w:val="00365BA0"/>
    <w:rsid w:val="00370FF6"/>
    <w:rsid w:val="00372F40"/>
    <w:rsid w:val="00374E36"/>
    <w:rsid w:val="00375F89"/>
    <w:rsid w:val="00380E8C"/>
    <w:rsid w:val="00380EE2"/>
    <w:rsid w:val="003811EC"/>
    <w:rsid w:val="00382E8F"/>
    <w:rsid w:val="00383BCB"/>
    <w:rsid w:val="00386DD7"/>
    <w:rsid w:val="00386E53"/>
    <w:rsid w:val="003900E3"/>
    <w:rsid w:val="00390936"/>
    <w:rsid w:val="00390A9A"/>
    <w:rsid w:val="00393281"/>
    <w:rsid w:val="00393659"/>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A25"/>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714CF"/>
    <w:rsid w:val="00474420"/>
    <w:rsid w:val="00480F7F"/>
    <w:rsid w:val="004842C3"/>
    <w:rsid w:val="00484C0D"/>
    <w:rsid w:val="00487AC2"/>
    <w:rsid w:val="0049279C"/>
    <w:rsid w:val="00493E27"/>
    <w:rsid w:val="00497D8B"/>
    <w:rsid w:val="004A2969"/>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562F"/>
    <w:rsid w:val="0052637F"/>
    <w:rsid w:val="00530DED"/>
    <w:rsid w:val="0053277D"/>
    <w:rsid w:val="005327CE"/>
    <w:rsid w:val="0053400D"/>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D38"/>
    <w:rsid w:val="00587618"/>
    <w:rsid w:val="005876AE"/>
    <w:rsid w:val="0059084C"/>
    <w:rsid w:val="00590C01"/>
    <w:rsid w:val="00592B24"/>
    <w:rsid w:val="005A3CCB"/>
    <w:rsid w:val="005A53BA"/>
    <w:rsid w:val="005A57AD"/>
    <w:rsid w:val="005B048C"/>
    <w:rsid w:val="005B0F75"/>
    <w:rsid w:val="005C02A4"/>
    <w:rsid w:val="005C0F25"/>
    <w:rsid w:val="005C1613"/>
    <w:rsid w:val="005C1E73"/>
    <w:rsid w:val="005C36E3"/>
    <w:rsid w:val="005C4BC3"/>
    <w:rsid w:val="005D3D25"/>
    <w:rsid w:val="005D5223"/>
    <w:rsid w:val="005D568E"/>
    <w:rsid w:val="005E1149"/>
    <w:rsid w:val="005E68A5"/>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0245"/>
    <w:rsid w:val="006B1FE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005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18D0"/>
    <w:rsid w:val="00941FB8"/>
    <w:rsid w:val="009437BD"/>
    <w:rsid w:val="009458FF"/>
    <w:rsid w:val="0095031E"/>
    <w:rsid w:val="00952714"/>
    <w:rsid w:val="00953127"/>
    <w:rsid w:val="00954137"/>
    <w:rsid w:val="00955BF1"/>
    <w:rsid w:val="00957043"/>
    <w:rsid w:val="00957060"/>
    <w:rsid w:val="00960EC6"/>
    <w:rsid w:val="009632A0"/>
    <w:rsid w:val="0096471D"/>
    <w:rsid w:val="00964A60"/>
    <w:rsid w:val="0096610B"/>
    <w:rsid w:val="00966C57"/>
    <w:rsid w:val="0097113C"/>
    <w:rsid w:val="009743B6"/>
    <w:rsid w:val="00974D23"/>
    <w:rsid w:val="00975CBF"/>
    <w:rsid w:val="00980D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3279"/>
    <w:rsid w:val="00AA6498"/>
    <w:rsid w:val="00AB2062"/>
    <w:rsid w:val="00AB3613"/>
    <w:rsid w:val="00AB5D6A"/>
    <w:rsid w:val="00AC2CB6"/>
    <w:rsid w:val="00AD27C1"/>
    <w:rsid w:val="00AD46DD"/>
    <w:rsid w:val="00AD4F95"/>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32FA6"/>
    <w:rsid w:val="00B33522"/>
    <w:rsid w:val="00B3680C"/>
    <w:rsid w:val="00B36DB2"/>
    <w:rsid w:val="00B37C20"/>
    <w:rsid w:val="00B41E9F"/>
    <w:rsid w:val="00B42449"/>
    <w:rsid w:val="00B50783"/>
    <w:rsid w:val="00B5253D"/>
    <w:rsid w:val="00B52C96"/>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1D1F"/>
    <w:rsid w:val="00C74C79"/>
    <w:rsid w:val="00C75AE6"/>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6BE0"/>
    <w:rsid w:val="00DB3AF6"/>
    <w:rsid w:val="00DB4C18"/>
    <w:rsid w:val="00DB53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1F1D9-1CF0-4592-9AA5-07C8D36D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9178</Words>
  <Characters>50479</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2020-01-16T16:10:00Z</cp:lastPrinted>
  <dcterms:created xsi:type="dcterms:W3CDTF">2020-01-29T01:23:00Z</dcterms:created>
  <dcterms:modified xsi:type="dcterms:W3CDTF">2020-01-29T01:23:00Z</dcterms:modified>
</cp:coreProperties>
</file>