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B1E01">
        <w:rPr>
          <w:rFonts w:ascii="Arial" w:hAnsi="Arial" w:cs="Arial"/>
          <w:b/>
          <w:sz w:val="18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 xml:space="preserve">En cumplimiento a la Ley General de Contabilidad Gubernamental en su artículo 53, que establece que la Cuenta Pública de la Universidad Politécnica de Tlaxcala,  </w:t>
      </w:r>
      <w:r w:rsidRPr="002B1E01">
        <w:t xml:space="preserve"> </w:t>
      </w:r>
      <w:r w:rsidRPr="002B1E01">
        <w:rPr>
          <w:rFonts w:ascii="Arial" w:hAnsi="Arial" w:cs="Arial"/>
          <w:sz w:val="18"/>
          <w:szCs w:val="18"/>
        </w:rPr>
        <w:t>La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Así mismo el acuerdo por el que se armoniza la estructura de las cuentas públicas, emitido por el Consejo Nacional de Armonización Contable.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actividades;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variación en la hacienda pública;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cambios en la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Informes sobre pasivos contingentes;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Notas a los estados financieros;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activo;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 xml:space="preserve">Estado analítico de la deuda y otros pasivos; y 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flujos de efectivo.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 ingresos;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ejercicio del presupuesto de egresos con las siguientes clasificaciones:</w:t>
      </w:r>
    </w:p>
    <w:p w:rsidR="002B1E01" w:rsidRPr="002B1E01" w:rsidRDefault="002B1E01" w:rsidP="002B1E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Administrativa;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ii.     Económica y por objeto del gasto, y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iii.    Funcional-programática;</w:t>
      </w:r>
    </w:p>
    <w:p w:rsid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Endeudamiento neto;</w:t>
      </w: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Intereses de la deuda.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Gasto por Categoría Programática.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Así como los Anexos correspondientes.</w:t>
      </w:r>
    </w:p>
    <w:sectPr w:rsidR="002B1E01" w:rsidRPr="002B1E0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98" w:rsidRDefault="00FC6B98" w:rsidP="00EA5418">
      <w:pPr>
        <w:spacing w:after="0" w:line="240" w:lineRule="auto"/>
      </w:pPr>
      <w:r>
        <w:separator/>
      </w:r>
    </w:p>
  </w:endnote>
  <w:endnote w:type="continuationSeparator" w:id="0">
    <w:p w:rsidR="00FC6B98" w:rsidRDefault="00FC6B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24B68" w:rsidRPr="00F24B6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24B68" w:rsidRPr="00F24B6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98" w:rsidRDefault="00FC6B98" w:rsidP="00EA5418">
      <w:pPr>
        <w:spacing w:after="0" w:line="240" w:lineRule="auto"/>
      </w:pPr>
      <w:r>
        <w:separator/>
      </w:r>
    </w:p>
  </w:footnote>
  <w:footnote w:type="continuationSeparator" w:id="0">
    <w:p w:rsidR="00FC6B98" w:rsidRDefault="00FC6B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646D9"/>
    <w:rsid w:val="0018678F"/>
    <w:rsid w:val="001B1B72"/>
    <w:rsid w:val="001B7195"/>
    <w:rsid w:val="002865A7"/>
    <w:rsid w:val="002A70B3"/>
    <w:rsid w:val="002B1E01"/>
    <w:rsid w:val="002E5897"/>
    <w:rsid w:val="00307635"/>
    <w:rsid w:val="003171F7"/>
    <w:rsid w:val="00355821"/>
    <w:rsid w:val="003575A4"/>
    <w:rsid w:val="003610E0"/>
    <w:rsid w:val="00372F40"/>
    <w:rsid w:val="003D5DBF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407CA"/>
    <w:rsid w:val="00850E90"/>
    <w:rsid w:val="008A6E4D"/>
    <w:rsid w:val="008B0017"/>
    <w:rsid w:val="008D4272"/>
    <w:rsid w:val="008E3652"/>
    <w:rsid w:val="00A14B74"/>
    <w:rsid w:val="00AB13B7"/>
    <w:rsid w:val="00B15AC1"/>
    <w:rsid w:val="00B17423"/>
    <w:rsid w:val="00B42A02"/>
    <w:rsid w:val="00B849EE"/>
    <w:rsid w:val="00C116E7"/>
    <w:rsid w:val="00C44F01"/>
    <w:rsid w:val="00CA2D37"/>
    <w:rsid w:val="00CB72B7"/>
    <w:rsid w:val="00CC5CB6"/>
    <w:rsid w:val="00D055EC"/>
    <w:rsid w:val="00D404ED"/>
    <w:rsid w:val="00D51261"/>
    <w:rsid w:val="00D748D3"/>
    <w:rsid w:val="00DD230F"/>
    <w:rsid w:val="00E32708"/>
    <w:rsid w:val="00EA5418"/>
    <w:rsid w:val="00F24B68"/>
    <w:rsid w:val="00F96944"/>
    <w:rsid w:val="00FC6B98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C2FB-36E5-4670-B951-53E18CD9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2018-06-29T15:57:00Z</cp:lastPrinted>
  <dcterms:created xsi:type="dcterms:W3CDTF">2018-05-18T19:26:00Z</dcterms:created>
  <dcterms:modified xsi:type="dcterms:W3CDTF">2018-06-29T16:02:00Z</dcterms:modified>
</cp:coreProperties>
</file>