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056042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B716BE" w:rsidRPr="00B372A2" w:rsidRDefault="00B716BE" w:rsidP="00B716BE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El Fondo Macro para el Desarrollo Integral de Tlaxcala </w:t>
      </w:r>
      <w:r w:rsidRPr="00B372A2">
        <w:rPr>
          <w:rFonts w:ascii="Arial" w:hAnsi="Arial" w:cs="Arial"/>
          <w:b/>
          <w:sz w:val="18"/>
          <w:szCs w:val="18"/>
        </w:rPr>
        <w:t>“FOMTLAX”,</w:t>
      </w:r>
      <w:r w:rsidRPr="00B372A2">
        <w:rPr>
          <w:rFonts w:ascii="Arial" w:hAnsi="Arial" w:cs="Arial"/>
          <w:sz w:val="18"/>
          <w:szCs w:val="18"/>
        </w:rPr>
        <w:t xml:space="preserve"> es el Organismo Público Descentralizado de la Administración Pública Estatal que opera recursos financieros para impulsar proyectos productivos y fortalecer el desarrollo económico y social de la entidad. </w:t>
      </w:r>
    </w:p>
    <w:p w:rsidR="00B716BE" w:rsidRPr="00B372A2" w:rsidRDefault="00B716BE" w:rsidP="00B716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presente año a través del </w:t>
      </w:r>
      <w:r w:rsidRPr="00B372A2">
        <w:rPr>
          <w:rFonts w:ascii="Arial" w:hAnsi="Arial" w:cs="Arial"/>
          <w:sz w:val="18"/>
          <w:szCs w:val="18"/>
        </w:rPr>
        <w:t xml:space="preserve"> “Programa de Proyectos Productivos”, </w:t>
      </w:r>
      <w:r>
        <w:rPr>
          <w:rFonts w:ascii="Arial" w:hAnsi="Arial" w:cs="Arial"/>
          <w:sz w:val="18"/>
          <w:szCs w:val="18"/>
        </w:rPr>
        <w:t xml:space="preserve">se otorgan </w:t>
      </w:r>
      <w:r w:rsidRPr="00B372A2">
        <w:rPr>
          <w:rFonts w:ascii="Arial" w:hAnsi="Arial" w:cs="Arial"/>
          <w:sz w:val="18"/>
          <w:szCs w:val="18"/>
        </w:rPr>
        <w:t xml:space="preserve">créditos </w:t>
      </w:r>
      <w:r>
        <w:rPr>
          <w:rFonts w:ascii="Arial" w:hAnsi="Arial" w:cs="Arial"/>
          <w:sz w:val="18"/>
          <w:szCs w:val="18"/>
        </w:rPr>
        <w:t xml:space="preserve">para </w:t>
      </w:r>
      <w:r w:rsidRPr="00B372A2">
        <w:rPr>
          <w:rFonts w:ascii="Arial" w:hAnsi="Arial" w:cs="Arial"/>
          <w:sz w:val="18"/>
          <w:szCs w:val="18"/>
        </w:rPr>
        <w:t xml:space="preserve">las micro y pequeñas empresas, promoviendo proyectos de inversión que fomentan el empleo, como uno de los </w:t>
      </w:r>
      <w:r>
        <w:rPr>
          <w:rFonts w:ascii="Arial" w:hAnsi="Arial" w:cs="Arial"/>
          <w:sz w:val="18"/>
          <w:szCs w:val="18"/>
        </w:rPr>
        <w:t xml:space="preserve">tres </w:t>
      </w:r>
      <w:r w:rsidRPr="00B372A2">
        <w:rPr>
          <w:rFonts w:ascii="Arial" w:hAnsi="Arial" w:cs="Arial"/>
          <w:sz w:val="18"/>
          <w:szCs w:val="18"/>
        </w:rPr>
        <w:t>ejes rectores del Plan Estatal de Desarrollo 2017-2021.</w:t>
      </w:r>
    </w:p>
    <w:p w:rsidR="00B716BE" w:rsidRDefault="00B716BE" w:rsidP="00B716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la recuperación de los créditos, s</w:t>
      </w:r>
      <w:r w:rsidRPr="00B372A2">
        <w:rPr>
          <w:rFonts w:ascii="Arial" w:hAnsi="Arial" w:cs="Arial"/>
          <w:sz w:val="18"/>
          <w:szCs w:val="18"/>
        </w:rPr>
        <w:t xml:space="preserve">e cuenta con un fondo revolvente cuyos recursos se destinan a impulsar a los emprendedores y a fortalecer el desarrollo de unidades productivas en operación, que por sus características tienen limitadas posibilidades de acceder a la banca comercial o de desarrollo, ofreciéndoles a los solicitantes tasas de interés bajas que les permiten inyectar recursos frescos a sus actividades económicas. Las actividades que se financian son agrícolas, ganaderas, comerciales, industriales y de servicios. </w:t>
      </w:r>
    </w:p>
    <w:p w:rsidR="00B716BE" w:rsidRPr="00F66A2F" w:rsidRDefault="00B716BE" w:rsidP="00B716BE">
      <w:pPr>
        <w:jc w:val="both"/>
        <w:rPr>
          <w:rFonts w:ascii="Arial" w:hAnsi="Arial" w:cs="Arial"/>
          <w:sz w:val="18"/>
          <w:szCs w:val="18"/>
        </w:rPr>
      </w:pPr>
      <w:r w:rsidRPr="009E589A">
        <w:rPr>
          <w:rFonts w:ascii="Arial" w:hAnsi="Arial" w:cs="Arial"/>
          <w:sz w:val="18"/>
          <w:szCs w:val="18"/>
        </w:rPr>
        <w:t>Durante el primer trimestre del año</w:t>
      </w:r>
      <w:r>
        <w:rPr>
          <w:rFonts w:ascii="Arial" w:hAnsi="Arial" w:cs="Arial"/>
          <w:sz w:val="18"/>
          <w:szCs w:val="18"/>
        </w:rPr>
        <w:t xml:space="preserve"> se</w:t>
      </w:r>
      <w:r w:rsidRPr="009E589A">
        <w:rPr>
          <w:rFonts w:ascii="Arial" w:hAnsi="Arial" w:cs="Arial"/>
          <w:sz w:val="18"/>
          <w:szCs w:val="18"/>
        </w:rPr>
        <w:t xml:space="preserve"> impartieron pláticas de promoción de créditos en las cabeceras municipales de: Altzayanca, Amaxac de Guerrero, Calpulalpan, El Carmen Tequexquitla, Huamantla, Nativitas, Santa Cruz Tlaxcala, Tlaxcala y Xaloztoc, además se visitaron dos comunidades: Ixtulco y San Damián Tlacocalpan, de los municipios de Tlaxcala y Amaxac de Guerrero, respectivamente, brindando atención a un total de 415 personas interesadas en obtener un crédito</w:t>
      </w:r>
      <w:r w:rsidRPr="00F66A2F">
        <w:rPr>
          <w:rFonts w:ascii="Arial" w:hAnsi="Arial" w:cs="Arial"/>
          <w:sz w:val="18"/>
          <w:szCs w:val="18"/>
        </w:rPr>
        <w:t>. Así mismo</w:t>
      </w:r>
      <w:r>
        <w:rPr>
          <w:rFonts w:ascii="Arial" w:hAnsi="Arial" w:cs="Arial"/>
          <w:sz w:val="18"/>
          <w:szCs w:val="18"/>
        </w:rPr>
        <w:t>, e</w:t>
      </w:r>
      <w:r w:rsidRPr="00F66A2F">
        <w:rPr>
          <w:rFonts w:ascii="Arial" w:hAnsi="Arial" w:cs="Arial"/>
          <w:sz w:val="18"/>
          <w:szCs w:val="18"/>
        </w:rPr>
        <w:t xml:space="preserve">n la ventanilla de atención,  se brindó orientación a </w:t>
      </w:r>
      <w:r>
        <w:rPr>
          <w:rFonts w:ascii="Arial" w:hAnsi="Arial" w:cs="Arial"/>
          <w:sz w:val="18"/>
          <w:szCs w:val="18"/>
        </w:rPr>
        <w:t>más de 400</w:t>
      </w:r>
      <w:r w:rsidRPr="00F66A2F">
        <w:rPr>
          <w:rFonts w:ascii="Arial" w:hAnsi="Arial" w:cs="Arial"/>
          <w:sz w:val="18"/>
          <w:szCs w:val="18"/>
        </w:rPr>
        <w:t xml:space="preserve"> personas, </w:t>
      </w:r>
      <w:r>
        <w:rPr>
          <w:rFonts w:ascii="Arial" w:hAnsi="Arial" w:cs="Arial"/>
          <w:sz w:val="18"/>
          <w:szCs w:val="18"/>
        </w:rPr>
        <w:t>recibiéndose 269</w:t>
      </w:r>
      <w:r w:rsidRPr="00F66A2F">
        <w:rPr>
          <w:rFonts w:ascii="Arial" w:hAnsi="Arial" w:cs="Arial"/>
          <w:sz w:val="18"/>
          <w:szCs w:val="18"/>
        </w:rPr>
        <w:t xml:space="preserve"> solicitudes de crédito.</w:t>
      </w:r>
    </w:p>
    <w:p w:rsidR="00B716BE" w:rsidRPr="00C85A3B" w:rsidRDefault="00B716BE" w:rsidP="00B716BE">
      <w:pPr>
        <w:jc w:val="both"/>
        <w:rPr>
          <w:rFonts w:ascii="Arial" w:hAnsi="Arial" w:cs="Arial"/>
          <w:sz w:val="18"/>
          <w:szCs w:val="18"/>
        </w:rPr>
      </w:pPr>
      <w:r w:rsidRPr="00C85A3B">
        <w:rPr>
          <w:rFonts w:ascii="Arial" w:hAnsi="Arial" w:cs="Arial"/>
          <w:sz w:val="18"/>
          <w:szCs w:val="18"/>
        </w:rPr>
        <w:t xml:space="preserve">De enero al mes de </w:t>
      </w:r>
      <w:r>
        <w:rPr>
          <w:rFonts w:ascii="Arial" w:hAnsi="Arial" w:cs="Arial"/>
          <w:sz w:val="18"/>
          <w:szCs w:val="18"/>
        </w:rPr>
        <w:t>marzo</w:t>
      </w:r>
      <w:r w:rsidRPr="00C85A3B">
        <w:rPr>
          <w:rFonts w:ascii="Arial" w:hAnsi="Arial" w:cs="Arial"/>
          <w:sz w:val="18"/>
          <w:szCs w:val="18"/>
        </w:rPr>
        <w:t xml:space="preserve"> del año en curso, se </w:t>
      </w:r>
      <w:r>
        <w:rPr>
          <w:rFonts w:ascii="Arial" w:hAnsi="Arial" w:cs="Arial"/>
          <w:sz w:val="18"/>
          <w:szCs w:val="18"/>
        </w:rPr>
        <w:t>otorgaron</w:t>
      </w:r>
      <w:r w:rsidRPr="00C85A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208</w:t>
      </w:r>
      <w:r w:rsidRPr="00C85A3B">
        <w:rPr>
          <w:rFonts w:ascii="Arial" w:hAnsi="Arial" w:cs="Arial"/>
          <w:sz w:val="18"/>
          <w:szCs w:val="18"/>
        </w:rPr>
        <w:t xml:space="preserve"> créditos, con una inversión superior a </w:t>
      </w:r>
      <w:r>
        <w:rPr>
          <w:rFonts w:ascii="Arial" w:hAnsi="Arial" w:cs="Arial"/>
          <w:sz w:val="18"/>
          <w:szCs w:val="18"/>
        </w:rPr>
        <w:t>10.5</w:t>
      </w:r>
      <w:r w:rsidRPr="00C85A3B">
        <w:rPr>
          <w:rFonts w:ascii="Arial" w:hAnsi="Arial" w:cs="Arial"/>
          <w:sz w:val="18"/>
          <w:szCs w:val="18"/>
        </w:rPr>
        <w:t xml:space="preserve"> MDP, en beneficio de más de </w:t>
      </w:r>
      <w:r>
        <w:rPr>
          <w:rFonts w:ascii="Arial" w:hAnsi="Arial" w:cs="Arial"/>
          <w:sz w:val="18"/>
          <w:szCs w:val="18"/>
        </w:rPr>
        <w:t>1,500</w:t>
      </w:r>
      <w:r w:rsidRPr="00C85A3B">
        <w:rPr>
          <w:rFonts w:ascii="Arial" w:hAnsi="Arial" w:cs="Arial"/>
          <w:sz w:val="18"/>
          <w:szCs w:val="18"/>
        </w:rPr>
        <w:t xml:space="preserve"> personas. </w:t>
      </w:r>
    </w:p>
    <w:p w:rsidR="00B716BE" w:rsidRPr="00B372A2" w:rsidRDefault="00B716BE" w:rsidP="00B716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continuará promocionando </w:t>
      </w:r>
      <w:r w:rsidRPr="00B372A2">
        <w:rPr>
          <w:rFonts w:ascii="Arial" w:hAnsi="Arial" w:cs="Arial"/>
          <w:sz w:val="18"/>
          <w:szCs w:val="18"/>
        </w:rPr>
        <w:t>el financiamiento a los emprendedores y microempresarios</w:t>
      </w:r>
      <w:r>
        <w:rPr>
          <w:rFonts w:ascii="Arial" w:hAnsi="Arial" w:cs="Arial"/>
          <w:sz w:val="18"/>
          <w:szCs w:val="18"/>
        </w:rPr>
        <w:t xml:space="preserve"> que tengan interés en desarrollar</w:t>
      </w:r>
      <w:r w:rsidRPr="00B372A2">
        <w:rPr>
          <w:rFonts w:ascii="Arial" w:hAnsi="Arial" w:cs="Arial"/>
          <w:sz w:val="18"/>
          <w:szCs w:val="18"/>
        </w:rPr>
        <w:t xml:space="preserve"> sus unidades productivas</w:t>
      </w:r>
      <w:r>
        <w:rPr>
          <w:rFonts w:ascii="Arial" w:hAnsi="Arial" w:cs="Arial"/>
          <w:sz w:val="18"/>
          <w:szCs w:val="18"/>
        </w:rPr>
        <w:t>,</w:t>
      </w:r>
      <w:r w:rsidRPr="00B372A2">
        <w:rPr>
          <w:rFonts w:ascii="Arial" w:hAnsi="Arial" w:cs="Arial"/>
          <w:sz w:val="18"/>
          <w:szCs w:val="18"/>
        </w:rPr>
        <w:t xml:space="preserve"> mejorar sus ingresos y </w:t>
      </w:r>
      <w:r>
        <w:rPr>
          <w:rFonts w:ascii="Arial" w:hAnsi="Arial" w:cs="Arial"/>
          <w:sz w:val="18"/>
          <w:szCs w:val="18"/>
        </w:rPr>
        <w:t>la calidad de vida</w:t>
      </w:r>
      <w:r w:rsidRPr="00B372A2">
        <w:rPr>
          <w:rFonts w:ascii="Arial" w:hAnsi="Arial" w:cs="Arial"/>
          <w:sz w:val="18"/>
          <w:szCs w:val="18"/>
        </w:rPr>
        <w:t xml:space="preserve"> de las familias tlaxcaltecas</w:t>
      </w:r>
      <w:r>
        <w:rPr>
          <w:rFonts w:ascii="Arial" w:hAnsi="Arial" w:cs="Arial"/>
          <w:sz w:val="18"/>
          <w:szCs w:val="18"/>
        </w:rPr>
        <w:t>.</w:t>
      </w:r>
    </w:p>
    <w:p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lastRenderedPageBreak/>
        <w:t>Estado Analítico del Activo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la Deuda y Otros Pasivos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Variación de la Hacienda Pública</w:t>
      </w:r>
    </w:p>
    <w:p w:rsidR="00AD791F" w:rsidRPr="00042519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Flujos de Efectivo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Informe de Pasivos Contingentes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a los Estados Financieros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Desglose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Memoria (cuentas de orden)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Gestión Administrativa</w:t>
      </w:r>
    </w:p>
    <w:p w:rsidR="00AD791F" w:rsidRPr="00B372A2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:rsidR="00AD791F" w:rsidRPr="00B372A2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D791F" w:rsidRPr="0006778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7787">
        <w:rPr>
          <w:rFonts w:ascii="Arial" w:hAnsi="Arial" w:cs="Arial"/>
          <w:b/>
          <w:sz w:val="18"/>
          <w:szCs w:val="18"/>
        </w:rPr>
        <w:t>Información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 </w:t>
      </w: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067787" w:rsidRP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Formatos de Disc</w:t>
      </w:r>
      <w:bookmarkStart w:id="0" w:name="_GoBack"/>
      <w:bookmarkEnd w:id="0"/>
      <w:r w:rsidRPr="00B372A2">
        <w:rPr>
          <w:rFonts w:ascii="Arial" w:hAnsi="Arial" w:cs="Arial"/>
          <w:b/>
          <w:sz w:val="18"/>
          <w:szCs w:val="18"/>
        </w:rPr>
        <w:t>iplina Financiera</w:t>
      </w: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 w:rsidRPr="00246E58">
        <w:rPr>
          <w:b/>
          <w:sz w:val="16"/>
          <w:szCs w:val="16"/>
        </w:rPr>
        <w:t xml:space="preserve">Formato 1 </w:t>
      </w:r>
      <w:r>
        <w:rPr>
          <w:b/>
          <w:sz w:val="16"/>
          <w:szCs w:val="16"/>
        </w:rPr>
        <w:t xml:space="preserve">  </w:t>
      </w:r>
      <w:r w:rsidRPr="00246E58">
        <w:rPr>
          <w:sz w:val="16"/>
          <w:szCs w:val="16"/>
        </w:rPr>
        <w:t>Estado de Situación Financiera Detallado - LDF</w:t>
      </w:r>
    </w:p>
    <w:p w:rsidR="00042519" w:rsidRDefault="00042519" w:rsidP="00042519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 xml:space="preserve">Formato 2 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>Informe Analítico de la Deuda Pública y Otros Pasivos – LDF</w:t>
      </w:r>
    </w:p>
    <w:p w:rsidR="00042519" w:rsidRPr="00246E58" w:rsidRDefault="00042519" w:rsidP="00042519">
      <w:pPr>
        <w:ind w:left="1429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3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 xml:space="preserve"> Informe Analítico de Obligaciones Diferentes de Financiamientos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4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 xml:space="preserve"> Balance Presupuestario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5</w:t>
      </w:r>
      <w:r w:rsidRPr="0004251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>Estado Analítico de Ingresos Detallado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6a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por Objeto del Gasto)</w:t>
      </w:r>
    </w:p>
    <w:p w:rsidR="00042519" w:rsidRPr="00042519" w:rsidRDefault="00042519" w:rsidP="00042519">
      <w:pPr>
        <w:pStyle w:val="Texto"/>
        <w:tabs>
          <w:tab w:val="left" w:pos="1620"/>
        </w:tabs>
        <w:spacing w:line="240" w:lineRule="auto"/>
        <w:ind w:left="108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6b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Administrativa)</w:t>
      </w:r>
    </w:p>
    <w:p w:rsidR="00042519" w:rsidRDefault="00042519" w:rsidP="00042519">
      <w:pPr>
        <w:pStyle w:val="Texto"/>
        <w:spacing w:line="240" w:lineRule="auto"/>
        <w:ind w:left="1080" w:firstLine="0"/>
        <w:rPr>
          <w:b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6c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Funcional)</w:t>
      </w:r>
    </w:p>
    <w:p w:rsidR="00042519" w:rsidRPr="00042519" w:rsidRDefault="00042519" w:rsidP="00042519">
      <w:pPr>
        <w:pStyle w:val="Texto"/>
        <w:tabs>
          <w:tab w:val="left" w:pos="1530"/>
        </w:tabs>
        <w:spacing w:line="240" w:lineRule="auto"/>
        <w:ind w:left="144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53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6d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 xml:space="preserve">Estado Analítico del Ejercicio del Presupuesto de Egresos Detallado </w:t>
      </w:r>
      <w:r>
        <w:rPr>
          <w:sz w:val="16"/>
          <w:szCs w:val="16"/>
        </w:rPr>
        <w:t>–</w:t>
      </w:r>
      <w:r w:rsidRPr="00246E58">
        <w:rPr>
          <w:sz w:val="16"/>
          <w:szCs w:val="16"/>
        </w:rPr>
        <w:t xml:space="preserve"> LDF</w:t>
      </w:r>
      <w:r>
        <w:rPr>
          <w:sz w:val="16"/>
          <w:szCs w:val="16"/>
        </w:rPr>
        <w:t xml:space="preserve">  </w:t>
      </w:r>
      <w:r w:rsidRPr="00246E58">
        <w:rPr>
          <w:sz w:val="16"/>
          <w:szCs w:val="16"/>
        </w:rPr>
        <w:t>(Clasificación de Servicios Personales por Categoría)</w:t>
      </w:r>
    </w:p>
    <w:p w:rsidR="00042519" w:rsidRPr="00246E58" w:rsidRDefault="00042519" w:rsidP="00042519">
      <w:pPr>
        <w:pStyle w:val="Texto"/>
        <w:tabs>
          <w:tab w:val="left" w:pos="1530"/>
        </w:tabs>
        <w:spacing w:line="240" w:lineRule="auto"/>
        <w:ind w:left="1429" w:firstLine="0"/>
        <w:rPr>
          <w:sz w:val="16"/>
          <w:szCs w:val="16"/>
        </w:rPr>
      </w:pPr>
    </w:p>
    <w:p w:rsidR="00F474E9" w:rsidRPr="00B372A2" w:rsidRDefault="00F474E9" w:rsidP="00F474E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474E9" w:rsidRPr="00B37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2A" w:rsidRDefault="00041B2A" w:rsidP="00EA5418">
      <w:pPr>
        <w:spacing w:after="0" w:line="240" w:lineRule="auto"/>
      </w:pPr>
      <w:r>
        <w:separator/>
      </w:r>
    </w:p>
  </w:endnote>
  <w:endnote w:type="continuationSeparator" w:id="0">
    <w:p w:rsidR="00041B2A" w:rsidRDefault="00041B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41B2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="003401DB" w:rsidRPr="003401DB">
          <w:rPr>
            <w:rFonts w:ascii="Soberana Sans Light" w:hAnsi="Soberana Sans Light"/>
            <w:noProof/>
            <w:lang w:val="es-ES"/>
          </w:rPr>
          <w:t>2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41B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="003401DB" w:rsidRPr="003401DB">
          <w:rPr>
            <w:rFonts w:ascii="Soberana Sans Light" w:hAnsi="Soberana Sans Light"/>
            <w:noProof/>
            <w:lang w:val="es-ES"/>
          </w:rPr>
          <w:t>3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2A" w:rsidRDefault="00041B2A" w:rsidP="00EA5418">
      <w:pPr>
        <w:spacing w:after="0" w:line="240" w:lineRule="auto"/>
      </w:pPr>
      <w:r>
        <w:separator/>
      </w:r>
    </w:p>
  </w:footnote>
  <w:footnote w:type="continuationSeparator" w:id="0">
    <w:p w:rsidR="00041B2A" w:rsidRDefault="00041B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1B2A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778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41B2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797"/>
    <w:multiLevelType w:val="hybridMultilevel"/>
    <w:tmpl w:val="648251D2"/>
    <w:lvl w:ilvl="0" w:tplc="376EC12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1B2A"/>
    <w:rsid w:val="00042519"/>
    <w:rsid w:val="000454EA"/>
    <w:rsid w:val="00056042"/>
    <w:rsid w:val="00067787"/>
    <w:rsid w:val="00076A56"/>
    <w:rsid w:val="000B3FD4"/>
    <w:rsid w:val="000F6D16"/>
    <w:rsid w:val="00101C5D"/>
    <w:rsid w:val="0013011C"/>
    <w:rsid w:val="00146E12"/>
    <w:rsid w:val="001646D9"/>
    <w:rsid w:val="00183FBE"/>
    <w:rsid w:val="00196D0F"/>
    <w:rsid w:val="001A2431"/>
    <w:rsid w:val="001B1B72"/>
    <w:rsid w:val="002865A7"/>
    <w:rsid w:val="002A6835"/>
    <w:rsid w:val="002A70B3"/>
    <w:rsid w:val="002E5897"/>
    <w:rsid w:val="002F2773"/>
    <w:rsid w:val="00307635"/>
    <w:rsid w:val="0032095C"/>
    <w:rsid w:val="003401DB"/>
    <w:rsid w:val="00355821"/>
    <w:rsid w:val="003575A4"/>
    <w:rsid w:val="003610E0"/>
    <w:rsid w:val="00372F40"/>
    <w:rsid w:val="003D5DBF"/>
    <w:rsid w:val="003E7FD0"/>
    <w:rsid w:val="003F05C2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2BC"/>
    <w:rsid w:val="005859FA"/>
    <w:rsid w:val="005E2EB5"/>
    <w:rsid w:val="005F7589"/>
    <w:rsid w:val="006048D2"/>
    <w:rsid w:val="00611E39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61D"/>
    <w:rsid w:val="00850E90"/>
    <w:rsid w:val="00897F46"/>
    <w:rsid w:val="008A6E4D"/>
    <w:rsid w:val="008B0017"/>
    <w:rsid w:val="008D4272"/>
    <w:rsid w:val="008E3652"/>
    <w:rsid w:val="009E16FC"/>
    <w:rsid w:val="009E5258"/>
    <w:rsid w:val="00A14B74"/>
    <w:rsid w:val="00A516D8"/>
    <w:rsid w:val="00AB13B7"/>
    <w:rsid w:val="00AD791F"/>
    <w:rsid w:val="00AE642C"/>
    <w:rsid w:val="00B166A9"/>
    <w:rsid w:val="00B17423"/>
    <w:rsid w:val="00B372A2"/>
    <w:rsid w:val="00B42A02"/>
    <w:rsid w:val="00B56B2B"/>
    <w:rsid w:val="00B716BE"/>
    <w:rsid w:val="00B849EE"/>
    <w:rsid w:val="00BD6A5B"/>
    <w:rsid w:val="00BF28A4"/>
    <w:rsid w:val="00C33401"/>
    <w:rsid w:val="00C44F01"/>
    <w:rsid w:val="00C85A3B"/>
    <w:rsid w:val="00CA2D37"/>
    <w:rsid w:val="00CC5CB6"/>
    <w:rsid w:val="00D02A82"/>
    <w:rsid w:val="00D055EC"/>
    <w:rsid w:val="00D404ED"/>
    <w:rsid w:val="00D51261"/>
    <w:rsid w:val="00D5675C"/>
    <w:rsid w:val="00D748D3"/>
    <w:rsid w:val="00D75A56"/>
    <w:rsid w:val="00DD230F"/>
    <w:rsid w:val="00E32708"/>
    <w:rsid w:val="00E45FD0"/>
    <w:rsid w:val="00E81959"/>
    <w:rsid w:val="00EA5418"/>
    <w:rsid w:val="00ED65D7"/>
    <w:rsid w:val="00F474E9"/>
    <w:rsid w:val="00F96944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D268C2F-7FA1-4E90-AF2A-D18D801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0803-E528-4D80-9093-A4FB55D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25</cp:revision>
  <cp:lastPrinted>2017-10-05T14:57:00Z</cp:lastPrinted>
  <dcterms:created xsi:type="dcterms:W3CDTF">2014-09-01T14:30:00Z</dcterms:created>
  <dcterms:modified xsi:type="dcterms:W3CDTF">2018-04-20T21:52:00Z</dcterms:modified>
</cp:coreProperties>
</file>