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36606902"/>
    <w:bookmarkEnd w:id="0"/>
    <w:p w:rsidR="00706157" w:rsidRDefault="00E571D2" w:rsidP="00E52ECF">
      <w:pPr>
        <w:tabs>
          <w:tab w:val="left" w:pos="10065"/>
        </w:tabs>
        <w:jc w:val="center"/>
      </w:pPr>
      <w:r>
        <w:object w:dxaOrig="23962" w:dyaOrig="1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85pt;height:430.85pt" o:ole="">
            <v:imagedata r:id="rId8" o:title=""/>
          </v:shape>
          <o:OLEObject Type="Embed" ProgID="Excel.Sheet.12" ShapeID="_x0000_i1025" DrawAspect="Content" ObjectID="_1607761465" r:id="rId9"/>
        </w:object>
      </w:r>
    </w:p>
    <w:p w:rsidR="007D6E9A" w:rsidRDefault="007D6E9A" w:rsidP="003D5DBF">
      <w:pPr>
        <w:jc w:val="center"/>
      </w:pPr>
    </w:p>
    <w:bookmarkStart w:id="1" w:name="_MON_1480815899"/>
    <w:bookmarkStart w:id="2" w:name="_MON_1480815910"/>
    <w:bookmarkStart w:id="3" w:name="_MON_1480815939"/>
    <w:bookmarkStart w:id="4" w:name="_MON_1536607023"/>
    <w:bookmarkStart w:id="5" w:name="_MON_1480815949"/>
    <w:bookmarkStart w:id="6" w:name="_MON_1480815959"/>
    <w:bookmarkStart w:id="7" w:name="_MON_1480815974"/>
    <w:bookmarkStart w:id="8" w:name="_MON_1480815987"/>
    <w:bookmarkStart w:id="9" w:name="_MON_1480815998"/>
    <w:bookmarkStart w:id="10" w:name="_MON_1528766639"/>
    <w:bookmarkStart w:id="11" w:name="_MON_1480816017"/>
    <w:bookmarkEnd w:id="1"/>
    <w:bookmarkEnd w:id="2"/>
    <w:bookmarkEnd w:id="3"/>
    <w:bookmarkEnd w:id="4"/>
    <w:bookmarkEnd w:id="5"/>
    <w:bookmarkEnd w:id="6"/>
    <w:bookmarkEnd w:id="7"/>
    <w:bookmarkEnd w:id="8"/>
    <w:bookmarkEnd w:id="9"/>
    <w:bookmarkEnd w:id="10"/>
    <w:bookmarkEnd w:id="11"/>
    <w:bookmarkStart w:id="12" w:name="_MON_1470805999"/>
    <w:bookmarkEnd w:id="12"/>
    <w:p w:rsidR="00EA5418" w:rsidRDefault="008340CF" w:rsidP="0044253C">
      <w:pPr>
        <w:jc w:val="center"/>
      </w:pPr>
      <w:r>
        <w:object w:dxaOrig="23460" w:dyaOrig="19545">
          <v:shape id="_x0000_i1034" type="#_x0000_t75" style="width:545.45pt;height:453.3pt" o:ole="">
            <v:imagedata r:id="rId10" o:title=""/>
          </v:shape>
          <o:OLEObject Type="Embed" ProgID="Excel.Sheet.12" ShapeID="_x0000_i1034" DrawAspect="Content" ObjectID="_1607761466" r:id="rId11"/>
        </w:object>
      </w:r>
      <w:r w:rsidR="000354F7">
        <w:t xml:space="preserve">   </w:t>
      </w:r>
    </w:p>
    <w:bookmarkStart w:id="13" w:name="_MON_1480816696"/>
    <w:bookmarkStart w:id="14" w:name="_MON_1480816784"/>
    <w:bookmarkStart w:id="15" w:name="_MON_1528766811"/>
    <w:bookmarkStart w:id="16" w:name="_MON_1480816812"/>
    <w:bookmarkStart w:id="17" w:name="_MON_1480817066"/>
    <w:bookmarkStart w:id="18" w:name="_MON_1480817102"/>
    <w:bookmarkStart w:id="19" w:name="_MON_1470806992"/>
    <w:bookmarkStart w:id="20" w:name="_MON_1480816508"/>
    <w:bookmarkStart w:id="21" w:name="_MON_1536607240"/>
    <w:bookmarkStart w:id="22" w:name="_MON_1480816554"/>
    <w:bookmarkStart w:id="23" w:name="_MON_1480816571"/>
    <w:bookmarkStart w:id="24" w:name="_MON_1480816579"/>
    <w:bookmarkEnd w:id="13"/>
    <w:bookmarkEnd w:id="14"/>
    <w:bookmarkEnd w:id="15"/>
    <w:bookmarkEnd w:id="16"/>
    <w:bookmarkEnd w:id="17"/>
    <w:bookmarkEnd w:id="18"/>
    <w:bookmarkEnd w:id="19"/>
    <w:bookmarkEnd w:id="20"/>
    <w:bookmarkEnd w:id="21"/>
    <w:bookmarkEnd w:id="22"/>
    <w:bookmarkEnd w:id="23"/>
    <w:bookmarkEnd w:id="24"/>
    <w:bookmarkStart w:id="25" w:name="_MON_1480816596"/>
    <w:bookmarkEnd w:id="25"/>
    <w:p w:rsidR="00372F40" w:rsidRDefault="008340CF" w:rsidP="003E7FD0">
      <w:pPr>
        <w:jc w:val="center"/>
      </w:pPr>
      <w:r>
        <w:object w:dxaOrig="21993" w:dyaOrig="15482">
          <v:shape id="_x0000_i1039" type="#_x0000_t75" style="width:648.6pt;height:456.2pt" o:ole="">
            <v:imagedata r:id="rId12" o:title=""/>
          </v:shape>
          <o:OLEObject Type="Embed" ProgID="Excel.Sheet.12" ShapeID="_x0000_i1039" DrawAspect="Content" ObjectID="_1607761467" r:id="rId13"/>
        </w:object>
      </w:r>
      <w:bookmarkStart w:id="26" w:name="_GoBack"/>
      <w:bookmarkEnd w:id="26"/>
    </w:p>
    <w:bookmarkStart w:id="27" w:name="_MON_1480817215"/>
    <w:bookmarkStart w:id="28" w:name="_MON_1536607122"/>
    <w:bookmarkStart w:id="29" w:name="_MON_1470807348"/>
    <w:bookmarkStart w:id="30" w:name="_MON_1480817115"/>
    <w:bookmarkStart w:id="31" w:name="_MON_1528767266"/>
    <w:bookmarkStart w:id="32" w:name="_MON_1528767557"/>
    <w:bookmarkStart w:id="33" w:name="_MON_1480817145"/>
    <w:bookmarkStart w:id="34" w:name="_MON_1480817087"/>
    <w:bookmarkStart w:id="35" w:name="_MON_1480817163"/>
    <w:bookmarkStart w:id="36" w:name="_MON_1480817173"/>
    <w:bookmarkEnd w:id="27"/>
    <w:bookmarkEnd w:id="28"/>
    <w:bookmarkEnd w:id="29"/>
    <w:bookmarkEnd w:id="30"/>
    <w:bookmarkEnd w:id="31"/>
    <w:bookmarkEnd w:id="32"/>
    <w:bookmarkEnd w:id="33"/>
    <w:bookmarkEnd w:id="34"/>
    <w:bookmarkEnd w:id="35"/>
    <w:bookmarkEnd w:id="36"/>
    <w:bookmarkStart w:id="37" w:name="_MON_1480817185"/>
    <w:bookmarkEnd w:id="37"/>
    <w:p w:rsidR="00372F40" w:rsidRDefault="00E571D2" w:rsidP="008E3652">
      <w:pPr>
        <w:jc w:val="center"/>
      </w:pPr>
      <w:r>
        <w:object w:dxaOrig="17711" w:dyaOrig="12404">
          <v:shape id="_x0000_i1028" type="#_x0000_t75" style="width:644.55pt;height:452.75pt" o:ole="">
            <v:imagedata r:id="rId14" o:title=""/>
          </v:shape>
          <o:OLEObject Type="Embed" ProgID="Excel.Sheet.12" ShapeID="_x0000_i1028" DrawAspect="Content" ObjectID="_1607761468" r:id="rId15"/>
        </w:object>
      </w:r>
    </w:p>
    <w:bookmarkStart w:id="38" w:name="_MON_1470809138"/>
    <w:bookmarkStart w:id="39" w:name="_MON_1480817407"/>
    <w:bookmarkStart w:id="40" w:name="_MON_1480817456"/>
    <w:bookmarkStart w:id="41" w:name="_MON_1528767624"/>
    <w:bookmarkStart w:id="42" w:name="_MON_1528767688"/>
    <w:bookmarkEnd w:id="38"/>
    <w:bookmarkEnd w:id="39"/>
    <w:bookmarkEnd w:id="40"/>
    <w:bookmarkEnd w:id="41"/>
    <w:bookmarkEnd w:id="42"/>
    <w:bookmarkStart w:id="43" w:name="_MON_1480817518"/>
    <w:bookmarkEnd w:id="43"/>
    <w:p w:rsidR="00372F40" w:rsidRDefault="00E571D2" w:rsidP="00522632">
      <w:pPr>
        <w:jc w:val="center"/>
      </w:pPr>
      <w:r>
        <w:object w:dxaOrig="17805" w:dyaOrig="12251">
          <v:shape id="_x0000_i1029" type="#_x0000_t75" style="width:631.85pt;height:430.25pt" o:ole="">
            <v:imagedata r:id="rId16" o:title=""/>
          </v:shape>
          <o:OLEObject Type="Embed" ProgID="Excel.Sheet.12" ShapeID="_x0000_i1029" DrawAspect="Content" ObjectID="_1607761469" r:id="rId17"/>
        </w:object>
      </w:r>
    </w:p>
    <w:bookmarkStart w:id="44" w:name="_MON_1470814596"/>
    <w:bookmarkStart w:id="45" w:name="_MON_1528767729"/>
    <w:bookmarkStart w:id="46" w:name="_MON_1480817616"/>
    <w:bookmarkStart w:id="47" w:name="_MON_1480817663"/>
    <w:bookmarkStart w:id="48" w:name="_MON_1480817670"/>
    <w:bookmarkStart w:id="49" w:name="_MON_1480817700"/>
    <w:bookmarkStart w:id="50" w:name="_MON_1480818028"/>
    <w:bookmarkEnd w:id="44"/>
    <w:bookmarkEnd w:id="45"/>
    <w:bookmarkEnd w:id="46"/>
    <w:bookmarkEnd w:id="47"/>
    <w:bookmarkEnd w:id="48"/>
    <w:bookmarkEnd w:id="49"/>
    <w:bookmarkEnd w:id="50"/>
    <w:bookmarkStart w:id="51" w:name="_MON_1536607304"/>
    <w:bookmarkEnd w:id="51"/>
    <w:p w:rsidR="00E32708" w:rsidRDefault="00E571D2" w:rsidP="00877D6B">
      <w:pPr>
        <w:tabs>
          <w:tab w:val="left" w:pos="2430"/>
        </w:tabs>
        <w:ind w:left="709"/>
        <w:jc w:val="center"/>
      </w:pPr>
      <w:r>
        <w:object w:dxaOrig="19048" w:dyaOrig="14781">
          <v:shape id="_x0000_i1030" type="#_x0000_t75" style="width:604.8pt;height:456.2pt" o:ole="">
            <v:imagedata r:id="rId18" o:title=""/>
          </v:shape>
          <o:OLEObject Type="Embed" ProgID="Excel.Sheet.12" ShapeID="_x0000_i1030" DrawAspect="Content" ObjectID="_1607761470" r:id="rId19"/>
        </w:object>
      </w:r>
    </w:p>
    <w:bookmarkStart w:id="52" w:name="_MON_1528768128"/>
    <w:bookmarkStart w:id="53" w:name="_MON_1480818664"/>
    <w:bookmarkStart w:id="54" w:name="_MON_1470810366"/>
    <w:bookmarkStart w:id="55" w:name="_MON_1480818075"/>
    <w:bookmarkStart w:id="56" w:name="_MON_1480818133"/>
    <w:bookmarkStart w:id="57" w:name="_MON_1528767976"/>
    <w:bookmarkEnd w:id="52"/>
    <w:bookmarkEnd w:id="53"/>
    <w:bookmarkEnd w:id="54"/>
    <w:bookmarkEnd w:id="55"/>
    <w:bookmarkEnd w:id="56"/>
    <w:bookmarkEnd w:id="57"/>
    <w:bookmarkStart w:id="58" w:name="_MON_1536607338"/>
    <w:bookmarkEnd w:id="58"/>
    <w:p w:rsidR="00E32708" w:rsidRDefault="00E571D2" w:rsidP="00E32708">
      <w:pPr>
        <w:tabs>
          <w:tab w:val="left" w:pos="2430"/>
        </w:tabs>
        <w:jc w:val="center"/>
      </w:pPr>
      <w:r>
        <w:object w:dxaOrig="25922" w:dyaOrig="17206">
          <v:shape id="_x0000_i1031" type="#_x0000_t75" style="width:699.85pt;height:459.65pt" o:ole="">
            <v:imagedata r:id="rId20" o:title=""/>
          </v:shape>
          <o:OLEObject Type="Embed" ProgID="Excel.Sheet.12" ShapeID="_x0000_i1031" DrawAspect="Content" ObjectID="_1607761471"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487227">
        <w:rPr>
          <w:rFonts w:ascii="Arial" w:hAnsi="Arial" w:cs="Arial"/>
          <w:sz w:val="18"/>
          <w:szCs w:val="18"/>
        </w:rPr>
        <w:t>1’</w:t>
      </w:r>
      <w:r w:rsidR="0031772E">
        <w:rPr>
          <w:rFonts w:ascii="Arial" w:hAnsi="Arial" w:cs="Arial"/>
          <w:sz w:val="18"/>
          <w:szCs w:val="18"/>
        </w:rPr>
        <w:t>533</w:t>
      </w:r>
      <w:r w:rsidR="003F0D08">
        <w:rPr>
          <w:rFonts w:ascii="Arial" w:hAnsi="Arial" w:cs="Arial"/>
          <w:sz w:val="18"/>
          <w:szCs w:val="18"/>
        </w:rPr>
        <w:t>,</w:t>
      </w:r>
      <w:r w:rsidR="0031772E">
        <w:rPr>
          <w:rFonts w:ascii="Arial" w:hAnsi="Arial" w:cs="Arial"/>
          <w:sz w:val="18"/>
          <w:szCs w:val="18"/>
        </w:rPr>
        <w:t>445</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413023">
        <w:rPr>
          <w:rFonts w:ascii="Arial" w:hAnsi="Arial" w:cs="Arial"/>
          <w:sz w:val="18"/>
          <w:szCs w:val="18"/>
        </w:rPr>
        <w:t xml:space="preserve">      </w:t>
      </w:r>
      <w:r>
        <w:rPr>
          <w:rFonts w:ascii="Arial" w:hAnsi="Arial" w:cs="Arial"/>
          <w:sz w:val="18"/>
          <w:szCs w:val="18"/>
        </w:rPr>
        <w:t xml:space="preserve">  </w:t>
      </w:r>
      <w:r w:rsidR="000C6AC5">
        <w:rPr>
          <w:rFonts w:ascii="Arial" w:hAnsi="Arial" w:cs="Arial"/>
          <w:sz w:val="18"/>
          <w:szCs w:val="18"/>
        </w:rPr>
        <w:tab/>
        <w:t xml:space="preserve">      </w:t>
      </w:r>
      <w:r w:rsidR="00413023">
        <w:rPr>
          <w:rFonts w:ascii="Arial" w:hAnsi="Arial" w:cs="Arial"/>
          <w:sz w:val="18"/>
          <w:szCs w:val="18"/>
        </w:rPr>
        <w:t>C.P. José Filiberto Nava del Razo</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AB2211">
        <w:rPr>
          <w:lang w:val="es-MX"/>
        </w:rPr>
        <w:t xml:space="preserve"> </w:t>
      </w:r>
      <w:r w:rsidR="0031772E">
        <w:rPr>
          <w:lang w:val="es-MX"/>
        </w:rPr>
        <w:t>117</w:t>
      </w:r>
      <w:r w:rsidR="00900DF0">
        <w:rPr>
          <w:lang w:val="es-MX"/>
        </w:rPr>
        <w:t>,</w:t>
      </w:r>
      <w:r w:rsidR="0031772E">
        <w:rPr>
          <w:lang w:val="es-MX"/>
        </w:rPr>
        <w:t>885</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proofErr w:type="gramStart"/>
      <w:r w:rsidR="00277C1A">
        <w:rPr>
          <w:lang w:val="es-MX"/>
        </w:rPr>
        <w:t>F</w:t>
      </w:r>
      <w:r w:rsidR="00277C1A" w:rsidRPr="00F710F2">
        <w:rPr>
          <w:lang w:val="es-MX"/>
        </w:rPr>
        <w:t>ondo</w:t>
      </w:r>
      <w:proofErr w:type="gramEnd"/>
      <w:r w:rsidR="00277C1A" w:rsidRPr="00F710F2">
        <w:rPr>
          <w:lang w:val="es-MX"/>
        </w:rPr>
        <w:t xml:space="preserve">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487227">
        <w:rPr>
          <w:lang w:val="es-MX"/>
        </w:rPr>
        <w:t xml:space="preserve"> </w:t>
      </w:r>
      <w:r w:rsidR="00AB2211">
        <w:rPr>
          <w:lang w:val="es-MX"/>
        </w:rPr>
        <w:t xml:space="preserve"> </w:t>
      </w:r>
      <w:r w:rsidR="00571AB0">
        <w:rPr>
          <w:lang w:val="es-MX"/>
        </w:rPr>
        <w:t xml:space="preserve"> </w:t>
      </w:r>
      <w:r w:rsidR="0031772E">
        <w:rPr>
          <w:lang w:val="es-MX"/>
        </w:rPr>
        <w:t>7</w:t>
      </w:r>
      <w:r w:rsidR="00277C1A" w:rsidRPr="00F710F2">
        <w:rPr>
          <w:lang w:val="es-MX"/>
        </w:rPr>
        <w:t>,</w:t>
      </w:r>
      <w:r w:rsidR="0031772E">
        <w:rPr>
          <w:lang w:val="es-MX"/>
        </w:rPr>
        <w:t>874</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31772E">
        <w:rPr>
          <w:lang w:val="es-MX"/>
        </w:rPr>
        <w:t>712</w:t>
      </w:r>
      <w:r w:rsidR="008B6B51">
        <w:rPr>
          <w:lang w:val="es-MX"/>
        </w:rPr>
        <w:t>,</w:t>
      </w:r>
      <w:r w:rsidR="0031772E">
        <w:rPr>
          <w:lang w:val="es-MX"/>
        </w:rPr>
        <w:t>153</w:t>
      </w:r>
      <w:r w:rsidRPr="00F710F2">
        <w:rPr>
          <w:lang w:val="es-MX"/>
        </w:rPr>
        <w:t xml:space="preserve"> </w:t>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31772E">
        <w:rPr>
          <w:lang w:val="es-MX"/>
        </w:rPr>
        <w:t>712</w:t>
      </w:r>
      <w:r w:rsidRPr="00F710F2">
        <w:rPr>
          <w:lang w:val="es-MX"/>
        </w:rPr>
        <w:t>,</w:t>
      </w:r>
      <w:r w:rsidR="0031772E">
        <w:rPr>
          <w:lang w:val="es-MX"/>
        </w:rPr>
        <w:t>967</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w:t>
      </w:r>
      <w:r w:rsidR="00487227">
        <w:rPr>
          <w:lang w:val="es-MX"/>
        </w:rPr>
        <w:t>4</w:t>
      </w:r>
      <w:r w:rsidR="00B75546">
        <w:rPr>
          <w:lang w:val="es-MX"/>
        </w:rPr>
        <w:t>1</w:t>
      </w:r>
      <w:r w:rsidR="00277C1A" w:rsidRPr="00F710F2">
        <w:rPr>
          <w:lang w:val="es-MX"/>
        </w:rPr>
        <w:t>,</w:t>
      </w:r>
      <w:r w:rsidR="003F0D08">
        <w:rPr>
          <w:lang w:val="es-MX"/>
        </w:rPr>
        <w:t>0</w:t>
      </w:r>
      <w:r w:rsidR="00487227">
        <w:rPr>
          <w:lang w:val="es-MX"/>
        </w:rPr>
        <w:t>18</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487227">
        <w:rPr>
          <w:lang w:val="es-MX"/>
        </w:rPr>
        <w:t>4</w:t>
      </w:r>
      <w:r w:rsidRPr="00F710F2">
        <w:rPr>
          <w:lang w:val="es-MX"/>
        </w:rPr>
        <w:t>,</w:t>
      </w:r>
      <w:r w:rsidR="00900DF0">
        <w:rPr>
          <w:lang w:val="es-MX"/>
        </w:rPr>
        <w:t>30</w:t>
      </w:r>
      <w:r w:rsidR="00487227">
        <w:rPr>
          <w:lang w:val="es-MX"/>
        </w:rPr>
        <w:t>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w:t>
      </w:r>
      <w:r w:rsidR="0031772E">
        <w:rPr>
          <w:lang w:val="es-MX"/>
        </w:rPr>
        <w:t>60</w:t>
      </w:r>
      <w:r w:rsidR="0013623B">
        <w:rPr>
          <w:lang w:val="es-MX"/>
        </w:rPr>
        <w:t>,</w:t>
      </w:r>
      <w:r w:rsidR="0031772E">
        <w:rPr>
          <w:lang w:val="es-MX"/>
        </w:rPr>
        <w:t>415</w:t>
      </w:r>
      <w:r w:rsidR="00571AB0">
        <w:rPr>
          <w:lang w:val="es-MX"/>
        </w:rPr>
        <w:t>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7</w:t>
      </w:r>
      <w:r w:rsidR="0031772E">
        <w:rPr>
          <w:lang w:val="es-MX"/>
        </w:rPr>
        <w:t>65</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487227">
        <w:rPr>
          <w:lang w:val="es-MX"/>
        </w:rPr>
        <w:t>34</w:t>
      </w:r>
      <w:r w:rsidRPr="00F710F2">
        <w:rPr>
          <w:lang w:val="es-MX"/>
        </w:rPr>
        <w:t>,</w:t>
      </w:r>
      <w:r w:rsidR="00487227">
        <w:rPr>
          <w:lang w:val="es-MX"/>
        </w:rPr>
        <w:t>830</w:t>
      </w:r>
      <w:r w:rsidRPr="00F710F2">
        <w:rPr>
          <w:lang w:val="es-MX"/>
        </w:rPr>
        <w:tab/>
      </w:r>
      <w:r w:rsidRPr="00F710F2">
        <w:rPr>
          <w:lang w:val="es-MX"/>
        </w:rPr>
        <w:tab/>
      </w:r>
      <w:r w:rsidRPr="00F710F2">
        <w:rPr>
          <w:lang w:val="es-MX"/>
        </w:rPr>
        <w:tab/>
      </w:r>
      <w:r w:rsidRPr="00F710F2">
        <w:rPr>
          <w:lang w:val="es-MX"/>
        </w:rPr>
        <w:tab/>
      </w:r>
    </w:p>
    <w:p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AB2211">
        <w:rPr>
          <w:lang w:val="es-MX"/>
        </w:rPr>
        <w:t xml:space="preserve">     </w:t>
      </w:r>
      <w:r w:rsidR="0031772E">
        <w:rPr>
          <w:lang w:val="es-MX"/>
        </w:rPr>
        <w:t>2</w:t>
      </w:r>
      <w:r w:rsidR="00571AB0">
        <w:rPr>
          <w:lang w:val="es-MX"/>
        </w:rPr>
        <w:t>2</w:t>
      </w:r>
      <w:r w:rsidR="00CB49C7">
        <w:rPr>
          <w:lang w:val="es-MX"/>
        </w:rPr>
        <w:t>,</w:t>
      </w:r>
      <w:r w:rsidR="0031772E">
        <w:rPr>
          <w:lang w:val="es-MX"/>
        </w:rPr>
        <w:t>722</w:t>
      </w:r>
      <w:r w:rsidR="00277C1A" w:rsidRPr="00F710F2">
        <w:rPr>
          <w:lang w:val="es-MX"/>
        </w:rPr>
        <w:t xml:space="preserve"> </w:t>
      </w:r>
      <w:r w:rsidR="00277C1A" w:rsidRPr="00F710F2">
        <w:rPr>
          <w:lang w:val="es-MX"/>
        </w:rPr>
        <w:tab/>
      </w:r>
    </w:p>
    <w:p w:rsidR="000D322A" w:rsidRPr="000D322A" w:rsidRDefault="000D322A" w:rsidP="00F710F2">
      <w:pPr>
        <w:pStyle w:val="ROMANOS"/>
        <w:spacing w:after="0" w:line="240" w:lineRule="exact"/>
        <w:ind w:left="723"/>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Pr>
          <w:lang w:val="es-MX"/>
        </w:rPr>
        <w:t>5</w:t>
      </w:r>
      <w:r w:rsidR="005E43D7">
        <w:rPr>
          <w:lang w:val="es-MX"/>
        </w:rPr>
        <w:t>’</w:t>
      </w:r>
      <w:r w:rsidR="0031772E">
        <w:rPr>
          <w:lang w:val="es-MX"/>
        </w:rPr>
        <w:t>613</w:t>
      </w:r>
      <w:r w:rsidR="00A167B9">
        <w:rPr>
          <w:lang w:val="es-MX"/>
        </w:rPr>
        <w:t>,</w:t>
      </w:r>
      <w:r w:rsidR="0031772E">
        <w:rPr>
          <w:lang w:val="es-MX"/>
        </w:rPr>
        <w:t>56</w:t>
      </w:r>
      <w:r w:rsidR="00571AB0">
        <w:rPr>
          <w:lang w:val="es-MX"/>
        </w:rPr>
        <w:t>1</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571AB0">
        <w:rPr>
          <w:lang w:val="es-MX"/>
        </w:rPr>
        <w:t>7</w:t>
      </w:r>
      <w:r w:rsidR="005E43D7">
        <w:rPr>
          <w:lang w:val="es-MX"/>
        </w:rPr>
        <w:t>’</w:t>
      </w:r>
      <w:r w:rsidR="00571AB0">
        <w:rPr>
          <w:lang w:val="es-MX"/>
        </w:rPr>
        <w:t>3</w:t>
      </w:r>
      <w:r w:rsidR="0031772E">
        <w:rPr>
          <w:lang w:val="es-MX"/>
        </w:rPr>
        <w:t>29</w:t>
      </w:r>
      <w:r w:rsidRPr="00FA1AFC">
        <w:rPr>
          <w:lang w:val="es-MX"/>
        </w:rPr>
        <w:t>,</w:t>
      </w:r>
      <w:r w:rsidR="0031772E">
        <w:rPr>
          <w:lang w:val="es-MX"/>
        </w:rPr>
        <w:t>805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CB49C7">
        <w:rPr>
          <w:lang w:val="es-MX"/>
        </w:rPr>
        <w:t>2</w:t>
      </w:r>
      <w:r w:rsidR="0031772E">
        <w:rPr>
          <w:lang w:val="es-MX"/>
        </w:rPr>
        <w:t>1</w:t>
      </w:r>
      <w:r w:rsidR="005E43D7">
        <w:rPr>
          <w:lang w:val="es-MX"/>
        </w:rPr>
        <w:t>’</w:t>
      </w:r>
      <w:r w:rsidR="0031772E">
        <w:rPr>
          <w:lang w:val="es-MX"/>
        </w:rPr>
        <w:t>533</w:t>
      </w:r>
      <w:r w:rsidRPr="00FA1AFC">
        <w:rPr>
          <w:lang w:val="es-MX"/>
        </w:rPr>
        <w:t>,</w:t>
      </w:r>
      <w:r w:rsidR="0031772E">
        <w:rPr>
          <w:lang w:val="es-MX"/>
        </w:rPr>
        <w:t>537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11</w:t>
      </w:r>
      <w:r w:rsidR="005E43D7">
        <w:rPr>
          <w:lang w:val="es-MX"/>
        </w:rPr>
        <w:t>’</w:t>
      </w:r>
      <w:r w:rsidR="0031772E">
        <w:rPr>
          <w:lang w:val="es-MX"/>
        </w:rPr>
        <w:t>917</w:t>
      </w:r>
      <w:r w:rsidR="0009123A">
        <w:rPr>
          <w:lang w:val="es-MX"/>
        </w:rPr>
        <w:t>,</w:t>
      </w:r>
      <w:r w:rsidR="0031772E">
        <w:rPr>
          <w:lang w:val="es-MX"/>
        </w:rPr>
        <w:t>293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31772E">
        <w:rPr>
          <w:lang w:val="es-MX"/>
        </w:rPr>
        <w:t>8</w:t>
      </w:r>
      <w:r w:rsidR="005E43D7">
        <w:rPr>
          <w:lang w:val="es-MX"/>
        </w:rPr>
        <w:t>’</w:t>
      </w:r>
      <w:r w:rsidR="0031772E">
        <w:rPr>
          <w:lang w:val="es-MX"/>
        </w:rPr>
        <w:t>149</w:t>
      </w:r>
      <w:r w:rsidRPr="00FA1AFC">
        <w:rPr>
          <w:lang w:val="es-MX"/>
        </w:rPr>
        <w:t>,</w:t>
      </w:r>
      <w:r w:rsidR="0031772E">
        <w:rPr>
          <w:lang w:val="es-MX"/>
        </w:rPr>
        <w:t>422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31772E">
        <w:rPr>
          <w:lang w:val="es-MX"/>
        </w:rPr>
        <w:t>709</w:t>
      </w:r>
      <w:r w:rsidRPr="00FA1AFC">
        <w:rPr>
          <w:lang w:val="es-MX"/>
        </w:rPr>
        <w:t>,</w:t>
      </w:r>
      <w:r w:rsidR="0031772E">
        <w:rPr>
          <w:lang w:val="es-MX"/>
        </w:rPr>
        <w:t>260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906DFF">
        <w:rPr>
          <w:lang w:val="es-MX"/>
        </w:rPr>
        <w:t xml:space="preserve"> </w:t>
      </w:r>
      <w:r w:rsidR="000D322A">
        <w:rPr>
          <w:lang w:val="es-MX"/>
        </w:rPr>
        <w:t>3</w:t>
      </w:r>
      <w:r w:rsidR="0082063A">
        <w:rPr>
          <w:lang w:val="es-MX"/>
        </w:rPr>
        <w:t>’</w:t>
      </w:r>
      <w:r w:rsidR="0031772E">
        <w:rPr>
          <w:lang w:val="es-MX"/>
        </w:rPr>
        <w:t>068</w:t>
      </w:r>
      <w:r w:rsidR="005E43D7">
        <w:rPr>
          <w:lang w:val="es-MX"/>
        </w:rPr>
        <w:t>,</w:t>
      </w:r>
      <w:r w:rsidR="0031772E">
        <w:rPr>
          <w:lang w:val="es-MX"/>
        </w:rPr>
        <w:t>222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31772E">
        <w:rPr>
          <w:lang w:val="es-MX"/>
        </w:rPr>
        <w:t>69</w:t>
      </w:r>
      <w:r w:rsidRPr="00FA1AFC">
        <w:rPr>
          <w:lang w:val="es-MX"/>
        </w:rPr>
        <w:t>,</w:t>
      </w:r>
      <w:r w:rsidR="0031772E">
        <w:rPr>
          <w:lang w:val="es-MX"/>
        </w:rPr>
        <w:t>928</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CB49C7" w:rsidRPr="00116B28">
        <w:rPr>
          <w:lang w:val="en-US"/>
        </w:rPr>
        <w:t>4</w:t>
      </w:r>
      <w:r w:rsidR="00900DF0" w:rsidRPr="00116B28">
        <w:rPr>
          <w:lang w:val="en-US"/>
        </w:rPr>
        <w:t>’</w:t>
      </w:r>
      <w:r w:rsidR="0031772E">
        <w:rPr>
          <w:lang w:val="en-US"/>
        </w:rPr>
        <w:t>132,988</w:t>
      </w:r>
    </w:p>
    <w:p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31772E">
        <w:rPr>
          <w:lang w:val="en-US"/>
        </w:rPr>
        <w:t>6</w:t>
      </w:r>
      <w:r w:rsidR="00900DF0" w:rsidRPr="00116B28">
        <w:rPr>
          <w:lang w:val="en-US"/>
        </w:rPr>
        <w:t>’</w:t>
      </w:r>
      <w:r w:rsidR="0031772E">
        <w:rPr>
          <w:lang w:val="en-US"/>
        </w:rPr>
        <w:t>952</w:t>
      </w:r>
      <w:r w:rsidR="00900DF0" w:rsidRPr="00116B28">
        <w:rPr>
          <w:lang w:val="en-US"/>
        </w:rPr>
        <w:t>,</w:t>
      </w:r>
      <w:r w:rsidR="0031772E">
        <w:rPr>
          <w:lang w:val="en-US"/>
        </w:rPr>
        <w:t>321</w:t>
      </w:r>
    </w:p>
    <w:p w:rsidR="00900DF0" w:rsidRPr="00116B28" w:rsidRDefault="00900DF0" w:rsidP="00FA1AFC">
      <w:pPr>
        <w:pStyle w:val="ROMANOS"/>
        <w:spacing w:after="0" w:line="240" w:lineRule="exact"/>
        <w:rPr>
          <w:lang w:val="en-US"/>
        </w:rPr>
      </w:pPr>
      <w:r w:rsidRPr="00116B28">
        <w:rPr>
          <w:lang w:val="en-US"/>
        </w:rPr>
        <w:tab/>
      </w:r>
      <w:r w:rsidRPr="00116B28">
        <w:rPr>
          <w:lang w:val="en-US"/>
        </w:rPr>
        <w:tab/>
      </w:r>
      <w:r w:rsidRPr="00116B28">
        <w:rPr>
          <w:lang w:val="en-US"/>
        </w:rPr>
        <w:tab/>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571AB0">
        <w:rPr>
          <w:lang w:val="en-US"/>
        </w:rPr>
        <w:t>5</w:t>
      </w:r>
      <w:r w:rsidR="0031772E">
        <w:rPr>
          <w:lang w:val="en-US"/>
        </w:rPr>
        <w:t>54</w:t>
      </w:r>
      <w:r w:rsidRPr="00116B28">
        <w:rPr>
          <w:lang w:val="en-US"/>
        </w:rPr>
        <w:t>,</w:t>
      </w:r>
      <w:r w:rsidR="0031772E">
        <w:rPr>
          <w:lang w:val="en-US"/>
        </w:rPr>
        <w:t>703</w:t>
      </w:r>
    </w:p>
    <w:p w:rsidR="00AC6A88" w:rsidRPr="00116B28" w:rsidRDefault="00AC6A88" w:rsidP="00FA1AFC">
      <w:pPr>
        <w:pStyle w:val="ROMANOS"/>
        <w:spacing w:after="0" w:line="240" w:lineRule="exact"/>
        <w:rPr>
          <w:lang w:val="en-US"/>
        </w:rPr>
      </w:pPr>
      <w:r w:rsidRPr="00116B28">
        <w:rPr>
          <w:lang w:val="en-US"/>
        </w:rPr>
        <w:tab/>
      </w:r>
      <w:r w:rsidRPr="00116B28">
        <w:rPr>
          <w:lang w:val="en-US"/>
        </w:rPr>
        <w:tab/>
      </w:r>
      <w:r w:rsidRPr="00116B28">
        <w:rPr>
          <w:lang w:val="en-US"/>
        </w:rPr>
        <w:tab/>
      </w:r>
      <w:r w:rsidRPr="00116B28">
        <w:rPr>
          <w:lang w:val="en-US"/>
        </w:rPr>
        <w:tab/>
      </w:r>
    </w:p>
    <w:p w:rsidR="00DA4E30" w:rsidRPr="00116B28" w:rsidRDefault="00DA4E30" w:rsidP="00540418">
      <w:pPr>
        <w:pStyle w:val="ROMANOS"/>
        <w:spacing w:after="0" w:line="240" w:lineRule="exact"/>
        <w:rPr>
          <w:b/>
          <w:lang w:val="en-US"/>
        </w:rPr>
      </w:pPr>
    </w:p>
    <w:p w:rsidR="00540418" w:rsidRPr="00F710F2" w:rsidRDefault="00540418" w:rsidP="00540418">
      <w:pPr>
        <w:pStyle w:val="ROMANOS"/>
        <w:spacing w:after="0" w:line="240" w:lineRule="exact"/>
        <w:rPr>
          <w:b/>
          <w:lang w:val="es-MX"/>
        </w:rPr>
      </w:pPr>
      <w:r w:rsidRPr="00116B28">
        <w:rPr>
          <w:b/>
          <w:lang w:val="en-US"/>
        </w:rPr>
        <w:tab/>
      </w:r>
      <w:r w:rsidRPr="00F710F2">
        <w:rPr>
          <w:b/>
          <w:lang w:val="es-MX"/>
        </w:rPr>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Default="00540418" w:rsidP="00540418">
      <w:pPr>
        <w:pStyle w:val="ROMANOS"/>
        <w:spacing w:after="0" w:line="240" w:lineRule="exact"/>
        <w:rPr>
          <w:b/>
          <w:lang w:val="es-MX"/>
        </w:rPr>
      </w:pPr>
      <w:r w:rsidRPr="00F710F2">
        <w:rPr>
          <w:b/>
          <w:lang w:val="es-MX"/>
        </w:rPr>
        <w:tab/>
        <w:t>Inversiones Financieras</w:t>
      </w:r>
    </w:p>
    <w:p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rsidR="00B70747" w:rsidRDefault="00B70747" w:rsidP="00B70747">
      <w:pPr>
        <w:pStyle w:val="ROMANOS"/>
        <w:spacing w:after="0" w:line="240" w:lineRule="exact"/>
        <w:ind w:left="723" w:firstLine="0"/>
        <w:rPr>
          <w:lang w:val="es-MX"/>
        </w:rPr>
      </w:pPr>
    </w:p>
    <w:p w:rsidR="00B70747"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571AB0">
        <w:t>1</w:t>
      </w:r>
      <w:r w:rsidR="0031772E">
        <w:t>2</w:t>
      </w:r>
      <w:r w:rsidRPr="00487227">
        <w:t>,</w:t>
      </w:r>
      <w:r w:rsidR="0031772E">
        <w:t>496</w:t>
      </w:r>
      <w:r w:rsidRPr="00487227">
        <w:t>,</w:t>
      </w:r>
      <w:r w:rsidR="0031772E">
        <w:t>446</w:t>
      </w:r>
    </w:p>
    <w:p w:rsidR="00800CD2" w:rsidRDefault="00B70747" w:rsidP="00B70747">
      <w:pPr>
        <w:pStyle w:val="ROMANOS"/>
        <w:spacing w:after="0" w:line="240" w:lineRule="exact"/>
        <w:ind w:left="723"/>
      </w:pPr>
      <w:r w:rsidRPr="00487227">
        <w:t>2042755351</w:t>
      </w:r>
      <w:r w:rsidRPr="000D322A">
        <w:t xml:space="preserve"> </w:t>
      </w:r>
      <w:r>
        <w:tab/>
      </w:r>
      <w:r>
        <w:tab/>
      </w:r>
      <w:proofErr w:type="gramStart"/>
      <w:r>
        <w:t>Fondos</w:t>
      </w:r>
      <w:proofErr w:type="gramEnd"/>
      <w:r>
        <w:t xml:space="preserve"> de Inversión (Fdo. de C</w:t>
      </w:r>
      <w:r w:rsidRPr="00487227">
        <w:t>ontingencia cta. 149775978)</w:t>
      </w:r>
      <w:r w:rsidRPr="000D322A">
        <w:t xml:space="preserve"> </w:t>
      </w:r>
      <w:r>
        <w:tab/>
      </w:r>
      <w:r>
        <w:tab/>
      </w:r>
      <w:r>
        <w:tab/>
      </w:r>
      <w:r>
        <w:tab/>
        <w:t xml:space="preserve">           </w:t>
      </w:r>
      <w:r w:rsidRPr="00487227">
        <w:t>1,</w:t>
      </w:r>
      <w:r w:rsidR="0031772E">
        <w:t>531</w:t>
      </w:r>
      <w:r w:rsidRPr="00487227">
        <w:t>,</w:t>
      </w:r>
      <w:r w:rsidR="0031772E">
        <w:t>064</w:t>
      </w:r>
    </w:p>
    <w:p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00571AB0">
        <w:t>3</w:t>
      </w:r>
      <w:r w:rsidRPr="00487227">
        <w:t>,</w:t>
      </w:r>
      <w:r w:rsidR="0031772E">
        <w:t>241</w:t>
      </w:r>
      <w:r w:rsidRPr="00487227">
        <w:t>,</w:t>
      </w:r>
      <w:r w:rsidR="0031772E">
        <w:t>721</w:t>
      </w:r>
    </w:p>
    <w:p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800CD2">
        <w:t>2</w:t>
      </w:r>
      <w:r w:rsidR="0031772E">
        <w:t>73</w:t>
      </w:r>
      <w:r w:rsidRPr="00487227">
        <w:t>,</w:t>
      </w:r>
      <w:r w:rsidR="0031772E">
        <w:t>998</w:t>
      </w:r>
    </w:p>
    <w:p w:rsidR="00B70747" w:rsidRDefault="00B70747" w:rsidP="00540418">
      <w:pPr>
        <w:pStyle w:val="ROMANOS"/>
        <w:spacing w:after="0" w:line="240" w:lineRule="exact"/>
        <w:rPr>
          <w:b/>
          <w:lang w:val="es-MX"/>
        </w:rPr>
      </w:pPr>
    </w:p>
    <w:p w:rsidR="00B70747" w:rsidRPr="00F710F2" w:rsidRDefault="00B70747"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31772E">
        <w:rPr>
          <w:lang w:val="es-MX"/>
        </w:rPr>
        <w:t>430</w:t>
      </w:r>
      <w:r>
        <w:rPr>
          <w:lang w:val="es-MX"/>
        </w:rPr>
        <w:t>,</w:t>
      </w:r>
      <w:r w:rsidR="0031772E">
        <w:rPr>
          <w:lang w:val="es-MX"/>
        </w:rPr>
        <w:t>046</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A60D9D">
        <w:rPr>
          <w:lang w:val="es-MX"/>
        </w:rPr>
        <w:t>60</w:t>
      </w:r>
      <w:r>
        <w:rPr>
          <w:lang w:val="es-MX"/>
        </w:rPr>
        <w:t>,</w:t>
      </w:r>
      <w:r w:rsidR="00A60D9D">
        <w:rPr>
          <w:lang w:val="es-MX"/>
        </w:rPr>
        <w:t>043</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Default="00DA4E30" w:rsidP="00540418">
      <w:pPr>
        <w:pStyle w:val="ROMANOS"/>
        <w:spacing w:after="0" w:line="240" w:lineRule="exact"/>
        <w:rPr>
          <w:lang w:val="es-MX"/>
        </w:rPr>
      </w:pPr>
    </w:p>
    <w:p w:rsidR="002D30F8" w:rsidRPr="00F710F2" w:rsidRDefault="002D30F8"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31772E">
        <w:rPr>
          <w:lang w:val="es-MX"/>
        </w:rPr>
        <w:t>96</w:t>
      </w:r>
      <w:r>
        <w:rPr>
          <w:lang w:val="es-MX"/>
        </w:rPr>
        <w:t>,</w:t>
      </w:r>
      <w:r w:rsidR="0031772E">
        <w:rPr>
          <w:lang w:val="es-MX"/>
        </w:rPr>
        <w:t>786</w:t>
      </w:r>
      <w:r>
        <w:rPr>
          <w:lang w:val="es-MX"/>
        </w:rPr>
        <w:t xml:space="preserve">, corresponde </w:t>
      </w:r>
      <w:r w:rsidR="0031772E">
        <w:rPr>
          <w:lang w:val="es-MX"/>
        </w:rPr>
        <w:t>62</w:t>
      </w:r>
      <w:r>
        <w:rPr>
          <w:lang w:val="es-MX"/>
        </w:rPr>
        <w:t>,</w:t>
      </w:r>
      <w:r w:rsidR="0031772E">
        <w:rPr>
          <w:lang w:val="es-MX"/>
        </w:rPr>
        <w:t>511</w:t>
      </w:r>
      <w:r>
        <w:rPr>
          <w:lang w:val="es-MX"/>
        </w:rPr>
        <w:t xml:space="preserve"> a Devengo Contable de prestaciones al Personal</w:t>
      </w:r>
      <w:r w:rsidR="00A612CD">
        <w:rPr>
          <w:lang w:val="es-MX"/>
        </w:rPr>
        <w:t>, 2,003</w:t>
      </w:r>
      <w:r w:rsidR="002D30F8">
        <w:rPr>
          <w:lang w:val="es-MX"/>
        </w:rPr>
        <w:t xml:space="preserve"> </w:t>
      </w:r>
      <w:r w:rsidR="00986FC7">
        <w:rPr>
          <w:lang w:val="es-MX"/>
        </w:rPr>
        <w:t>corresponde</w:t>
      </w:r>
      <w:r w:rsidR="00B70747">
        <w:rPr>
          <w:lang w:val="es-MX"/>
        </w:rPr>
        <w:t>n</w:t>
      </w:r>
      <w:r w:rsidR="00986FC7">
        <w:rPr>
          <w:lang w:val="es-MX"/>
        </w:rPr>
        <w:t xml:space="preserve"> 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 retención de ISR en el pago de </w:t>
      </w:r>
      <w:r w:rsidR="004F70E3">
        <w:rPr>
          <w:lang w:val="es-MX"/>
        </w:rPr>
        <w:t>arrendamiento de</w:t>
      </w:r>
      <w:r w:rsidR="00986FC7">
        <w:rPr>
          <w:lang w:val="es-MX"/>
        </w:rPr>
        <w:t>l edificio</w:t>
      </w:r>
      <w:r w:rsidR="00A612CD">
        <w:rPr>
          <w:lang w:val="es-MX"/>
        </w:rPr>
        <w:t xml:space="preserve"> y 32,272 a la provisión del pago de Impuesto sobre nóminas</w:t>
      </w:r>
      <w:r w:rsidR="004F70E3">
        <w:rPr>
          <w:lang w:val="es-MX"/>
        </w:rPr>
        <w:t>.</w:t>
      </w:r>
    </w:p>
    <w:p w:rsidR="004F70E3" w:rsidRDefault="004F70E3"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E2677B" w:rsidRDefault="00E2677B"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lastRenderedPageBreak/>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FC5623">
        <w:rPr>
          <w:lang w:val="es-MX"/>
        </w:rPr>
        <w:t>907</w:t>
      </w:r>
      <w:r w:rsidR="00516264">
        <w:rPr>
          <w:lang w:val="es-MX"/>
        </w:rPr>
        <w:t>,</w:t>
      </w:r>
      <w:r w:rsidR="00FC5623">
        <w:rPr>
          <w:lang w:val="es-MX"/>
        </w:rPr>
        <w:t>482</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A612CD">
        <w:rPr>
          <w:lang w:val="es-MX"/>
        </w:rPr>
        <w:t>66</w:t>
      </w:r>
      <w:r w:rsidR="00BC21A9">
        <w:rPr>
          <w:lang w:val="es-MX"/>
        </w:rPr>
        <w:t>,</w:t>
      </w:r>
      <w:r w:rsidR="00A612CD">
        <w:rPr>
          <w:lang w:val="es-MX"/>
        </w:rPr>
        <w:t>575</w:t>
      </w:r>
    </w:p>
    <w:p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Jóvenes Emprendedores Tlaxcaltecas</w:t>
      </w:r>
      <w:r>
        <w:rPr>
          <w:lang w:val="es-MX"/>
        </w:rPr>
        <w:tab/>
      </w:r>
      <w:r>
        <w:rPr>
          <w:lang w:val="es-MX"/>
        </w:rPr>
        <w:tab/>
      </w:r>
      <w:r>
        <w:rPr>
          <w:lang w:val="es-MX"/>
        </w:rPr>
        <w:tab/>
        <w:t xml:space="preserve">             </w:t>
      </w:r>
      <w:r>
        <w:rPr>
          <w:lang w:val="es-MX"/>
        </w:rPr>
        <w:tab/>
      </w:r>
      <w:r>
        <w:rPr>
          <w:lang w:val="es-MX"/>
        </w:rPr>
        <w:tab/>
      </w:r>
      <w:r>
        <w:rPr>
          <w:lang w:val="es-MX"/>
        </w:rPr>
        <w:tab/>
      </w:r>
      <w:r>
        <w:rPr>
          <w:lang w:val="es-MX"/>
        </w:rPr>
        <w:tab/>
        <w:t xml:space="preserve">   9,000</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B70747">
        <w:rPr>
          <w:lang w:val="es-MX"/>
        </w:rPr>
        <w:t>1’</w:t>
      </w:r>
      <w:r w:rsidR="00A612CD">
        <w:rPr>
          <w:lang w:val="es-MX"/>
        </w:rPr>
        <w:t>533</w:t>
      </w:r>
      <w:r w:rsidR="00B70747">
        <w:rPr>
          <w:lang w:val="es-MX"/>
        </w:rPr>
        <w:t>,</w:t>
      </w:r>
      <w:r w:rsidR="00A612CD">
        <w:rPr>
          <w:lang w:val="es-MX"/>
        </w:rPr>
        <w:t>445</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w:t>
      </w:r>
      <w:r w:rsidR="00800CD2">
        <w:rPr>
          <w:lang w:val="es-MX"/>
        </w:rPr>
        <w:t>1</w:t>
      </w:r>
      <w:r w:rsidR="00353197">
        <w:rPr>
          <w:lang w:val="es-MX"/>
        </w:rPr>
        <w:t>’</w:t>
      </w:r>
      <w:r w:rsidR="00A612CD">
        <w:rPr>
          <w:lang w:val="es-MX"/>
        </w:rPr>
        <w:t>080</w:t>
      </w:r>
      <w:r w:rsidR="00353197">
        <w:rPr>
          <w:lang w:val="es-MX"/>
        </w:rPr>
        <w:t>,</w:t>
      </w:r>
      <w:r w:rsidR="00A612CD">
        <w:rPr>
          <w:lang w:val="es-MX"/>
        </w:rPr>
        <w:t>084</w:t>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F36A58">
        <w:rPr>
          <w:lang w:val="es-MX"/>
        </w:rPr>
        <w:t>2</w:t>
      </w:r>
      <w:r w:rsidRPr="00B317DB">
        <w:rPr>
          <w:lang w:val="es-MX"/>
        </w:rPr>
        <w:t>’</w:t>
      </w:r>
      <w:r w:rsidR="00FC5623">
        <w:rPr>
          <w:lang w:val="es-MX"/>
        </w:rPr>
        <w:t>390</w:t>
      </w:r>
      <w:r w:rsidRPr="00B317DB">
        <w:rPr>
          <w:lang w:val="es-MX"/>
        </w:rPr>
        <w:t>,</w:t>
      </w:r>
      <w:r w:rsidR="00FC5623">
        <w:rPr>
          <w:lang w:val="es-MX"/>
        </w:rPr>
        <w:t>640</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DF021E">
        <w:rPr>
          <w:lang w:val="es-MX"/>
        </w:rPr>
        <w:t>2</w:t>
      </w:r>
      <w:r w:rsidR="00FC5623">
        <w:rPr>
          <w:lang w:val="es-MX"/>
        </w:rPr>
        <w:t>09</w:t>
      </w:r>
      <w:r w:rsidR="00AC6A88">
        <w:rPr>
          <w:lang w:val="es-MX"/>
        </w:rPr>
        <w:t>,</w:t>
      </w:r>
      <w:r w:rsidR="00FC5623">
        <w:rPr>
          <w:lang w:val="es-MX"/>
        </w:rPr>
        <w:t>846</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w:t>
      </w:r>
      <w:r w:rsidR="00A612CD">
        <w:rPr>
          <w:lang w:val="es-MX"/>
        </w:rPr>
        <w:t>0</w:t>
      </w:r>
      <w:r>
        <w:rPr>
          <w:lang w:val="es-MX"/>
        </w:rPr>
        <w:t>8</w:t>
      </w:r>
      <w:r w:rsidR="00B93D3F">
        <w:rPr>
          <w:lang w:val="es-MX"/>
        </w:rPr>
        <w:t>,</w:t>
      </w:r>
      <w:r w:rsidR="00A612CD">
        <w:rPr>
          <w:lang w:val="es-MX"/>
        </w:rPr>
        <w:t>34</w:t>
      </w:r>
      <w:r>
        <w:rPr>
          <w:lang w:val="es-MX"/>
        </w:rPr>
        <w:t>7</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pasivos a corto plazo por </w:t>
      </w:r>
      <w:r w:rsidR="00FC5623">
        <w:rPr>
          <w:lang w:val="es-MX"/>
        </w:rPr>
        <w:t>1</w:t>
      </w:r>
      <w:r w:rsidR="00A612CD">
        <w:rPr>
          <w:lang w:val="es-MX"/>
        </w:rPr>
        <w:t>2</w:t>
      </w:r>
      <w:r w:rsidR="00B70747">
        <w:rPr>
          <w:lang w:val="es-MX"/>
        </w:rPr>
        <w:t>,</w:t>
      </w:r>
      <w:r w:rsidR="00A612CD">
        <w:rPr>
          <w:lang w:val="es-MX"/>
        </w:rPr>
        <w:t>568</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w:t>
      </w:r>
      <w:r w:rsidR="000A4A52">
        <w:rPr>
          <w:lang w:val="es-MX"/>
        </w:rPr>
        <w:t>,</w:t>
      </w:r>
      <w:r w:rsidR="0014326A">
        <w:rPr>
          <w:lang w:val="es-MX"/>
        </w:rPr>
        <w:t xml:space="preserve"> A</w:t>
      </w:r>
      <w:r>
        <w:rPr>
          <w:lang w:val="es-MX"/>
        </w:rPr>
        <w:t>portaciones</w:t>
      </w:r>
      <w:r w:rsidR="000A4A52">
        <w:rPr>
          <w:lang w:val="es-MX"/>
        </w:rPr>
        <w:t>, Convenios, Incentivos Derivados de la Colaboración Fiscal, Fondos Distintos de Aportaciones, Transferencias, Asignaciones, Subsidios y Subvenciones, y Pensiones y Jubilaciones,</w:t>
      </w:r>
      <w:r>
        <w:rPr>
          <w:lang w:val="es-MX"/>
        </w:rPr>
        <w:t xml:space="preserve"> se refleja un importe de </w:t>
      </w:r>
      <w:r w:rsidR="00A612CD">
        <w:rPr>
          <w:lang w:val="es-MX"/>
        </w:rPr>
        <w:t>10</w:t>
      </w:r>
      <w:r>
        <w:rPr>
          <w:lang w:val="es-MX"/>
        </w:rPr>
        <w:t>’</w:t>
      </w:r>
      <w:r w:rsidR="00A612CD">
        <w:rPr>
          <w:lang w:val="es-MX"/>
        </w:rPr>
        <w:t>966</w:t>
      </w:r>
      <w:r w:rsidR="00F36A58">
        <w:rPr>
          <w:lang w:val="es-MX"/>
        </w:rPr>
        <w:t>,</w:t>
      </w:r>
      <w:r w:rsidR="00A612CD">
        <w:rPr>
          <w:lang w:val="es-MX"/>
        </w:rPr>
        <w:t>400</w:t>
      </w:r>
      <w:r w:rsidR="00455080">
        <w:rPr>
          <w:lang w:val="es-MX"/>
        </w:rPr>
        <w:t>.</w:t>
      </w:r>
    </w:p>
    <w:p w:rsidR="00455080" w:rsidRDefault="00455080" w:rsidP="00C825B4">
      <w:pPr>
        <w:pStyle w:val="ROMANOS"/>
        <w:spacing w:after="0" w:line="240" w:lineRule="exact"/>
        <w:ind w:left="0" w:firstLine="0"/>
        <w:rPr>
          <w:lang w:val="es-MX"/>
        </w:rPr>
      </w:pPr>
    </w:p>
    <w:p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A612CD">
        <w:rPr>
          <w:lang w:val="es-MX"/>
        </w:rPr>
        <w:t>5</w:t>
      </w:r>
      <w:r w:rsidR="00766F7A">
        <w:rPr>
          <w:lang w:val="es-MX"/>
        </w:rPr>
        <w:t>’</w:t>
      </w:r>
      <w:r w:rsidR="00A612CD">
        <w:rPr>
          <w:lang w:val="es-MX"/>
        </w:rPr>
        <w:t>887</w:t>
      </w:r>
      <w:r w:rsidR="00766F7A">
        <w:rPr>
          <w:lang w:val="es-MX"/>
        </w:rPr>
        <w:t>,</w:t>
      </w:r>
      <w:r w:rsidR="00A612CD">
        <w:rPr>
          <w:lang w:val="es-MX"/>
        </w:rPr>
        <w:t>432</w:t>
      </w:r>
      <w:r w:rsidR="00AF0C16">
        <w:rPr>
          <w:lang w:val="es-MX"/>
        </w:rPr>
        <w:t>.</w:t>
      </w:r>
    </w:p>
    <w:p w:rsidR="0054087A" w:rsidRDefault="0054087A" w:rsidP="00C825B4">
      <w:pPr>
        <w:pStyle w:val="ROMANOS"/>
        <w:spacing w:after="0" w:line="240" w:lineRule="exact"/>
        <w:ind w:left="0" w:firstLine="0"/>
        <w:rPr>
          <w:lang w:val="es-MX"/>
        </w:rPr>
      </w:pPr>
    </w:p>
    <w:p w:rsidR="0054087A" w:rsidRPr="00C825B4" w:rsidRDefault="0054087A" w:rsidP="00C825B4">
      <w:pPr>
        <w:pStyle w:val="ROMANOS"/>
        <w:spacing w:after="0" w:line="240" w:lineRule="exact"/>
        <w:ind w:left="0" w:firstLine="0"/>
        <w:rPr>
          <w:lang w:val="es-MX"/>
        </w:rPr>
      </w:pPr>
      <w:r>
        <w:rPr>
          <w:lang w:val="es-MX"/>
        </w:rPr>
        <w:t>En Productos se refleja la cantidad de 5</w:t>
      </w:r>
      <w:r w:rsidR="00A612CD">
        <w:rPr>
          <w:lang w:val="es-MX"/>
        </w:rPr>
        <w:t>9</w:t>
      </w:r>
      <w:r>
        <w:rPr>
          <w:lang w:val="es-MX"/>
        </w:rPr>
        <w:t>,</w:t>
      </w:r>
      <w:r w:rsidR="00A612CD">
        <w:rPr>
          <w:lang w:val="es-MX"/>
        </w:rPr>
        <w:t>571</w:t>
      </w:r>
      <w:r>
        <w:rPr>
          <w:lang w:val="es-MX"/>
        </w:rPr>
        <w:t>.</w:t>
      </w:r>
    </w:p>
    <w:p w:rsidR="00AF0C16" w:rsidRDefault="00AF0C16"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rsidR="0054087A" w:rsidRDefault="0054087A" w:rsidP="00385E4D">
      <w:pPr>
        <w:pStyle w:val="ROMANOS"/>
        <w:spacing w:after="0" w:line="240" w:lineRule="exact"/>
        <w:ind w:left="0" w:firstLine="0"/>
        <w:rPr>
          <w:lang w:val="es-MX"/>
        </w:rPr>
      </w:pPr>
    </w:p>
    <w:p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proofErr w:type="gramStart"/>
      <w:r>
        <w:rPr>
          <w:lang w:val="es-MX"/>
        </w:rPr>
        <w:tab/>
        <w:t xml:space="preserve"> </w:t>
      </w:r>
      <w:r w:rsidR="00A612CD">
        <w:rPr>
          <w:lang w:val="es-MX"/>
        </w:rPr>
        <w:t xml:space="preserve"> 8</w:t>
      </w:r>
      <w:proofErr w:type="gramEnd"/>
      <w:r>
        <w:rPr>
          <w:lang w:val="es-MX"/>
        </w:rPr>
        <w:t>´</w:t>
      </w:r>
      <w:r w:rsidR="00A612CD">
        <w:rPr>
          <w:lang w:val="es-MX"/>
        </w:rPr>
        <w:t>413</w:t>
      </w:r>
      <w:r>
        <w:rPr>
          <w:lang w:val="es-MX"/>
        </w:rPr>
        <w:t>,</w:t>
      </w:r>
      <w:r w:rsidR="00A612CD">
        <w:rPr>
          <w:lang w:val="es-MX"/>
        </w:rPr>
        <w:t>854</w:t>
      </w:r>
    </w:p>
    <w:p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A612CD">
        <w:rPr>
          <w:lang w:val="es-MX"/>
        </w:rPr>
        <w:t>748</w:t>
      </w:r>
      <w:r>
        <w:rPr>
          <w:lang w:val="es-MX"/>
        </w:rPr>
        <w:t>,</w:t>
      </w:r>
      <w:r w:rsidR="00A612CD">
        <w:rPr>
          <w:lang w:val="es-MX"/>
        </w:rPr>
        <w:t>35</w:t>
      </w:r>
      <w:r w:rsidR="00FC5623">
        <w:rPr>
          <w:lang w:val="es-MX"/>
        </w:rPr>
        <w:t>9</w:t>
      </w:r>
    </w:p>
    <w:p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A612CD">
        <w:rPr>
          <w:lang w:val="es-MX"/>
        </w:rPr>
        <w:t>910</w:t>
      </w:r>
      <w:r>
        <w:rPr>
          <w:lang w:val="es-MX"/>
        </w:rPr>
        <w:t>,</w:t>
      </w:r>
      <w:r w:rsidR="00A612CD">
        <w:rPr>
          <w:lang w:val="es-MX"/>
        </w:rPr>
        <w:t>398</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2D30F8">
        <w:t>7</w:t>
      </w:r>
      <w:r>
        <w:t xml:space="preserve"> y el Patrimonio generado del ejercicio se integra por el Resultado del ejercicio 201</w:t>
      </w:r>
      <w:r w:rsidR="002D30F8">
        <w:t>8</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095"/>
      </w:tblGrid>
      <w:tr w:rsidR="00540418"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D00744">
              <w:rPr>
                <w:szCs w:val="18"/>
                <w:lang w:val="es-MX"/>
              </w:rPr>
              <w:t>8</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D00744">
              <w:rPr>
                <w:szCs w:val="18"/>
                <w:lang w:val="es-MX"/>
              </w:rPr>
              <w:t>7</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A612CD" w:rsidP="002D30F8">
            <w:pPr>
              <w:pStyle w:val="Texto"/>
              <w:spacing w:after="0" w:line="240" w:lineRule="exact"/>
              <w:ind w:firstLine="0"/>
              <w:jc w:val="right"/>
              <w:rPr>
                <w:szCs w:val="18"/>
                <w:lang w:val="es-MX"/>
              </w:rPr>
            </w:pPr>
            <w:r>
              <w:rPr>
                <w:szCs w:val="18"/>
                <w:lang w:val="es-MX"/>
              </w:rPr>
              <w:t>1</w:t>
            </w:r>
            <w:r w:rsidR="00153FA6">
              <w:rPr>
                <w:szCs w:val="18"/>
                <w:lang w:val="es-MX"/>
              </w:rPr>
              <w:t>’</w:t>
            </w:r>
            <w:r>
              <w:rPr>
                <w:szCs w:val="18"/>
                <w:lang w:val="es-MX"/>
              </w:rPr>
              <w:t>924</w:t>
            </w:r>
            <w:r w:rsidR="00153FA6">
              <w:rPr>
                <w:szCs w:val="18"/>
                <w:lang w:val="es-MX"/>
              </w:rPr>
              <w:t>,</w:t>
            </w:r>
            <w:r>
              <w:rPr>
                <w:szCs w:val="18"/>
                <w:lang w:val="es-MX"/>
              </w:rPr>
              <w:t>929</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2D30F8" w:rsidP="00017E12">
            <w:pPr>
              <w:pStyle w:val="Texto"/>
              <w:spacing w:after="0" w:line="240" w:lineRule="exact"/>
              <w:ind w:firstLine="0"/>
              <w:jc w:val="right"/>
              <w:rPr>
                <w:szCs w:val="18"/>
                <w:lang w:val="es-MX"/>
              </w:rPr>
            </w:pPr>
            <w:r>
              <w:rPr>
                <w:szCs w:val="18"/>
                <w:lang w:val="es-MX"/>
              </w:rPr>
              <w:t>6’777,920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2D30F8" w:rsidP="002D30F8">
            <w:pPr>
              <w:pStyle w:val="Texto"/>
              <w:spacing w:after="0" w:line="240" w:lineRule="exact"/>
              <w:ind w:firstLine="0"/>
              <w:jc w:val="right"/>
              <w:rPr>
                <w:szCs w:val="18"/>
                <w:lang w:val="es-MX"/>
              </w:rPr>
            </w:pPr>
            <w:r>
              <w:rPr>
                <w:szCs w:val="18"/>
                <w:lang w:val="es-MX"/>
              </w:rPr>
              <w:t>1</w:t>
            </w:r>
            <w:r w:rsidR="00A612CD">
              <w:rPr>
                <w:szCs w:val="18"/>
                <w:lang w:val="es-MX"/>
              </w:rPr>
              <w:t>7</w:t>
            </w:r>
            <w:r>
              <w:rPr>
                <w:szCs w:val="18"/>
                <w:lang w:val="es-MX"/>
              </w:rPr>
              <w:t>’</w:t>
            </w:r>
            <w:r w:rsidR="00A612CD">
              <w:rPr>
                <w:szCs w:val="18"/>
                <w:lang w:val="es-MX"/>
              </w:rPr>
              <w:t>543</w:t>
            </w:r>
            <w:r>
              <w:rPr>
                <w:szCs w:val="18"/>
                <w:lang w:val="es-MX"/>
              </w:rPr>
              <w:t>,</w:t>
            </w:r>
            <w:r w:rsidR="00FC5623">
              <w:rPr>
                <w:szCs w:val="18"/>
                <w:lang w:val="es-MX"/>
              </w:rPr>
              <w:t>22</w:t>
            </w:r>
            <w:r w:rsidR="00A612CD">
              <w:rPr>
                <w:szCs w:val="18"/>
                <w:lang w:val="es-MX"/>
              </w:rPr>
              <w:t>9</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153FA6" w:rsidRPr="00153FA6" w:rsidRDefault="002D30F8" w:rsidP="002D30F8">
            <w:pPr>
              <w:jc w:val="right"/>
              <w:rPr>
                <w:rFonts w:ascii="Arial" w:hAnsi="Arial" w:cs="Arial"/>
                <w:sz w:val="18"/>
                <w:szCs w:val="18"/>
              </w:rPr>
            </w:pPr>
            <w:r>
              <w:rPr>
                <w:rFonts w:ascii="Arial" w:hAnsi="Arial" w:cs="Arial"/>
                <w:sz w:val="18"/>
                <w:szCs w:val="18"/>
              </w:rPr>
              <w:t>1</w:t>
            </w:r>
            <w:r w:rsidR="00A612CD">
              <w:rPr>
                <w:rFonts w:ascii="Arial" w:hAnsi="Arial" w:cs="Arial"/>
                <w:sz w:val="18"/>
                <w:szCs w:val="18"/>
              </w:rPr>
              <w:t>9</w:t>
            </w:r>
            <w:r w:rsidR="00BF538F">
              <w:rPr>
                <w:rFonts w:ascii="Arial" w:hAnsi="Arial" w:cs="Arial"/>
                <w:sz w:val="18"/>
                <w:szCs w:val="18"/>
              </w:rPr>
              <w:t>’</w:t>
            </w:r>
            <w:r w:rsidR="00A612CD">
              <w:rPr>
                <w:rFonts w:ascii="Arial" w:hAnsi="Arial" w:cs="Arial"/>
                <w:sz w:val="18"/>
                <w:szCs w:val="18"/>
              </w:rPr>
              <w:t>468</w:t>
            </w:r>
            <w:r w:rsidR="00153FA6" w:rsidRPr="00153FA6">
              <w:rPr>
                <w:rFonts w:ascii="Arial" w:hAnsi="Arial" w:cs="Arial"/>
                <w:sz w:val="18"/>
                <w:szCs w:val="18"/>
              </w:rPr>
              <w:t>,</w:t>
            </w:r>
            <w:r w:rsidR="00A612CD">
              <w:rPr>
                <w:rFonts w:ascii="Arial" w:hAnsi="Arial" w:cs="Arial"/>
                <w:sz w:val="18"/>
                <w:szCs w:val="18"/>
              </w:rPr>
              <w:t>158</w:t>
            </w:r>
          </w:p>
        </w:tc>
        <w:tc>
          <w:tcPr>
            <w:tcW w:w="1095" w:type="dxa"/>
            <w:tcBorders>
              <w:top w:val="single" w:sz="6" w:space="0" w:color="auto"/>
              <w:left w:val="single" w:sz="6" w:space="0" w:color="auto"/>
              <w:bottom w:val="single" w:sz="6" w:space="0" w:color="auto"/>
              <w:right w:val="single" w:sz="6" w:space="0" w:color="auto"/>
            </w:tcBorders>
          </w:tcPr>
          <w:p w:rsidR="00153FA6" w:rsidRPr="00DA2766" w:rsidRDefault="002D30F8" w:rsidP="00017E12">
            <w:pPr>
              <w:jc w:val="right"/>
              <w:rPr>
                <w:rFonts w:ascii="Arial" w:hAnsi="Arial" w:cs="Arial"/>
                <w:sz w:val="18"/>
                <w:szCs w:val="18"/>
              </w:rPr>
            </w:pPr>
            <w:r>
              <w:rPr>
                <w:rFonts w:ascii="Arial" w:hAnsi="Arial" w:cs="Arial"/>
                <w:sz w:val="18"/>
                <w:szCs w:val="18"/>
              </w:rPr>
              <w:t>6’777</w:t>
            </w:r>
            <w:r w:rsidRPr="00153FA6">
              <w:rPr>
                <w:rFonts w:ascii="Arial" w:hAnsi="Arial" w:cs="Arial"/>
                <w:sz w:val="18"/>
                <w:szCs w:val="18"/>
              </w:rPr>
              <w:t>,</w:t>
            </w:r>
            <w:r>
              <w:rPr>
                <w:rFonts w:ascii="Arial" w:hAnsi="Arial" w:cs="Arial"/>
                <w:sz w:val="18"/>
                <w:szCs w:val="18"/>
              </w:rPr>
              <w:t>920</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0A4A52" w:rsidRDefault="000A4A52" w:rsidP="00540418">
      <w:pPr>
        <w:pStyle w:val="Texto"/>
        <w:spacing w:after="0" w:line="240" w:lineRule="exact"/>
        <w:rPr>
          <w:szCs w:val="18"/>
          <w:lang w:val="es-MX"/>
        </w:rPr>
      </w:pPr>
    </w:p>
    <w:tbl>
      <w:tblPr>
        <w:tblW w:w="8712" w:type="dxa"/>
        <w:tblInd w:w="3079" w:type="dxa"/>
        <w:tblCellMar>
          <w:left w:w="70" w:type="dxa"/>
          <w:right w:w="70" w:type="dxa"/>
        </w:tblCellMar>
        <w:tblLook w:val="0000" w:firstRow="0" w:lastRow="0" w:firstColumn="0" w:lastColumn="0" w:noHBand="0" w:noVBand="0"/>
      </w:tblPr>
      <w:tblGrid>
        <w:gridCol w:w="493"/>
        <w:gridCol w:w="6382"/>
        <w:gridCol w:w="1837"/>
      </w:tblGrid>
      <w:tr w:rsidR="000A4A52" w:rsidRPr="000A4A52" w:rsidTr="00DC0D31">
        <w:trPr>
          <w:cantSplit/>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rsidR="00DC0D31"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E22287">
              <w:rPr>
                <w:rFonts w:ascii="Arial" w:eastAsia="Times New Roman" w:hAnsi="Arial" w:cs="Arial"/>
                <w:b/>
                <w:sz w:val="16"/>
                <w:szCs w:val="16"/>
                <w:lang w:eastAsia="es-ES"/>
              </w:rPr>
              <w:t>1</w:t>
            </w:r>
            <w:r w:rsidR="00DC0D31">
              <w:rPr>
                <w:rFonts w:ascii="Arial" w:eastAsia="Times New Roman" w:hAnsi="Arial" w:cs="Arial"/>
                <w:b/>
                <w:sz w:val="16"/>
                <w:szCs w:val="16"/>
                <w:lang w:eastAsia="es-ES"/>
              </w:rPr>
              <w:t xml:space="preserve"> de </w:t>
            </w:r>
            <w:proofErr w:type="gramStart"/>
            <w:r w:rsidR="00E22287">
              <w:rPr>
                <w:rFonts w:ascii="Arial" w:eastAsia="Times New Roman" w:hAnsi="Arial" w:cs="Arial"/>
                <w:b/>
                <w:sz w:val="16"/>
                <w:szCs w:val="16"/>
                <w:lang w:eastAsia="es-ES"/>
              </w:rPr>
              <w:t>Diciembre</w:t>
            </w:r>
            <w:proofErr w:type="gramEnd"/>
            <w:r w:rsidR="00E22287">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de</w:t>
            </w:r>
            <w:r w:rsidRPr="000A4A52">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2018</w:t>
            </w:r>
          </w:p>
          <w:p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rsidTr="00DC0D31">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83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3E0F27" w:rsidP="00FC5623">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11</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025</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971</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0A4A5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3E0F27"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5</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887</w:t>
            </w:r>
            <w:r w:rsidR="003D0BBF">
              <w:rPr>
                <w:rFonts w:ascii="Arial" w:eastAsia="Times New Roman" w:hAnsi="Arial" w:cs="Arial"/>
                <w:b/>
                <w:sz w:val="16"/>
                <w:szCs w:val="16"/>
                <w:lang w:eastAsia="es-ES"/>
              </w:rPr>
              <w:t>,4</w:t>
            </w:r>
            <w:r>
              <w:rPr>
                <w:rFonts w:ascii="Arial" w:eastAsia="Times New Roman" w:hAnsi="Arial" w:cs="Arial"/>
                <w:b/>
                <w:sz w:val="16"/>
                <w:szCs w:val="16"/>
                <w:lang w:eastAsia="es-ES"/>
              </w:rPr>
              <w:t>32</w:t>
            </w:r>
          </w:p>
        </w:tc>
      </w:tr>
      <w:tr w:rsidR="000A4A52" w:rsidRPr="000A4A52" w:rsidTr="000A4A52">
        <w:trPr>
          <w:cantSplit/>
          <w:trHeight w:val="20"/>
        </w:trPr>
        <w:tc>
          <w:tcPr>
            <w:tcW w:w="493" w:type="dxa"/>
            <w:tcBorders>
              <w:top w:val="single" w:sz="6" w:space="0" w:color="auto"/>
              <w:left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6382" w:type="dxa"/>
            <w:tcBorders>
              <w:top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0B0AA6" w:rsidP="000B0AA6">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0B0AA6" w:rsidRDefault="003E0F27" w:rsidP="000B0AA6">
            <w:pPr>
              <w:jc w:val="right"/>
            </w:pPr>
            <w:r>
              <w:rPr>
                <w:rFonts w:ascii="Arial" w:eastAsia="Times New Roman" w:hAnsi="Arial" w:cs="Arial"/>
                <w:sz w:val="16"/>
                <w:szCs w:val="16"/>
                <w:lang w:eastAsia="es-ES"/>
              </w:rPr>
              <w:t>5</w:t>
            </w:r>
            <w:r w:rsidR="00FC5623">
              <w:rPr>
                <w:rFonts w:ascii="Arial" w:eastAsia="Times New Roman" w:hAnsi="Arial" w:cs="Arial"/>
                <w:sz w:val="16"/>
                <w:szCs w:val="16"/>
                <w:lang w:eastAsia="es-ES"/>
              </w:rPr>
              <w:t>’</w:t>
            </w:r>
            <w:r>
              <w:rPr>
                <w:rFonts w:ascii="Arial" w:eastAsia="Times New Roman" w:hAnsi="Arial" w:cs="Arial"/>
                <w:sz w:val="16"/>
                <w:szCs w:val="16"/>
                <w:lang w:eastAsia="es-ES"/>
              </w:rPr>
              <w:t>887</w:t>
            </w:r>
            <w:r w:rsidR="00FC5623">
              <w:rPr>
                <w:rFonts w:ascii="Arial" w:eastAsia="Times New Roman" w:hAnsi="Arial" w:cs="Arial"/>
                <w:sz w:val="16"/>
                <w:szCs w:val="16"/>
                <w:lang w:eastAsia="es-ES"/>
              </w:rPr>
              <w:t>,</w:t>
            </w:r>
            <w:r>
              <w:rPr>
                <w:rFonts w:ascii="Arial" w:eastAsia="Times New Roman" w:hAnsi="Arial" w:cs="Arial"/>
                <w:sz w:val="16"/>
                <w:szCs w:val="16"/>
                <w:lang w:eastAsia="es-ES"/>
              </w:rPr>
              <w:t>32</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0A4A5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DC0D31">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83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w:t>
            </w:r>
            <w:r w:rsidR="003E0F27">
              <w:rPr>
                <w:rFonts w:ascii="Arial" w:eastAsia="Times New Roman" w:hAnsi="Arial" w:cs="Arial"/>
                <w:b/>
                <w:sz w:val="16"/>
                <w:szCs w:val="16"/>
                <w:lang w:eastAsia="es-ES"/>
              </w:rPr>
              <w:t>6</w:t>
            </w:r>
            <w:r>
              <w:rPr>
                <w:rFonts w:ascii="Arial" w:eastAsia="Times New Roman" w:hAnsi="Arial" w:cs="Arial"/>
                <w:b/>
                <w:sz w:val="16"/>
                <w:szCs w:val="16"/>
                <w:lang w:eastAsia="es-ES"/>
              </w:rPr>
              <w:t>’</w:t>
            </w:r>
            <w:r w:rsidR="003E0F27">
              <w:rPr>
                <w:rFonts w:ascii="Arial" w:eastAsia="Times New Roman" w:hAnsi="Arial" w:cs="Arial"/>
                <w:b/>
                <w:sz w:val="16"/>
                <w:szCs w:val="16"/>
                <w:lang w:eastAsia="es-ES"/>
              </w:rPr>
              <w:t>913</w:t>
            </w:r>
            <w:r>
              <w:rPr>
                <w:rFonts w:ascii="Arial" w:eastAsia="Times New Roman" w:hAnsi="Arial" w:cs="Arial"/>
                <w:b/>
                <w:sz w:val="16"/>
                <w:szCs w:val="16"/>
                <w:lang w:eastAsia="es-ES"/>
              </w:rPr>
              <w:t>,</w:t>
            </w:r>
            <w:r w:rsidR="003E0F27">
              <w:rPr>
                <w:rFonts w:ascii="Arial" w:eastAsia="Times New Roman" w:hAnsi="Arial" w:cs="Arial"/>
                <w:b/>
                <w:sz w:val="16"/>
                <w:szCs w:val="16"/>
                <w:lang w:eastAsia="es-ES"/>
              </w:rPr>
              <w:t>403</w:t>
            </w:r>
          </w:p>
        </w:tc>
      </w:tr>
    </w:tbl>
    <w:p w:rsidR="00DC0D31" w:rsidRDefault="00DC0D31" w:rsidP="00DC0D31">
      <w:pPr>
        <w:pStyle w:val="Texto"/>
        <w:spacing w:after="0" w:line="240" w:lineRule="exact"/>
        <w:ind w:firstLine="0"/>
        <w:jc w:val="left"/>
        <w:rPr>
          <w:rFonts w:ascii="Soberana Sans Light" w:hAnsi="Soberana Sans Light"/>
          <w:szCs w:val="18"/>
        </w:rPr>
      </w:pPr>
    </w:p>
    <w:tbl>
      <w:tblPr>
        <w:tblW w:w="8415" w:type="dxa"/>
        <w:tblInd w:w="1915" w:type="dxa"/>
        <w:tblCellMar>
          <w:left w:w="72" w:type="dxa"/>
          <w:right w:w="72" w:type="dxa"/>
        </w:tblCellMar>
        <w:tblLook w:val="0000" w:firstRow="0" w:lastRow="0" w:firstColumn="0" w:lastColumn="0" w:noHBand="0" w:noVBand="0"/>
      </w:tblPr>
      <w:tblGrid>
        <w:gridCol w:w="456"/>
        <w:gridCol w:w="6343"/>
        <w:gridCol w:w="1616"/>
      </w:tblGrid>
      <w:tr w:rsidR="00DC0D31" w:rsidRPr="00DC0D31" w:rsidTr="000B0AA6">
        <w:trPr>
          <w:cantSplit/>
          <w:trHeight w:val="20"/>
        </w:trPr>
        <w:tc>
          <w:tcPr>
            <w:tcW w:w="841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E22287">
              <w:rPr>
                <w:rFonts w:ascii="Arial" w:eastAsia="Times New Roman" w:hAnsi="Arial" w:cs="Arial"/>
                <w:b/>
                <w:sz w:val="16"/>
                <w:szCs w:val="16"/>
                <w:lang w:eastAsia="es-ES"/>
              </w:rPr>
              <w:t>1</w:t>
            </w:r>
            <w:r>
              <w:rPr>
                <w:rFonts w:ascii="Arial" w:eastAsia="Times New Roman" w:hAnsi="Arial" w:cs="Arial"/>
                <w:b/>
                <w:sz w:val="16"/>
                <w:szCs w:val="16"/>
                <w:lang w:eastAsia="es-ES"/>
              </w:rPr>
              <w:t xml:space="preserve"> de </w:t>
            </w:r>
            <w:r w:rsidR="00E22287">
              <w:rPr>
                <w:rFonts w:ascii="Arial" w:eastAsia="Times New Roman" w:hAnsi="Arial" w:cs="Arial"/>
                <w:b/>
                <w:sz w:val="16"/>
                <w:szCs w:val="16"/>
                <w:lang w:eastAsia="es-ES"/>
              </w:rPr>
              <w:t>diciembre</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Pr>
                <w:rFonts w:ascii="Arial" w:eastAsia="Times New Roman" w:hAnsi="Arial" w:cs="Arial"/>
                <w:b/>
                <w:sz w:val="16"/>
                <w:szCs w:val="16"/>
                <w:lang w:eastAsia="es-ES"/>
              </w:rPr>
              <w:t>2018</w:t>
            </w:r>
          </w:p>
          <w:p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61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3E0F27" w:rsidP="003D0BBF">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10</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283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4</w:t>
            </w:r>
            <w:r w:rsidR="003D0BBF">
              <w:rPr>
                <w:rFonts w:ascii="Arial" w:eastAsia="Times New Roman" w:hAnsi="Arial" w:cs="Arial"/>
                <w:b/>
                <w:sz w:val="16"/>
                <w:szCs w:val="16"/>
                <w:lang w:eastAsia="es-ES"/>
              </w:rPr>
              <w:t>9</w:t>
            </w:r>
            <w:r w:rsidR="00EF54F7">
              <w:rPr>
                <w:rFonts w:ascii="Arial" w:eastAsia="Times New Roman" w:hAnsi="Arial" w:cs="Arial"/>
                <w:b/>
                <w:sz w:val="16"/>
                <w:szCs w:val="16"/>
                <w:lang w:eastAsia="es-ES"/>
              </w:rPr>
              <w:t>1</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3E0F27"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210</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880</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616" w:type="dxa"/>
            <w:tcBorders>
              <w:top w:val="single" w:sz="6" w:space="0" w:color="auto"/>
              <w:left w:val="single" w:sz="6" w:space="0" w:color="auto"/>
              <w:bottom w:val="single" w:sz="6" w:space="0" w:color="auto"/>
              <w:right w:val="single" w:sz="6" w:space="0" w:color="auto"/>
            </w:tcBorders>
          </w:tcPr>
          <w:p w:rsidR="000B0AA6" w:rsidRDefault="003E0F27" w:rsidP="000B0AA6">
            <w:pPr>
              <w:jc w:val="right"/>
            </w:pPr>
            <w:r>
              <w:rPr>
                <w:rFonts w:ascii="Arial" w:eastAsia="Times New Roman" w:hAnsi="Arial" w:cs="Arial"/>
                <w:sz w:val="16"/>
                <w:szCs w:val="16"/>
                <w:lang w:eastAsia="es-ES"/>
              </w:rPr>
              <w:t>210,880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61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3E0F27"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10</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072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611</w:t>
            </w:r>
          </w:p>
        </w:tc>
      </w:tr>
    </w:tbl>
    <w:p w:rsidR="00DF021E" w:rsidRDefault="00DF021E" w:rsidP="00540418">
      <w:pPr>
        <w:pStyle w:val="Texto"/>
        <w:spacing w:after="0" w:line="240" w:lineRule="exact"/>
        <w:ind w:firstLine="0"/>
        <w:jc w:val="center"/>
        <w:rPr>
          <w:rFonts w:ascii="Soberana Sans Light" w:hAnsi="Soberana Sans Light"/>
          <w:szCs w:val="18"/>
        </w:rPr>
      </w:pPr>
    </w:p>
    <w:p w:rsidR="000C0403" w:rsidRDefault="000C0403"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D00744" w:rsidP="00553048">
      <w:pPr>
        <w:pStyle w:val="INCISO"/>
        <w:spacing w:after="0" w:line="240" w:lineRule="exact"/>
        <w:ind w:left="0" w:firstLine="0"/>
      </w:pPr>
      <w:r>
        <w:t>2018</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D43007" w:rsidRDefault="00D43007" w:rsidP="00D43007">
      <w:pPr>
        <w:pStyle w:val="Texto"/>
        <w:spacing w:after="0" w:line="240" w:lineRule="exact"/>
        <w:ind w:firstLine="0"/>
        <w:rPr>
          <w:b/>
          <w:szCs w:val="18"/>
          <w:lang w:val="es-MX"/>
        </w:rPr>
      </w:pPr>
    </w:p>
    <w:p w:rsidR="003D0BBF" w:rsidRPr="00D43007" w:rsidRDefault="003D0BBF" w:rsidP="00D43007">
      <w:pPr>
        <w:pStyle w:val="Texto"/>
        <w:spacing w:after="0" w:line="240" w:lineRule="exact"/>
        <w:ind w:firstLine="0"/>
        <w:rPr>
          <w:b/>
          <w:szCs w:val="18"/>
          <w:lang w:val="es-MX"/>
        </w:rPr>
      </w:pPr>
    </w:p>
    <w:p w:rsidR="002D30F8" w:rsidRPr="00D43007" w:rsidRDefault="002D30F8" w:rsidP="002D30F8">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2D30F8" w:rsidRPr="00D43007" w:rsidRDefault="002D30F8" w:rsidP="002D30F8">
      <w:pPr>
        <w:pStyle w:val="Texto"/>
        <w:spacing w:after="0" w:line="240" w:lineRule="exact"/>
        <w:ind w:firstLine="0"/>
        <w:rPr>
          <w:b/>
          <w:szCs w:val="18"/>
          <w:lang w:val="es-MX"/>
        </w:rPr>
      </w:pPr>
    </w:p>
    <w:p w:rsidR="0068734D" w:rsidRDefault="0068734D" w:rsidP="0068734D">
      <w:pPr>
        <w:jc w:val="both"/>
        <w:rPr>
          <w:rFonts w:ascii="Arial" w:eastAsia="Calibri" w:hAnsi="Arial" w:cs="Arial"/>
          <w:sz w:val="18"/>
          <w:szCs w:val="18"/>
        </w:rPr>
      </w:pPr>
      <w:r>
        <w:rPr>
          <w:rFonts w:ascii="Arial" w:eastAsia="Calibri" w:hAnsi="Arial" w:cs="Arial"/>
          <w:sz w:val="18"/>
          <w:szCs w:val="18"/>
        </w:rPr>
        <w:t xml:space="preserve">Como una política de la actual administración, se han buscado alternativas de mejora continua en los siguientes rubros:  </w:t>
      </w:r>
    </w:p>
    <w:p w:rsidR="0068734D" w:rsidRDefault="0068734D" w:rsidP="0068734D">
      <w:pPr>
        <w:pStyle w:val="Prrafodelista"/>
        <w:numPr>
          <w:ilvl w:val="1"/>
          <w:numId w:val="9"/>
        </w:numPr>
        <w:spacing w:after="0"/>
        <w:ind w:left="284" w:hanging="283"/>
        <w:jc w:val="both"/>
        <w:rPr>
          <w:rFonts w:ascii="Arial" w:hAnsi="Arial" w:cs="Arial"/>
          <w:sz w:val="18"/>
          <w:szCs w:val="18"/>
        </w:rPr>
      </w:pPr>
      <w:r>
        <w:rPr>
          <w:rFonts w:ascii="Arial" w:hAnsi="Arial" w:cs="Arial"/>
          <w:sz w:val="18"/>
          <w:szCs w:val="18"/>
        </w:rPr>
        <w:t>Los procedimientos internos, con el objetivo de reducir los tiempos de respuesta de las solicitudes de crédito.</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Capacitación permanente del personal.</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Actualización y publicación de la información de la Institución en el Portal de Gobierno en el Módulo de Transparencia.</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Diseño e implementación de la página del FOMTLAX.</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 xml:space="preserve">Rediseño del material promocional de la Institución. </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 xml:space="preserve">Continuidad en los acuerdos de colaboración interinstitucionales (ITJ, ICATLAX, INAPAM, ITPCD, UPT y DAM-Dirección de Apoyo a Migrantes de la Secretaría de Planeación y Finanzas). Es importante resaltar en este último la participación del FOMTLAX como apoyo a la Convocatoria del “Fondo de Atención a Migrantes”, donde se formularon 64 proyectos de inversión para igual número de migrantes. </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Promoción de los productos financieros con base a las peticiones Municipales y de Instituciones educativas de los niveles medio y superior.</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Participación en las sesiones de los Consejos Distritales para el Desarrollo Rural Sustentable.</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Se continúa brindando el servicio de Consulta al Buró de Crédito, así como también el registro del Reporte Crediticio al Sistema de Buró de Crédito de los acreditados y sus avales.</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Regionalización para la atención eficiente de los usuarios (se cuenta con un Formulador de Proyectos por cada región).</w:t>
      </w:r>
    </w:p>
    <w:p w:rsidR="0068734D" w:rsidRDefault="0068734D" w:rsidP="0068734D">
      <w:pPr>
        <w:pStyle w:val="Prrafodelista"/>
        <w:numPr>
          <w:ilvl w:val="0"/>
          <w:numId w:val="9"/>
        </w:numPr>
        <w:ind w:left="284" w:hanging="284"/>
        <w:jc w:val="both"/>
        <w:rPr>
          <w:rFonts w:ascii="Arial" w:hAnsi="Arial" w:cs="Arial"/>
          <w:sz w:val="18"/>
          <w:szCs w:val="18"/>
        </w:rPr>
      </w:pPr>
      <w:r>
        <w:rPr>
          <w:rFonts w:ascii="Arial" w:hAnsi="Arial" w:cs="Arial"/>
          <w:sz w:val="18"/>
          <w:szCs w:val="18"/>
        </w:rPr>
        <w:t>Implementación y Actualización del Sistema Automatizado de Contabilidad Gubernamental (</w:t>
      </w:r>
      <w:proofErr w:type="spellStart"/>
      <w:r>
        <w:rPr>
          <w:rFonts w:ascii="Arial" w:hAnsi="Arial" w:cs="Arial"/>
          <w:sz w:val="18"/>
          <w:szCs w:val="18"/>
        </w:rPr>
        <w:t>SACG_Net</w:t>
      </w:r>
      <w:proofErr w:type="spellEnd"/>
      <w:r>
        <w:rPr>
          <w:rFonts w:ascii="Arial" w:hAnsi="Arial" w:cs="Arial"/>
          <w:sz w:val="18"/>
          <w:szCs w:val="18"/>
        </w:rPr>
        <w:t>).</w:t>
      </w:r>
    </w:p>
    <w:p w:rsidR="0068734D" w:rsidRDefault="0068734D" w:rsidP="0068734D">
      <w:pPr>
        <w:pStyle w:val="Prrafodelista"/>
        <w:numPr>
          <w:ilvl w:val="1"/>
          <w:numId w:val="9"/>
        </w:numPr>
        <w:ind w:left="284" w:hanging="283"/>
        <w:jc w:val="both"/>
        <w:rPr>
          <w:rFonts w:ascii="Arial" w:hAnsi="Arial" w:cs="Arial"/>
          <w:sz w:val="18"/>
          <w:szCs w:val="18"/>
        </w:rPr>
      </w:pPr>
      <w:r>
        <w:rPr>
          <w:rFonts w:ascii="Arial" w:hAnsi="Arial" w:cs="Arial"/>
          <w:sz w:val="18"/>
          <w:szCs w:val="18"/>
        </w:rPr>
        <w:t>En apoyo a los acreditados se continúa con el Pago Referenciado del crédito a través de una Institución Bancaria.</w:t>
      </w:r>
    </w:p>
    <w:p w:rsidR="0068734D" w:rsidRDefault="0068734D" w:rsidP="0068734D">
      <w:pPr>
        <w:pStyle w:val="Prrafodelista"/>
        <w:numPr>
          <w:ilvl w:val="1"/>
          <w:numId w:val="9"/>
        </w:numPr>
        <w:spacing w:after="0"/>
        <w:ind w:left="284" w:hanging="283"/>
        <w:jc w:val="both"/>
        <w:rPr>
          <w:rFonts w:ascii="Arial" w:hAnsi="Arial" w:cs="Arial"/>
          <w:sz w:val="18"/>
          <w:szCs w:val="18"/>
        </w:rPr>
      </w:pPr>
      <w:r>
        <w:rPr>
          <w:rFonts w:ascii="Arial" w:hAnsi="Arial" w:cs="Arial"/>
          <w:sz w:val="18"/>
          <w:szCs w:val="18"/>
        </w:rPr>
        <w:t>Adquisición de mobiliario y equipo.</w:t>
      </w:r>
    </w:p>
    <w:p w:rsidR="0068734D" w:rsidRDefault="0068734D" w:rsidP="0068734D">
      <w:pPr>
        <w:pStyle w:val="Prrafodelista"/>
        <w:numPr>
          <w:ilvl w:val="1"/>
          <w:numId w:val="9"/>
        </w:numPr>
        <w:ind w:left="284" w:hanging="284"/>
        <w:jc w:val="both"/>
        <w:rPr>
          <w:rFonts w:ascii="Arial" w:hAnsi="Arial" w:cs="Arial"/>
          <w:sz w:val="18"/>
          <w:szCs w:val="18"/>
        </w:rPr>
      </w:pPr>
      <w:r>
        <w:rPr>
          <w:rFonts w:ascii="Arial" w:hAnsi="Arial" w:cs="Arial"/>
          <w:sz w:val="18"/>
          <w:szCs w:val="18"/>
        </w:rPr>
        <w:t xml:space="preserve">Reingeniería al Proceso de crédito desde el ingreso de la solicitud hasta el otorgamiento y recuperación del mismo, a través de la implementación de sistemas, adquisición de tecnología, </w:t>
      </w:r>
      <w:proofErr w:type="gramStart"/>
      <w:r>
        <w:rPr>
          <w:rFonts w:ascii="Arial" w:hAnsi="Arial" w:cs="Arial"/>
          <w:sz w:val="18"/>
          <w:szCs w:val="18"/>
        </w:rPr>
        <w:t>reubicación  de</w:t>
      </w:r>
      <w:proofErr w:type="gramEnd"/>
      <w:r>
        <w:rPr>
          <w:rFonts w:ascii="Arial" w:hAnsi="Arial" w:cs="Arial"/>
          <w:sz w:val="18"/>
          <w:szCs w:val="18"/>
        </w:rPr>
        <w:t xml:space="preserve"> áreas, así como reducción de tiempos y costos.</w:t>
      </w:r>
    </w:p>
    <w:p w:rsidR="0068734D" w:rsidRDefault="0068734D" w:rsidP="0068734D">
      <w:pPr>
        <w:pStyle w:val="Prrafodelista"/>
        <w:numPr>
          <w:ilvl w:val="1"/>
          <w:numId w:val="9"/>
        </w:numPr>
        <w:ind w:left="284" w:hanging="284"/>
        <w:jc w:val="both"/>
        <w:rPr>
          <w:rFonts w:ascii="Arial" w:hAnsi="Arial" w:cs="Arial"/>
          <w:sz w:val="18"/>
          <w:szCs w:val="18"/>
        </w:rPr>
      </w:pPr>
      <w:r>
        <w:rPr>
          <w:rFonts w:ascii="Arial" w:hAnsi="Arial" w:cs="Arial"/>
          <w:sz w:val="18"/>
          <w:szCs w:val="18"/>
        </w:rPr>
        <w:t>Reestructuración del Departamento de Crédito y Cobranza, definiendo nuevas estrategias para el tratamiento y recuperación de la cartera.</w:t>
      </w:r>
    </w:p>
    <w:p w:rsidR="0068734D" w:rsidRDefault="0068734D" w:rsidP="0068734D">
      <w:pPr>
        <w:pStyle w:val="Prrafodelista"/>
        <w:numPr>
          <w:ilvl w:val="1"/>
          <w:numId w:val="9"/>
        </w:numPr>
        <w:ind w:left="284" w:hanging="284"/>
        <w:jc w:val="both"/>
        <w:rPr>
          <w:rFonts w:ascii="Arial" w:hAnsi="Arial" w:cs="Arial"/>
          <w:sz w:val="18"/>
          <w:szCs w:val="18"/>
        </w:rPr>
      </w:pPr>
      <w:r>
        <w:rPr>
          <w:rFonts w:ascii="Arial" w:hAnsi="Arial" w:cs="Arial"/>
          <w:sz w:val="18"/>
          <w:szCs w:val="18"/>
        </w:rPr>
        <w:t>Elaboración y publicación de los siguientes documentos normativos:</w:t>
      </w:r>
    </w:p>
    <w:p w:rsidR="0068734D" w:rsidRDefault="0068734D" w:rsidP="0068734D">
      <w:pPr>
        <w:pStyle w:val="Prrafodelista"/>
        <w:ind w:left="284"/>
        <w:jc w:val="both"/>
        <w:rPr>
          <w:rFonts w:ascii="Arial" w:hAnsi="Arial" w:cs="Arial"/>
          <w:sz w:val="18"/>
          <w:szCs w:val="18"/>
        </w:rPr>
      </w:pPr>
    </w:p>
    <w:p w:rsidR="0068734D" w:rsidRDefault="0068734D" w:rsidP="0068734D">
      <w:pPr>
        <w:pStyle w:val="Prrafodelista"/>
        <w:numPr>
          <w:ilvl w:val="1"/>
          <w:numId w:val="9"/>
        </w:numPr>
        <w:jc w:val="both"/>
        <w:rPr>
          <w:rFonts w:ascii="Arial" w:hAnsi="Arial" w:cs="Arial"/>
          <w:sz w:val="18"/>
          <w:szCs w:val="18"/>
        </w:rPr>
      </w:pPr>
      <w:r>
        <w:rPr>
          <w:rFonts w:ascii="Arial" w:hAnsi="Arial" w:cs="Arial"/>
          <w:sz w:val="18"/>
          <w:szCs w:val="18"/>
        </w:rPr>
        <w:t>Reglamento Interior (P.O.11/05/2016).</w:t>
      </w:r>
    </w:p>
    <w:p w:rsidR="0068734D" w:rsidRDefault="0068734D" w:rsidP="0068734D">
      <w:pPr>
        <w:pStyle w:val="Prrafodelista"/>
        <w:numPr>
          <w:ilvl w:val="1"/>
          <w:numId w:val="9"/>
        </w:numPr>
        <w:jc w:val="both"/>
        <w:rPr>
          <w:rFonts w:ascii="Arial" w:hAnsi="Arial" w:cs="Arial"/>
          <w:sz w:val="18"/>
          <w:szCs w:val="18"/>
        </w:rPr>
      </w:pPr>
      <w:r>
        <w:rPr>
          <w:rFonts w:ascii="Arial" w:hAnsi="Arial" w:cs="Arial"/>
          <w:sz w:val="18"/>
          <w:szCs w:val="18"/>
        </w:rPr>
        <w:t>Manual de Organización (P.O. 19/10/2016).</w:t>
      </w:r>
    </w:p>
    <w:p w:rsidR="0068734D" w:rsidRDefault="0068734D" w:rsidP="0068734D">
      <w:pPr>
        <w:pStyle w:val="Prrafodelista"/>
        <w:numPr>
          <w:ilvl w:val="1"/>
          <w:numId w:val="9"/>
        </w:numPr>
        <w:jc w:val="both"/>
        <w:rPr>
          <w:rFonts w:ascii="Arial" w:hAnsi="Arial" w:cs="Arial"/>
          <w:sz w:val="18"/>
          <w:szCs w:val="18"/>
        </w:rPr>
      </w:pPr>
      <w:r>
        <w:rPr>
          <w:rFonts w:ascii="Arial" w:hAnsi="Arial" w:cs="Arial"/>
          <w:sz w:val="18"/>
          <w:szCs w:val="18"/>
        </w:rPr>
        <w:t xml:space="preserve">Manual de Procedimientos. Se encuentra en la Contraloría del Ejecutivo para revisión y armonización. </w:t>
      </w:r>
    </w:p>
    <w:p w:rsidR="0068734D" w:rsidRDefault="0068734D" w:rsidP="0068734D">
      <w:pPr>
        <w:pStyle w:val="Prrafodelista"/>
        <w:numPr>
          <w:ilvl w:val="1"/>
          <w:numId w:val="9"/>
        </w:numPr>
        <w:jc w:val="both"/>
        <w:rPr>
          <w:rFonts w:ascii="Arial" w:hAnsi="Arial" w:cs="Arial"/>
          <w:sz w:val="18"/>
          <w:szCs w:val="18"/>
        </w:rPr>
      </w:pPr>
      <w:r>
        <w:rPr>
          <w:rFonts w:ascii="Arial" w:hAnsi="Arial" w:cs="Arial"/>
          <w:sz w:val="18"/>
          <w:szCs w:val="18"/>
        </w:rPr>
        <w:t>Reglas de Operación (P.O.14/05/2014).</w:t>
      </w:r>
    </w:p>
    <w:p w:rsidR="0068734D" w:rsidRDefault="0068734D" w:rsidP="0068734D">
      <w:pPr>
        <w:pStyle w:val="Prrafodelista"/>
        <w:numPr>
          <w:ilvl w:val="1"/>
          <w:numId w:val="9"/>
        </w:numPr>
        <w:jc w:val="both"/>
        <w:rPr>
          <w:rFonts w:ascii="Arial" w:hAnsi="Arial" w:cs="Arial"/>
          <w:sz w:val="18"/>
          <w:szCs w:val="18"/>
        </w:rPr>
      </w:pPr>
      <w:r>
        <w:rPr>
          <w:rFonts w:ascii="Arial" w:hAnsi="Arial" w:cs="Arial"/>
          <w:sz w:val="18"/>
          <w:szCs w:val="18"/>
        </w:rPr>
        <w:t>Actualización de las Reglas de Operación. (P.O. 24/10/2018).</w:t>
      </w:r>
    </w:p>
    <w:p w:rsidR="0068734D" w:rsidRDefault="0068734D" w:rsidP="0068734D">
      <w:pPr>
        <w:pStyle w:val="Prrafodelista"/>
        <w:numPr>
          <w:ilvl w:val="1"/>
          <w:numId w:val="9"/>
        </w:numPr>
        <w:jc w:val="both"/>
        <w:rPr>
          <w:rFonts w:ascii="Arial" w:hAnsi="Arial" w:cs="Arial"/>
          <w:sz w:val="18"/>
          <w:szCs w:val="18"/>
        </w:rPr>
      </w:pPr>
      <w:r>
        <w:rPr>
          <w:rFonts w:ascii="Arial" w:hAnsi="Arial" w:cs="Arial"/>
          <w:sz w:val="18"/>
          <w:szCs w:val="18"/>
        </w:rPr>
        <w:t>Código de Ética y Conducta. Se encuentra en la Contraloría del Ejecutivo para su Vo. Bo. Con un avance del 100%, oficio FOMTLAX/DG/875/2016, del 12 de julio de 2016.</w:t>
      </w:r>
    </w:p>
    <w:p w:rsidR="0068734D" w:rsidRDefault="0068734D" w:rsidP="0068734D">
      <w:pPr>
        <w:pStyle w:val="Prrafodelista"/>
        <w:numPr>
          <w:ilvl w:val="1"/>
          <w:numId w:val="9"/>
        </w:numPr>
        <w:jc w:val="both"/>
        <w:rPr>
          <w:rFonts w:ascii="Arial" w:hAnsi="Arial" w:cs="Arial"/>
          <w:sz w:val="18"/>
          <w:szCs w:val="18"/>
        </w:rPr>
      </w:pPr>
      <w:r>
        <w:rPr>
          <w:rFonts w:ascii="Arial" w:hAnsi="Arial" w:cs="Arial"/>
          <w:sz w:val="18"/>
          <w:szCs w:val="18"/>
        </w:rPr>
        <w:t>Manual de Crédito Interno. Aprobado en la Segunda Sesión del Consejo de Administración del FOMTLAX del día 4 de octubre de 2017.</w:t>
      </w:r>
    </w:p>
    <w:p w:rsidR="0068734D" w:rsidRDefault="0068734D" w:rsidP="0068734D">
      <w:pPr>
        <w:pStyle w:val="Prrafodelista"/>
        <w:ind w:left="1440"/>
        <w:jc w:val="both"/>
        <w:rPr>
          <w:rFonts w:ascii="Arial" w:hAnsi="Arial" w:cs="Arial"/>
          <w:sz w:val="18"/>
          <w:szCs w:val="18"/>
        </w:rPr>
      </w:pPr>
    </w:p>
    <w:p w:rsidR="0068734D" w:rsidRDefault="0068734D" w:rsidP="0068734D">
      <w:pPr>
        <w:pStyle w:val="Prrafodelista"/>
        <w:numPr>
          <w:ilvl w:val="1"/>
          <w:numId w:val="9"/>
        </w:numPr>
        <w:ind w:left="284" w:hanging="284"/>
        <w:jc w:val="both"/>
        <w:rPr>
          <w:rFonts w:ascii="Arial" w:hAnsi="Arial" w:cs="Arial"/>
          <w:sz w:val="18"/>
          <w:szCs w:val="18"/>
        </w:rPr>
      </w:pPr>
      <w:r>
        <w:rPr>
          <w:rFonts w:ascii="Arial" w:hAnsi="Arial" w:cs="Arial"/>
          <w:sz w:val="18"/>
          <w:szCs w:val="18"/>
        </w:rPr>
        <w:t>Durante el presente año se conformaron los Comités de Control Interno y al interior de éste: de Administración de Riesgos, Auditoría Interna, Ética e Integridad, Tecnologías de la Información, Igualdad de Género, Transparencia y Archivos.</w:t>
      </w:r>
    </w:p>
    <w:p w:rsidR="00540418" w:rsidRPr="004B0790" w:rsidRDefault="00540418" w:rsidP="00540418">
      <w:pPr>
        <w:pStyle w:val="Texto"/>
        <w:spacing w:after="0" w:line="240" w:lineRule="exact"/>
        <w:rPr>
          <w:b/>
          <w:szCs w:val="18"/>
          <w:lang w:val="es-MX"/>
        </w:rPr>
      </w:pPr>
      <w:r w:rsidRPr="004B0790">
        <w:rPr>
          <w:b/>
          <w:szCs w:val="18"/>
          <w:lang w:val="es-MX"/>
        </w:rPr>
        <w:lastRenderedPageBreak/>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B33E21" w:rsidP="00540418">
      <w:pPr>
        <w:pStyle w:val="Texto"/>
        <w:spacing w:after="0" w:line="240" w:lineRule="exact"/>
        <w:rPr>
          <w:sz w:val="22"/>
          <w:szCs w:val="22"/>
        </w:rPr>
      </w:pPr>
      <w:r>
        <w:rPr>
          <w:noProof/>
        </w:rPr>
        <w:object w:dxaOrig="1440" w:dyaOrig="1440">
          <v:shape id="_x0000_s1038" type="#_x0000_t75" style="position:absolute;left:0;text-align:left;margin-left:41.4pt;margin-top:22.35pt;width:654.75pt;height:109.1pt;z-index:251662336">
            <v:imagedata r:id="rId22" o:title=""/>
            <w10:wrap type="topAndBottom"/>
          </v:shape>
          <o:OLEObject Type="Embed" ProgID="Excel.Sheet.12" ShapeID="_x0000_s1038" DrawAspect="Content" ObjectID="_1607761472" r:id="rId23"/>
        </w:obje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E21" w:rsidRDefault="00B33E21" w:rsidP="00EA5418">
      <w:pPr>
        <w:spacing w:after="0" w:line="240" w:lineRule="auto"/>
      </w:pPr>
      <w:r>
        <w:separator/>
      </w:r>
    </w:p>
  </w:endnote>
  <w:endnote w:type="continuationSeparator" w:id="0">
    <w:p w:rsidR="00B33E21" w:rsidRDefault="00B33E2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2E" w:rsidRPr="0013011C" w:rsidRDefault="00B33E2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31772E"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31772E" w:rsidRPr="0013011C">
          <w:rPr>
            <w:rFonts w:ascii="Soberana Sans Light" w:hAnsi="Soberana Sans Light"/>
          </w:rPr>
          <w:fldChar w:fldCharType="begin"/>
        </w:r>
        <w:r w:rsidR="0031772E" w:rsidRPr="0013011C">
          <w:rPr>
            <w:rFonts w:ascii="Soberana Sans Light" w:hAnsi="Soberana Sans Light"/>
          </w:rPr>
          <w:instrText>PAGE   \* MERGEFORMAT</w:instrText>
        </w:r>
        <w:r w:rsidR="0031772E" w:rsidRPr="0013011C">
          <w:rPr>
            <w:rFonts w:ascii="Soberana Sans Light" w:hAnsi="Soberana Sans Light"/>
          </w:rPr>
          <w:fldChar w:fldCharType="separate"/>
        </w:r>
        <w:r w:rsidR="0031772E" w:rsidRPr="00CB6A87">
          <w:rPr>
            <w:rFonts w:ascii="Soberana Sans Light" w:hAnsi="Soberana Sans Light"/>
            <w:noProof/>
            <w:lang w:val="es-ES"/>
          </w:rPr>
          <w:t>18</w:t>
        </w:r>
        <w:r w:rsidR="0031772E" w:rsidRPr="0013011C">
          <w:rPr>
            <w:rFonts w:ascii="Soberana Sans Light" w:hAnsi="Soberana Sans Light"/>
          </w:rPr>
          <w:fldChar w:fldCharType="end"/>
        </w:r>
      </w:sdtContent>
    </w:sdt>
  </w:p>
  <w:p w:rsidR="0031772E" w:rsidRDefault="003177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2E" w:rsidRPr="008E3652" w:rsidRDefault="00B33E2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31772E" w:rsidRPr="008E3652">
          <w:rPr>
            <w:rFonts w:ascii="Soberana Sans Light" w:hAnsi="Soberana Sans Light"/>
          </w:rPr>
          <w:t xml:space="preserve">Contable / </w:t>
        </w:r>
        <w:r w:rsidR="0031772E" w:rsidRPr="008E3652">
          <w:rPr>
            <w:rFonts w:ascii="Soberana Sans Light" w:hAnsi="Soberana Sans Light"/>
          </w:rPr>
          <w:fldChar w:fldCharType="begin"/>
        </w:r>
        <w:r w:rsidR="0031772E" w:rsidRPr="008E3652">
          <w:rPr>
            <w:rFonts w:ascii="Soberana Sans Light" w:hAnsi="Soberana Sans Light"/>
          </w:rPr>
          <w:instrText>PAGE   \* MERGEFORMAT</w:instrText>
        </w:r>
        <w:r w:rsidR="0031772E" w:rsidRPr="008E3652">
          <w:rPr>
            <w:rFonts w:ascii="Soberana Sans Light" w:hAnsi="Soberana Sans Light"/>
          </w:rPr>
          <w:fldChar w:fldCharType="separate"/>
        </w:r>
        <w:r w:rsidR="0031772E" w:rsidRPr="009313B8">
          <w:rPr>
            <w:rFonts w:ascii="Soberana Sans Light" w:hAnsi="Soberana Sans Light"/>
            <w:noProof/>
            <w:lang w:val="es-ES"/>
          </w:rPr>
          <w:t>7</w:t>
        </w:r>
        <w:r w:rsidR="0031772E"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E21" w:rsidRDefault="00B33E21" w:rsidP="00EA5418">
      <w:pPr>
        <w:spacing w:after="0" w:line="240" w:lineRule="auto"/>
      </w:pPr>
      <w:r>
        <w:separator/>
      </w:r>
    </w:p>
  </w:footnote>
  <w:footnote w:type="continuationSeparator" w:id="0">
    <w:p w:rsidR="00B33E21" w:rsidRDefault="00B33E2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2E" w:rsidRDefault="00B33E21">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1772E" w:rsidRDefault="0031772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1772E" w:rsidRDefault="0031772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1772E" w:rsidRPr="00275FC6" w:rsidRDefault="0031772E"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1772E" w:rsidRDefault="0031772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31772E" w:rsidRDefault="0031772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1772E" w:rsidRPr="00275FC6" w:rsidRDefault="0031772E"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2E" w:rsidRPr="0013011C" w:rsidRDefault="00B33E2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31772E">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546A"/>
    <w:rsid w:val="0008154A"/>
    <w:rsid w:val="000873D2"/>
    <w:rsid w:val="0009123A"/>
    <w:rsid w:val="000956FD"/>
    <w:rsid w:val="000A4A52"/>
    <w:rsid w:val="000B0AA6"/>
    <w:rsid w:val="000B35F9"/>
    <w:rsid w:val="000B5631"/>
    <w:rsid w:val="000B7CB9"/>
    <w:rsid w:val="000C0403"/>
    <w:rsid w:val="000C239C"/>
    <w:rsid w:val="000C6AC5"/>
    <w:rsid w:val="000D09ED"/>
    <w:rsid w:val="000D322A"/>
    <w:rsid w:val="000D567B"/>
    <w:rsid w:val="000D57F9"/>
    <w:rsid w:val="000E15D1"/>
    <w:rsid w:val="000F13F4"/>
    <w:rsid w:val="000F4FC0"/>
    <w:rsid w:val="00114BD5"/>
    <w:rsid w:val="00116B28"/>
    <w:rsid w:val="0012223F"/>
    <w:rsid w:val="00124A16"/>
    <w:rsid w:val="00124DC5"/>
    <w:rsid w:val="00125C05"/>
    <w:rsid w:val="00127692"/>
    <w:rsid w:val="0013011C"/>
    <w:rsid w:val="00130D7C"/>
    <w:rsid w:val="00132226"/>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A6008"/>
    <w:rsid w:val="001A619C"/>
    <w:rsid w:val="001B0DCF"/>
    <w:rsid w:val="001B1B72"/>
    <w:rsid w:val="001C6FD8"/>
    <w:rsid w:val="001E3640"/>
    <w:rsid w:val="001E7072"/>
    <w:rsid w:val="001F0CD6"/>
    <w:rsid w:val="001F394D"/>
    <w:rsid w:val="001F420B"/>
    <w:rsid w:val="00201D43"/>
    <w:rsid w:val="00204C86"/>
    <w:rsid w:val="0020617E"/>
    <w:rsid w:val="002446B2"/>
    <w:rsid w:val="00244EBE"/>
    <w:rsid w:val="00257377"/>
    <w:rsid w:val="002605A1"/>
    <w:rsid w:val="00264426"/>
    <w:rsid w:val="002653B0"/>
    <w:rsid w:val="00271EF9"/>
    <w:rsid w:val="00273C6B"/>
    <w:rsid w:val="00277C1A"/>
    <w:rsid w:val="002817E1"/>
    <w:rsid w:val="002913A1"/>
    <w:rsid w:val="00293D52"/>
    <w:rsid w:val="00295983"/>
    <w:rsid w:val="002A70B3"/>
    <w:rsid w:val="002C1F15"/>
    <w:rsid w:val="002C5384"/>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BBF"/>
    <w:rsid w:val="003D0D5F"/>
    <w:rsid w:val="003D1885"/>
    <w:rsid w:val="003D1957"/>
    <w:rsid w:val="003D5DBF"/>
    <w:rsid w:val="003E0F27"/>
    <w:rsid w:val="003E144C"/>
    <w:rsid w:val="003E7FD0"/>
    <w:rsid w:val="003F0D08"/>
    <w:rsid w:val="003F0EA4"/>
    <w:rsid w:val="003F688E"/>
    <w:rsid w:val="00406ACA"/>
    <w:rsid w:val="00413023"/>
    <w:rsid w:val="00424CD6"/>
    <w:rsid w:val="004311BE"/>
    <w:rsid w:val="00437938"/>
    <w:rsid w:val="00437E4A"/>
    <w:rsid w:val="0044253C"/>
    <w:rsid w:val="00451A0E"/>
    <w:rsid w:val="00455080"/>
    <w:rsid w:val="004704FE"/>
    <w:rsid w:val="004714CF"/>
    <w:rsid w:val="00477724"/>
    <w:rsid w:val="00484C0D"/>
    <w:rsid w:val="00486559"/>
    <w:rsid w:val="00487081"/>
    <w:rsid w:val="00487227"/>
    <w:rsid w:val="00490B7F"/>
    <w:rsid w:val="004936A0"/>
    <w:rsid w:val="004969EC"/>
    <w:rsid w:val="004973F3"/>
    <w:rsid w:val="00497D8B"/>
    <w:rsid w:val="004B0790"/>
    <w:rsid w:val="004C12AE"/>
    <w:rsid w:val="004D07AA"/>
    <w:rsid w:val="004D3092"/>
    <w:rsid w:val="004D41B8"/>
    <w:rsid w:val="004E6F60"/>
    <w:rsid w:val="004F0005"/>
    <w:rsid w:val="004F5641"/>
    <w:rsid w:val="004F70E3"/>
    <w:rsid w:val="00501F28"/>
    <w:rsid w:val="005079BD"/>
    <w:rsid w:val="00516264"/>
    <w:rsid w:val="00522632"/>
    <w:rsid w:val="00522EF3"/>
    <w:rsid w:val="00526A24"/>
    <w:rsid w:val="0052788C"/>
    <w:rsid w:val="00540418"/>
    <w:rsid w:val="0054087A"/>
    <w:rsid w:val="00540BA1"/>
    <w:rsid w:val="005463AE"/>
    <w:rsid w:val="0055138B"/>
    <w:rsid w:val="00553048"/>
    <w:rsid w:val="00565F48"/>
    <w:rsid w:val="0056698C"/>
    <w:rsid w:val="00566C60"/>
    <w:rsid w:val="00571AB0"/>
    <w:rsid w:val="00574266"/>
    <w:rsid w:val="00583218"/>
    <w:rsid w:val="00584EE8"/>
    <w:rsid w:val="00596E9B"/>
    <w:rsid w:val="005B233D"/>
    <w:rsid w:val="005B7011"/>
    <w:rsid w:val="005B7571"/>
    <w:rsid w:val="005C0988"/>
    <w:rsid w:val="005C29B1"/>
    <w:rsid w:val="005C7D4D"/>
    <w:rsid w:val="005D3D25"/>
    <w:rsid w:val="005D565C"/>
    <w:rsid w:val="005E43D7"/>
    <w:rsid w:val="005E4876"/>
    <w:rsid w:val="005E4BF8"/>
    <w:rsid w:val="005F2206"/>
    <w:rsid w:val="006004C9"/>
    <w:rsid w:val="00602B30"/>
    <w:rsid w:val="006041CA"/>
    <w:rsid w:val="006170E9"/>
    <w:rsid w:val="00617D57"/>
    <w:rsid w:val="00621E3C"/>
    <w:rsid w:val="006418DA"/>
    <w:rsid w:val="006463A4"/>
    <w:rsid w:val="00661764"/>
    <w:rsid w:val="006749FD"/>
    <w:rsid w:val="0068734D"/>
    <w:rsid w:val="00690716"/>
    <w:rsid w:val="00693555"/>
    <w:rsid w:val="00696225"/>
    <w:rsid w:val="006A011D"/>
    <w:rsid w:val="006A1564"/>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70E59"/>
    <w:rsid w:val="00782DB7"/>
    <w:rsid w:val="007837E8"/>
    <w:rsid w:val="0079056F"/>
    <w:rsid w:val="00794B5D"/>
    <w:rsid w:val="0079582C"/>
    <w:rsid w:val="0079685B"/>
    <w:rsid w:val="0079730F"/>
    <w:rsid w:val="007A2654"/>
    <w:rsid w:val="007A7E4B"/>
    <w:rsid w:val="007B4361"/>
    <w:rsid w:val="007B7051"/>
    <w:rsid w:val="007C1465"/>
    <w:rsid w:val="007C2BB0"/>
    <w:rsid w:val="007C3CF7"/>
    <w:rsid w:val="007D519F"/>
    <w:rsid w:val="007D6E9A"/>
    <w:rsid w:val="007D7CF7"/>
    <w:rsid w:val="007E4076"/>
    <w:rsid w:val="007F4B08"/>
    <w:rsid w:val="00800CD2"/>
    <w:rsid w:val="00800E19"/>
    <w:rsid w:val="008040E7"/>
    <w:rsid w:val="00807F58"/>
    <w:rsid w:val="00811DAC"/>
    <w:rsid w:val="00815304"/>
    <w:rsid w:val="0081650B"/>
    <w:rsid w:val="00817E13"/>
    <w:rsid w:val="0082063A"/>
    <w:rsid w:val="008232EF"/>
    <w:rsid w:val="0083161B"/>
    <w:rsid w:val="00832D56"/>
    <w:rsid w:val="008340CF"/>
    <w:rsid w:val="008377D6"/>
    <w:rsid w:val="00840DB9"/>
    <w:rsid w:val="00857E8E"/>
    <w:rsid w:val="00860CDE"/>
    <w:rsid w:val="00862BD1"/>
    <w:rsid w:val="00877D6B"/>
    <w:rsid w:val="00880C97"/>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F49FE"/>
    <w:rsid w:val="008F6D58"/>
    <w:rsid w:val="00900DF0"/>
    <w:rsid w:val="009025DA"/>
    <w:rsid w:val="00903E0B"/>
    <w:rsid w:val="00906DFF"/>
    <w:rsid w:val="0092115D"/>
    <w:rsid w:val="00925DD4"/>
    <w:rsid w:val="00927DFC"/>
    <w:rsid w:val="00930641"/>
    <w:rsid w:val="009313B8"/>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A7FB7"/>
    <w:rsid w:val="009B1F90"/>
    <w:rsid w:val="009B5D09"/>
    <w:rsid w:val="009B7E52"/>
    <w:rsid w:val="009C08D8"/>
    <w:rsid w:val="009C3E7C"/>
    <w:rsid w:val="009D5D4C"/>
    <w:rsid w:val="009D6C20"/>
    <w:rsid w:val="009E65F7"/>
    <w:rsid w:val="009E7955"/>
    <w:rsid w:val="009F23C4"/>
    <w:rsid w:val="009F4CCD"/>
    <w:rsid w:val="00A04D96"/>
    <w:rsid w:val="00A058F4"/>
    <w:rsid w:val="00A110CD"/>
    <w:rsid w:val="00A167B9"/>
    <w:rsid w:val="00A171E0"/>
    <w:rsid w:val="00A25F6E"/>
    <w:rsid w:val="00A26C10"/>
    <w:rsid w:val="00A27A14"/>
    <w:rsid w:val="00A30AA9"/>
    <w:rsid w:val="00A363B6"/>
    <w:rsid w:val="00A36470"/>
    <w:rsid w:val="00A40954"/>
    <w:rsid w:val="00A442A4"/>
    <w:rsid w:val="00A46BF5"/>
    <w:rsid w:val="00A54037"/>
    <w:rsid w:val="00A60D9D"/>
    <w:rsid w:val="00A612CD"/>
    <w:rsid w:val="00A63136"/>
    <w:rsid w:val="00A71574"/>
    <w:rsid w:val="00A83005"/>
    <w:rsid w:val="00A947A3"/>
    <w:rsid w:val="00AA050A"/>
    <w:rsid w:val="00AA1BE7"/>
    <w:rsid w:val="00AB2211"/>
    <w:rsid w:val="00AB408E"/>
    <w:rsid w:val="00AC127E"/>
    <w:rsid w:val="00AC6A88"/>
    <w:rsid w:val="00AD23B2"/>
    <w:rsid w:val="00AD3A53"/>
    <w:rsid w:val="00AE47A6"/>
    <w:rsid w:val="00AF0C16"/>
    <w:rsid w:val="00AF1D6B"/>
    <w:rsid w:val="00AF35B4"/>
    <w:rsid w:val="00AF44E0"/>
    <w:rsid w:val="00B032A3"/>
    <w:rsid w:val="00B0590E"/>
    <w:rsid w:val="00B075BD"/>
    <w:rsid w:val="00B10DA3"/>
    <w:rsid w:val="00B12DD5"/>
    <w:rsid w:val="00B13A03"/>
    <w:rsid w:val="00B146E2"/>
    <w:rsid w:val="00B1547B"/>
    <w:rsid w:val="00B242D0"/>
    <w:rsid w:val="00B25926"/>
    <w:rsid w:val="00B317DB"/>
    <w:rsid w:val="00B33E21"/>
    <w:rsid w:val="00B47971"/>
    <w:rsid w:val="00B5183F"/>
    <w:rsid w:val="00B607AF"/>
    <w:rsid w:val="00B61549"/>
    <w:rsid w:val="00B649DC"/>
    <w:rsid w:val="00B70747"/>
    <w:rsid w:val="00B75546"/>
    <w:rsid w:val="00B77DD6"/>
    <w:rsid w:val="00B849EE"/>
    <w:rsid w:val="00B84D02"/>
    <w:rsid w:val="00B87111"/>
    <w:rsid w:val="00B8760F"/>
    <w:rsid w:val="00B93D3F"/>
    <w:rsid w:val="00B967EA"/>
    <w:rsid w:val="00BA2940"/>
    <w:rsid w:val="00BA4B53"/>
    <w:rsid w:val="00BB2281"/>
    <w:rsid w:val="00BB6BE1"/>
    <w:rsid w:val="00BC21A9"/>
    <w:rsid w:val="00BC5AD9"/>
    <w:rsid w:val="00BD0BBD"/>
    <w:rsid w:val="00BD12BB"/>
    <w:rsid w:val="00BD19E0"/>
    <w:rsid w:val="00BD624F"/>
    <w:rsid w:val="00BE06AA"/>
    <w:rsid w:val="00BE3E5F"/>
    <w:rsid w:val="00BE4BEF"/>
    <w:rsid w:val="00BF4162"/>
    <w:rsid w:val="00BF538F"/>
    <w:rsid w:val="00C16E53"/>
    <w:rsid w:val="00C313E0"/>
    <w:rsid w:val="00C31911"/>
    <w:rsid w:val="00C431B4"/>
    <w:rsid w:val="00C54234"/>
    <w:rsid w:val="00C543DB"/>
    <w:rsid w:val="00C601B2"/>
    <w:rsid w:val="00C6183C"/>
    <w:rsid w:val="00C70BD2"/>
    <w:rsid w:val="00C710EF"/>
    <w:rsid w:val="00C74631"/>
    <w:rsid w:val="00C825B4"/>
    <w:rsid w:val="00C841CA"/>
    <w:rsid w:val="00C8595E"/>
    <w:rsid w:val="00C86888"/>
    <w:rsid w:val="00C86C59"/>
    <w:rsid w:val="00C91C5A"/>
    <w:rsid w:val="00C92678"/>
    <w:rsid w:val="00CB12EA"/>
    <w:rsid w:val="00CB180D"/>
    <w:rsid w:val="00CB49C7"/>
    <w:rsid w:val="00CB62C7"/>
    <w:rsid w:val="00CB6378"/>
    <w:rsid w:val="00CB6830"/>
    <w:rsid w:val="00CB6A87"/>
    <w:rsid w:val="00CB6EAD"/>
    <w:rsid w:val="00CC20B1"/>
    <w:rsid w:val="00CC5E0F"/>
    <w:rsid w:val="00CC711B"/>
    <w:rsid w:val="00CD2DFC"/>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2495"/>
    <w:rsid w:val="00D24617"/>
    <w:rsid w:val="00D32BA5"/>
    <w:rsid w:val="00D3376C"/>
    <w:rsid w:val="00D43007"/>
    <w:rsid w:val="00D44728"/>
    <w:rsid w:val="00D562FF"/>
    <w:rsid w:val="00D5727B"/>
    <w:rsid w:val="00D63AAB"/>
    <w:rsid w:val="00D670A7"/>
    <w:rsid w:val="00D7009B"/>
    <w:rsid w:val="00D80B8A"/>
    <w:rsid w:val="00D9095B"/>
    <w:rsid w:val="00D919E8"/>
    <w:rsid w:val="00D92B63"/>
    <w:rsid w:val="00DA2766"/>
    <w:rsid w:val="00DA382A"/>
    <w:rsid w:val="00DA4E30"/>
    <w:rsid w:val="00DA53D9"/>
    <w:rsid w:val="00DA7BB8"/>
    <w:rsid w:val="00DB07EB"/>
    <w:rsid w:val="00DC0D31"/>
    <w:rsid w:val="00DD4F8D"/>
    <w:rsid w:val="00DF021E"/>
    <w:rsid w:val="00DF56C9"/>
    <w:rsid w:val="00DF66F6"/>
    <w:rsid w:val="00E11559"/>
    <w:rsid w:val="00E1646C"/>
    <w:rsid w:val="00E17F8E"/>
    <w:rsid w:val="00E22287"/>
    <w:rsid w:val="00E2677B"/>
    <w:rsid w:val="00E30318"/>
    <w:rsid w:val="00E3182C"/>
    <w:rsid w:val="00E32708"/>
    <w:rsid w:val="00E3323B"/>
    <w:rsid w:val="00E34EAE"/>
    <w:rsid w:val="00E36C78"/>
    <w:rsid w:val="00E4109C"/>
    <w:rsid w:val="00E43AC4"/>
    <w:rsid w:val="00E52ECF"/>
    <w:rsid w:val="00E571D2"/>
    <w:rsid w:val="00E635CC"/>
    <w:rsid w:val="00E635D6"/>
    <w:rsid w:val="00E6770C"/>
    <w:rsid w:val="00E71824"/>
    <w:rsid w:val="00E73596"/>
    <w:rsid w:val="00E75FD7"/>
    <w:rsid w:val="00E911AC"/>
    <w:rsid w:val="00E93FE1"/>
    <w:rsid w:val="00EA0A70"/>
    <w:rsid w:val="00EA2415"/>
    <w:rsid w:val="00EA5418"/>
    <w:rsid w:val="00EB2C13"/>
    <w:rsid w:val="00ED064D"/>
    <w:rsid w:val="00EE3098"/>
    <w:rsid w:val="00EE46FB"/>
    <w:rsid w:val="00EF1068"/>
    <w:rsid w:val="00EF3F2C"/>
    <w:rsid w:val="00EF54F7"/>
    <w:rsid w:val="00F061F7"/>
    <w:rsid w:val="00F13EF8"/>
    <w:rsid w:val="00F157B7"/>
    <w:rsid w:val="00F17C0D"/>
    <w:rsid w:val="00F21157"/>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77FFB08-83C7-40B8-B87C-374EB87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BF1C-B847-42DE-9DDC-6F68764C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5096</TotalTime>
  <Pages>19</Pages>
  <Words>2694</Words>
  <Characters>14822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193</cp:revision>
  <cp:lastPrinted>2018-12-29T00:01:00Z</cp:lastPrinted>
  <dcterms:created xsi:type="dcterms:W3CDTF">2014-08-29T13:13:00Z</dcterms:created>
  <dcterms:modified xsi:type="dcterms:W3CDTF">2018-12-31T17:38:00Z</dcterms:modified>
</cp:coreProperties>
</file>