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C64C59" w:rsidP="00332091">
      <w:pPr>
        <w:pStyle w:val="Texto"/>
        <w:spacing w:after="0" w:line="276" w:lineRule="auto"/>
        <w:jc w:val="center"/>
        <w:rPr>
          <w:b/>
          <w:szCs w:val="18"/>
        </w:rPr>
      </w:pPr>
      <w:r>
        <w:rPr>
          <w:b/>
          <w:szCs w:val="18"/>
        </w:rPr>
        <w:t>N</w:t>
      </w:r>
      <w:r w:rsidR="00332091" w:rsidRPr="0073056A">
        <w:rPr>
          <w:b/>
          <w:szCs w:val="18"/>
        </w:rPr>
        <w:t>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bookmarkStart w:id="0" w:name="_GoBack"/>
      <w:bookmarkEnd w:id="0"/>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4,083,437,481</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l Cuarto Ajuste Trimestral 2018;</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31,801,758</w:t>
      </w:r>
      <w:r w:rsidRPr="0073056A">
        <w:rPr>
          <w:rFonts w:ascii="Arial" w:hAnsi="Arial" w:cs="Arial"/>
          <w:sz w:val="18"/>
          <w:szCs w:val="18"/>
        </w:rPr>
        <w:t xml:space="preserve"> que se tiene al cierre del </w:t>
      </w:r>
      <w:r>
        <w:rPr>
          <w:rFonts w:ascii="Arial" w:hAnsi="Arial" w:cs="Arial"/>
          <w:sz w:val="18"/>
          <w:szCs w:val="18"/>
        </w:rPr>
        <w:t xml:space="preserve">ejercicio 2018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556D2F">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2018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2018 el Poder Ejecutivo cuenta con Inversiones Financieras a Largo Plazo por un importe de $ 235,186,168,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Al cierre del ejercicio 2018</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1,399,033,444</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la cuenta de bienes inmuebles es</w:t>
      </w:r>
      <w:r w:rsidRPr="0073056A">
        <w:rPr>
          <w:rFonts w:ascii="Arial" w:hAnsi="Arial" w:cs="Arial"/>
          <w:sz w:val="18"/>
          <w:szCs w:val="18"/>
        </w:rPr>
        <w:t xml:space="preserve"> de $</w:t>
      </w:r>
      <w:r>
        <w:rPr>
          <w:rFonts w:ascii="Arial" w:hAnsi="Arial" w:cs="Arial"/>
          <w:sz w:val="18"/>
          <w:szCs w:val="18"/>
        </w:rPr>
        <w:t xml:space="preserve"> 7,683,929,200, y</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w:t>
      </w:r>
      <w:r>
        <w:rPr>
          <w:rFonts w:ascii="Arial" w:hAnsi="Arial" w:cs="Arial"/>
          <w:sz w:val="18"/>
          <w:szCs w:val="18"/>
        </w:rPr>
        <w:t xml:space="preserve">do por </w:t>
      </w:r>
      <w:r w:rsidRPr="0073056A">
        <w:rPr>
          <w:rFonts w:ascii="Arial" w:hAnsi="Arial" w:cs="Arial"/>
          <w:sz w:val="18"/>
          <w:szCs w:val="18"/>
        </w:rPr>
        <w:t>terrenos,</w:t>
      </w:r>
      <w:r>
        <w:rPr>
          <w:rFonts w:ascii="Arial" w:hAnsi="Arial" w:cs="Arial"/>
          <w:sz w:val="18"/>
          <w:szCs w:val="18"/>
        </w:rPr>
        <w:t xml:space="preserve"> viviendas y</w:t>
      </w:r>
      <w:r w:rsidRPr="0073056A">
        <w:rPr>
          <w:rFonts w:ascii="Arial" w:hAnsi="Arial" w:cs="Arial"/>
          <w:sz w:val="18"/>
          <w:szCs w:val="18"/>
        </w:rPr>
        <w:t xml:space="preserve"> edificios no habitacionales</w:t>
      </w:r>
      <w:r>
        <w:rPr>
          <w:rFonts w:ascii="Arial" w:hAnsi="Arial" w:cs="Arial"/>
          <w:sz w:val="18"/>
          <w:szCs w:val="18"/>
        </w:rPr>
        <w:t xml:space="preserve">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83,106,062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Al mes de diciembre del ejercicio 2018,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El saldo de $ 4,078,054,594</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Al mes de diciembre</w:t>
      </w:r>
      <w:r>
        <w:rPr>
          <w:rFonts w:ascii="Arial" w:hAnsi="Arial" w:cs="Arial"/>
          <w:sz w:val="18"/>
          <w:szCs w:val="18"/>
        </w:rPr>
        <w:t xml:space="preserve"> del ejercicio 2018</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23,180,542,055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21,468,486,683;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1,712,055,372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de origen estatal. Al mes de diciembre de 2018</w:t>
      </w:r>
      <w:r w:rsidRPr="0073056A">
        <w:rPr>
          <w:rFonts w:ascii="Arial" w:hAnsi="Arial" w:cs="Arial"/>
          <w:sz w:val="18"/>
          <w:szCs w:val="18"/>
        </w:rPr>
        <w:t xml:space="preserve"> se recaudó la cantidad de $</w:t>
      </w:r>
      <w:r>
        <w:rPr>
          <w:rFonts w:ascii="Arial" w:hAnsi="Arial" w:cs="Arial"/>
          <w:sz w:val="18"/>
          <w:szCs w:val="18"/>
        </w:rPr>
        <w:t xml:space="preserve"> 536,385,630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509,007,935; sobre la Producción, el Consumo y las transacciones por un importe de $ 20,128,701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2,914,089.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al mes de diciembre es por</w:t>
      </w:r>
      <w:r w:rsidRPr="0073056A">
        <w:rPr>
          <w:rFonts w:ascii="Arial" w:hAnsi="Arial" w:cs="Arial"/>
          <w:sz w:val="18"/>
          <w:szCs w:val="18"/>
        </w:rPr>
        <w:t xml:space="preserve"> un monto de $</w:t>
      </w:r>
      <w:r>
        <w:rPr>
          <w:rFonts w:ascii="Arial" w:hAnsi="Arial" w:cs="Arial"/>
          <w:sz w:val="18"/>
          <w:szCs w:val="18"/>
        </w:rPr>
        <w:t xml:space="preserve"> 428,992,840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diciembre es</w:t>
      </w:r>
      <w:r w:rsidRPr="0073056A">
        <w:rPr>
          <w:rFonts w:ascii="Arial" w:hAnsi="Arial" w:cs="Arial"/>
          <w:sz w:val="18"/>
          <w:szCs w:val="18"/>
        </w:rPr>
        <w:t xml:space="preserve"> de $</w:t>
      </w:r>
      <w:r w:rsidRPr="00502DDD">
        <w:rPr>
          <w:rFonts w:ascii="Arial" w:hAnsi="Arial" w:cs="Arial"/>
          <w:sz w:val="18"/>
          <w:szCs w:val="18"/>
        </w:rPr>
        <w:t xml:space="preserve"> </w:t>
      </w:r>
      <w:r>
        <w:rPr>
          <w:rFonts w:ascii="Arial" w:hAnsi="Arial" w:cs="Arial"/>
          <w:sz w:val="18"/>
          <w:szCs w:val="18"/>
        </w:rPr>
        <w:t>307</w:t>
      </w:r>
      <w:r w:rsidRPr="00502DDD">
        <w:rPr>
          <w:rFonts w:ascii="Arial" w:hAnsi="Arial" w:cs="Arial"/>
          <w:sz w:val="18"/>
          <w:szCs w:val="18"/>
        </w:rPr>
        <w:t>,</w:t>
      </w:r>
      <w:r>
        <w:rPr>
          <w:rFonts w:ascii="Arial" w:hAnsi="Arial" w:cs="Arial"/>
          <w:sz w:val="18"/>
          <w:szCs w:val="18"/>
        </w:rPr>
        <w:t>351</w:t>
      </w:r>
      <w:r w:rsidRPr="00502DDD">
        <w:rPr>
          <w:rFonts w:ascii="Arial" w:hAnsi="Arial" w:cs="Arial"/>
          <w:sz w:val="18"/>
          <w:szCs w:val="18"/>
        </w:rPr>
        <w:t>,</w:t>
      </w:r>
      <w:r>
        <w:rPr>
          <w:rFonts w:ascii="Arial" w:hAnsi="Arial" w:cs="Arial"/>
          <w:sz w:val="18"/>
          <w:szCs w:val="18"/>
        </w:rPr>
        <w:t>596,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diciembre del </w:t>
      </w:r>
      <w:r w:rsidRPr="0073056A">
        <w:rPr>
          <w:rFonts w:ascii="Arial" w:hAnsi="Arial" w:cs="Arial"/>
          <w:sz w:val="18"/>
          <w:szCs w:val="18"/>
        </w:rPr>
        <w:t>eje</w:t>
      </w:r>
      <w:r>
        <w:rPr>
          <w:rFonts w:ascii="Arial" w:hAnsi="Arial" w:cs="Arial"/>
          <w:sz w:val="18"/>
          <w:szCs w:val="18"/>
        </w:rPr>
        <w:t>rcicio 2018</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16,299,683,</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Pr>
          <w:rFonts w:ascii="Arial" w:hAnsi="Arial" w:cs="Arial"/>
          <w:sz w:val="18"/>
          <w:szCs w:val="18"/>
        </w:rPr>
        <w:t>140,836,830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21,750,675,476 al mes de diciembre del </w:t>
      </w:r>
      <w:r w:rsidRPr="0073056A">
        <w:rPr>
          <w:rFonts w:ascii="Arial" w:hAnsi="Arial" w:cs="Arial"/>
          <w:sz w:val="18"/>
          <w:szCs w:val="18"/>
        </w:rPr>
        <w:t>e</w:t>
      </w:r>
      <w:r>
        <w:rPr>
          <w:rFonts w:ascii="Arial" w:hAnsi="Arial" w:cs="Arial"/>
          <w:sz w:val="18"/>
          <w:szCs w:val="18"/>
        </w:rPr>
        <w:t>jercicio 2018, sin incluir los rendimientos generados</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$ 8,236,696,722, siendo el rubro más importante el Fondo General de Participaciones ya que representa el 73 %.</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 XXXIII, los cuales al mes de diciembre de 2018 reflejan los siguientes saldos:</w:t>
      </w:r>
    </w:p>
    <w:p w:rsidR="00134F21" w:rsidRDefault="00134F21" w:rsidP="00134F21">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134F21" w:rsidRPr="00251F0D" w:rsidTr="00846171">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5,349,957,285</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56.3</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1,666,263,766</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83,116,132</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0.9</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602,578,395</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779,901,083</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8.2</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298,858,705</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42,775,668</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40,242,262</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119,938,986</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517,435,279</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w:t>
            </w:r>
          </w:p>
        </w:tc>
      </w:tr>
      <w:tr w:rsidR="00134F21" w:rsidRPr="00B41E9F" w:rsidTr="00846171">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B41E9F" w:rsidRDefault="00134F21" w:rsidP="00846171">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134F21" w:rsidRPr="00B41E9F" w:rsidRDefault="00134F21" w:rsidP="0084617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9,501,067,561</w:t>
            </w:r>
          </w:p>
        </w:tc>
        <w:tc>
          <w:tcPr>
            <w:tcW w:w="1672" w:type="dxa"/>
            <w:tcBorders>
              <w:top w:val="nil"/>
              <w:left w:val="nil"/>
              <w:bottom w:val="single" w:sz="4" w:space="0" w:color="auto"/>
              <w:right w:val="single" w:sz="4" w:space="0" w:color="auto"/>
            </w:tcBorders>
            <w:shd w:val="clear" w:color="auto" w:fill="auto"/>
            <w:noWrap/>
            <w:vAlign w:val="bottom"/>
            <w:hideMark/>
          </w:tcPr>
          <w:p w:rsidR="00134F21" w:rsidRPr="00B41E9F" w:rsidRDefault="00134F21" w:rsidP="00846171">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acciones al mes de diciembre del ejercicio 2018</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4,012,911,193</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4F21" w:rsidP="00332091">
      <w:pPr>
        <w:tabs>
          <w:tab w:val="left" w:pos="284"/>
        </w:tabs>
        <w:spacing w:after="0"/>
        <w:ind w:left="284"/>
        <w:jc w:val="both"/>
        <w:rPr>
          <w:rFonts w:ascii="Arial" w:hAnsi="Arial" w:cs="Arial"/>
          <w:sz w:val="18"/>
          <w:szCs w:val="18"/>
        </w:rPr>
      </w:pPr>
      <w:r>
        <w:rPr>
          <w:rFonts w:ascii="Arial" w:hAnsi="Arial" w:cs="Arial"/>
          <w:sz w:val="18"/>
          <w:szCs w:val="18"/>
        </w:rPr>
        <w:t>Durante el cuarto trimestre del ejercicio 2018</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diciembre por este concepto un monto de $ 2,137,798,795.</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65525F" w:rsidRDefault="0065525F" w:rsidP="00076E1D">
      <w:pPr>
        <w:tabs>
          <w:tab w:val="left" w:pos="284"/>
        </w:tabs>
        <w:ind w:left="284"/>
        <w:jc w:val="both"/>
        <w:rPr>
          <w:rFonts w:ascii="Arial" w:hAnsi="Arial" w:cs="Arial"/>
          <w:sz w:val="18"/>
          <w:szCs w:val="18"/>
        </w:rPr>
      </w:pPr>
    </w:p>
    <w:p w:rsidR="0065525F" w:rsidRPr="0073056A" w:rsidRDefault="0065525F"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$ 220,090,591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diciembre de 2018 es de $ 322,848,999</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33624E">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33624E">
        <w:rPr>
          <w:rFonts w:ascii="Arial" w:hAnsi="Arial" w:cs="Arial"/>
          <w:sz w:val="18"/>
          <w:szCs w:val="18"/>
        </w:rPr>
        <w:t>que,</w:t>
      </w:r>
      <w:r>
        <w:rPr>
          <w:rFonts w:ascii="Arial" w:hAnsi="Arial" w:cs="Arial"/>
          <w:sz w:val="18"/>
          <w:szCs w:val="18"/>
        </w:rPr>
        <w:t xml:space="preserve"> al mes de diciembre de 2018, observan un monto de $ 14,662,595,931 de los cuales los principales sectores que reciben estas asignaciones son el sector educativo al cual le corresponde el 66% y el sector salud con un 30% y el restante 4% a otros organismos del sector </w:t>
      </w:r>
      <w:r w:rsidR="0033624E">
        <w:rPr>
          <w:rFonts w:ascii="Arial" w:hAnsi="Arial" w:cs="Arial"/>
          <w:sz w:val="18"/>
          <w:szCs w:val="18"/>
        </w:rPr>
        <w:t>público.</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resultado contable al mes de diciembre de 2018 es de $ 1,712,055,372;</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Pr>
          <w:rFonts w:ascii="Arial" w:hAnsi="Arial" w:cs="Arial"/>
          <w:sz w:val="18"/>
          <w:szCs w:val="18"/>
        </w:rPr>
        <w:t xml:space="preserve">cuarto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de diciembre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ejercicio 2018 </w:t>
      </w:r>
      <w:r w:rsidRPr="0073056A">
        <w:rPr>
          <w:rFonts w:ascii="Arial" w:hAnsi="Arial" w:cs="Arial"/>
          <w:sz w:val="18"/>
          <w:szCs w:val="18"/>
        </w:rPr>
        <w:t>es por la cantidad de $</w:t>
      </w:r>
      <w:r>
        <w:rPr>
          <w:rFonts w:ascii="Arial" w:hAnsi="Arial" w:cs="Arial"/>
          <w:sz w:val="18"/>
          <w:szCs w:val="18"/>
        </w:rPr>
        <w:t xml:space="preserve"> 7</w:t>
      </w:r>
      <w:r>
        <w:rPr>
          <w:rFonts w:ascii="Arial" w:eastAsia="Times New Roman" w:hAnsi="Arial" w:cs="Arial"/>
          <w:bCs/>
          <w:sz w:val="18"/>
          <w:szCs w:val="18"/>
          <w:lang w:eastAsia="es-MX"/>
        </w:rPr>
        <w:t>,848,599,336</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33624E">
        <w:rPr>
          <w:lang w:val="es-MX"/>
        </w:rPr>
        <w:t>1,405,070,585</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$ 1,712,055,372.</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al mes de diciembre un importe de </w:t>
      </w:r>
      <w:r w:rsidRPr="004466A7">
        <w:rPr>
          <w:lang w:val="es-MX"/>
        </w:rPr>
        <w:t>$</w:t>
      </w:r>
      <w:r>
        <w:rPr>
          <w:lang w:val="es-MX"/>
        </w:rPr>
        <w:t xml:space="preserve"> -1,621,707,143</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31 de diciembre de 2018 de $ 1,314,</w:t>
      </w:r>
      <w:r>
        <w:rPr>
          <w:lang w:val="es-MX"/>
        </w:rPr>
        <w:t>722</w:t>
      </w:r>
      <w:r w:rsidRPr="00DA18AC">
        <w:rPr>
          <w:lang w:val="es-MX"/>
        </w:rPr>
        <w:t>,</w:t>
      </w:r>
      <w:r>
        <w:rPr>
          <w:lang w:val="es-MX"/>
        </w:rPr>
        <w:t>356</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09604B"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62.25pt" o:ole="">
            <v:imagedata r:id="rId8" o:title=""/>
          </v:shape>
          <o:OLEObject Type="Embed" ProgID="Excel.Sheet.12" ShapeID="_x0000_i1025" DrawAspect="Content" ObjectID="_1610360263"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843844"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743.95pt;height:352.8pt;z-index:251663360">
            <v:imagedata r:id="rId10" o:title=""/>
            <w10:wrap type="topAndBottom"/>
          </v:shape>
          <o:OLEObject Type="Embed" ProgID="Excel.Sheet.12" ShapeID="_x0000_s1046" DrawAspect="Content" ObjectID="_1610360264"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843844" w:rsidP="006942ED">
      <w:pPr>
        <w:ind w:firstLine="708"/>
        <w:rPr>
          <w:lang w:eastAsia="es-ES"/>
        </w:rPr>
      </w:pPr>
      <w:r>
        <w:rPr>
          <w:b/>
          <w:smallCaps/>
          <w:noProof/>
          <w:szCs w:val="18"/>
          <w:lang w:eastAsia="es-MX"/>
        </w:rPr>
        <w:object w:dxaOrig="1440" w:dyaOrig="1440">
          <v:shape id="_x0000_s1047" type="#_x0000_t75" style="position:absolute;left:0;text-align:left;margin-left:15.5pt;margin-top:32.65pt;width:729.9pt;height:395.35pt;z-index:251664384">
            <v:imagedata r:id="rId12" o:title=""/>
            <w10:wrap type="topAndBottom"/>
          </v:shape>
          <o:OLEObject Type="Embed" ProgID="Excel.Sheet.12" ShapeID="_x0000_s1047" DrawAspect="Content" ObjectID="_1610360265" r:id="rId13"/>
        </w:object>
      </w:r>
    </w:p>
    <w:p w:rsidR="006942ED" w:rsidRPr="006942ED" w:rsidRDefault="006942ED" w:rsidP="006942ED">
      <w:pPr>
        <w:rPr>
          <w:lang w:eastAsia="es-ES"/>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32384C">
        <w:rPr>
          <w:rFonts w:ascii="Arial" w:hAnsi="Arial" w:cs="Arial"/>
          <w:sz w:val="18"/>
          <w:szCs w:val="18"/>
        </w:rPr>
        <w:t>dic</w:t>
      </w:r>
      <w:r w:rsidR="006D5AC5">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lastRenderedPageBreak/>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2384C" w:rsidRPr="00C81A32" w:rsidRDefault="0032384C" w:rsidP="0032384C">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32384C" w:rsidRPr="00C81A32" w:rsidRDefault="0032384C" w:rsidP="0032384C">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32384C" w:rsidRPr="00C81A32" w:rsidRDefault="0032384C" w:rsidP="0032384C">
      <w:pPr>
        <w:tabs>
          <w:tab w:val="left" w:pos="284"/>
        </w:tabs>
        <w:ind w:left="284"/>
        <w:jc w:val="both"/>
        <w:rPr>
          <w:rFonts w:ascii="Arial" w:hAnsi="Arial" w:cs="Arial"/>
          <w:sz w:val="18"/>
          <w:szCs w:val="18"/>
        </w:rPr>
      </w:pPr>
      <w:r w:rsidRPr="00C81A32">
        <w:rPr>
          <w:rFonts w:ascii="Arial" w:hAnsi="Arial" w:cs="Arial"/>
          <w:sz w:val="18"/>
          <w:szCs w:val="18"/>
        </w:rPr>
        <w:t xml:space="preserve">En un escenario en que las finanzas públicas se pueden ver afectadas por la </w:t>
      </w:r>
      <w:r>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La economía mexicana se desaceleró en el segundo trimestre de 2018 y se percibe atonía en ella. El PIB de México experimentó una caída trimestral (desestacionalizada) de 0.2% durante el segundo trimestre de 2018. Cabe destacar que este ha sido el más débil en los últimos diez años. Asimismo, el Indicador IMEF del Entorno Empresarial </w:t>
      </w:r>
      <w:r w:rsidRPr="00C930D3">
        <w:rPr>
          <w:rFonts w:ascii="Arial" w:hAnsi="Arial" w:cs="Arial"/>
          <w:sz w:val="18"/>
          <w:szCs w:val="18"/>
        </w:rPr>
        <w:lastRenderedPageBreak/>
        <w:t xml:space="preserve">Mexicano también ha observado una desaceleración durante los meses de julio y agosto, reflejando una cierta “atonía” en el crecimiento económico, sobre todo en el sector no manufacturero, en donde el indicador de agosto ya se encuentra en terreno de contracción por segundo mes consecutivo. En este sentido, los miembros de los comités tanto de Estudios Económicos como del Indicador IMEF, han resaltado la incertidumbre en torno a la renegociación del TLCAN, así como la usual incertidumbre relacionada con el tema electoral y la transición al nuevo gobierno, como los dos factores principales que han dificultado brindar un ambiente propicio para la inversión y así, haber podido alcanzar mayores tasas de crecimiento en los últimos meses.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Contrasta gran optimismo de los consumidores y voto de confianza de inversionistas. Después de no haberse observado niveles por arriba de 100 desde la crisis económico-financiera de 2008-2009, el índice de confianza del consumidor que publica INEGI observó niveles de 105.0 y 103.9 en julio y agosto, respectivamente. En la opinión del Comité Nacional de Estudios económicos (CNEE), esto se debió al optimismo que generó la victoria de Andrés Manuel López Obrador en los comicios del pasado 1° de julio de 2018. Asimismo, la fuerte y acelerada apreciación del peso frente al dólar de Estados Unidos de Norteamérica observada desde una semana antes de las elecciones y exacerbada después de que el Instituto Nacional Electoral (INE) dio a conocer los resultados de la elección, dan cuenta del voto de confianza que han brindado los inversionistas extranjeros (y algunos locales) al próximo gobierno. Esta situación es singular, máxime que ha ocurrido en un momento de graves tensiones globales, tanto de carácter proteccionista como por la agudización de problemas macroeconómicos en algunas economías emergentes.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La historia muestra que típicamente en México se crece poco durante el primer año de gobierno. Dejando atrás las crisis sexenales de los ochentas y noventas, en los últimos tres sexenios el PIB ha caído o ha observado una tasa de crecimiento significativamente más baja que los últimos años del sexenio inmediato anterior. En el primer año del sexenio de Vicente Fox (2001) el PIB cayó 0.4% después de haber crecido a una tasa promedio de 4.3% en los últimos tres años del sexenio de Ernesto Zedillo. Cabe señalar que la crisis de las “dot.com” o empresas de Internet en Estados Unidos de Norteamérica tuvo una incidencia negativa importante en esta caída del PIB en México en el año 2001. Sin embargo, no fue el único factor por el cuál se desaceleró tanto la economía mexicana. Por su parte, el PIB creció 2.3% durante el primer año de Felipe Calderón (2007). Si bien esa tasa no es tan baja, sobre todo a la luz del crecimiento que ha promediado nuestro país en los últimos treinta años, sí representó una desaceleración importante con respecto a los últimos tres años del sexenio de Fox, en los que la tasa de crecimiento del PIB promedió 3.6% de crecimiento. Asimismo, el primer año del actual presidente Enrique Peña Nieto (2013), el PIB solo creció 1.4%, que significó una desaceleración significativa después de haber crecido a un promedio de 4.1% en la segunda mitad del sexenio de Calderón. Menor inversión ha propiciado bajo crecimiento en primer año de los sexenios, la desaceleración “estacional” durante el primer año de cada sexenio tiene que ver con dos aspectos: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1) Por un lado, la inversión privada se desacelera significativamente durante ese período. Esto ocurre por dos factores:</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a) Una gran cantidad de empresarios posponen las inversiones en nuevos proyectos cuando se acercan los comicios presidenciales (debido a la incertidumbre electoral per se) y no los reactivan sino hasta que ven cuáles van a ser “las reglas del juego” con el gobierno entrante y;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b) A pesar de que muchos de estos empresarios continúan invirtiendo en los proyectos que habían iniciado tiempo atrás de las elecciones, estos normalmente se terminan un poco antes del primer año del nuevo gobierno.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Por lo dos factores anteriores, normalmente se presenta una disminución importante en la inversión directa del sector privado durante el primer año de un nuevo gobierno.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2) Por otro lado, el gasto y la inversión públicos se desaceleran considerablemente durante el primer año de un nuevo gobierno. Esto se debe a que en muchas ocasiones cambian las personas que ejecutan el gasto y la inversión pública tanto a nivel federal, como estatal y municipal.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lastRenderedPageBreak/>
        <w:t xml:space="preserve">En este sentido, la curva de aprendizaje requerida es bastante “empinada”. Dicho de otro modo, no es sencillo aprender a gastar bajo las normativas de cada dependencia gubernamental y a todos los niveles. De hecho, la complejidad de éstas se ha ido incrementando con el objetivo de mitigar los niveles de corrupción. La lentitud en la aplicación del gasto y la inversión pública durante el primer año de gobierno también tiene una incidencia negativa en el crecimiento del PIB en ese período.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este sentido, en la mediana del pronóstico de crecimiento del PIB para el 2019 de la encuesta de expectativas que levanta el CNEE (2.0%) todavía no se refleja del todo este fenómeno. Desde que Andrés Manuel López Obrador recibió el acta que lo acredita como presidente electo, a finales de agosto, el equipo que dirige (encabezado por los secretarios propuestos de las diferentes dependencias) ha trabajado arduamente con las correspondientes dependencias de gobierno actuales para lograr una transición “suave”. En este sentido, una cantidad importante de promesas de campaña han podido ser vistas desde una arista que permite estimar de manera más realista la posibilidad de instrumentación. Así, varias propuestas han sido redefinidas, como es el caso de la remoción de militares de los lugares donde hay focos álgidos de violencia relacionada con el narcotráfico y la eliminación de algunos aspectos sobre la reforma energética. Asimismo, se han dado algunos cambios en las personas que dirigirán algunas dependencias y poco a poco se va teniendo más información sobre el tipo de gobierno que tendremos en los próximos seis años. Cabe destacar que durante el mes de octubre fue importante dar seguimiento al proceso de consulta ciudadana que el nuevo gobierno llevo a cabo para la continuación o modificación de las obras del Nuevo Aeropuerto de la Ciudad de México (NAIM). Este resultado indudablemente es una señal muy importante para los principales inversionistas en cuanto al respeto del Estado de Derecho en torno a las asociaciones público-privadas que se desean construir durante la nueva administración.</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lastRenderedPageBreak/>
        <w:drawing>
          <wp:inline distT="0" distB="0" distL="0" distR="0" wp14:anchorId="677EFA54" wp14:editId="0D56582A">
            <wp:extent cx="2560320" cy="355536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5365"/>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602 mil 414 personas y representa 1.1% del total nacional. La población ocupada representó 97% de la PEA de la entidad, es decir, 579 mil 610 personas. De esta población, 60 % son hombres y 40 % son mujeres. Un dato a destacar es el aumento de la participación laboral femenina en el estado. En 2000, la proporción de mujeres trabajadoras tlaxcaltecas dentro de la población ocupada total era de 34%. Actualmente, alcanza 40%, 2 punto porcentual mayor al promedio nacional.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Al mes de noviembre de 2018 la tasa de ocupación reflejó una participación del 1.1 % al total nacional, representando un incremento de 5,211 puestos de trabajo respecto a diciembre de 2017. Al mes de noviembre de 2018, se tienen registrados 102,385 trabajadores asegurados en el IMSS, tal y como se muestra en el siguiente cuadro:</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drawing>
          <wp:inline distT="0" distB="0" distL="0" distR="0" wp14:anchorId="4480E919" wp14:editId="207B3382">
            <wp:extent cx="8134350" cy="3943324"/>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0184" t="28854" r="21162" b="18755"/>
                    <a:stretch>
                      <a:fillRect/>
                    </a:stretch>
                  </pic:blipFill>
                  <pic:spPr bwMode="auto">
                    <a:xfrm>
                      <a:off x="0" y="0"/>
                      <a:ext cx="8164305" cy="3957845"/>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noProof/>
          <w:sz w:val="18"/>
          <w:szCs w:val="18"/>
          <w:lang w:eastAsia="es-MX"/>
        </w:rPr>
        <w:lastRenderedPageBreak/>
        <w:drawing>
          <wp:inline distT="0" distB="0" distL="0" distR="0" wp14:anchorId="3173CA62" wp14:editId="4227E85E">
            <wp:extent cx="7753985" cy="58299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1132" t="11266" r="22028" b="12659"/>
                    <a:stretch>
                      <a:fillRect/>
                    </a:stretch>
                  </pic:blipFill>
                  <pic:spPr bwMode="auto">
                    <a:xfrm>
                      <a:off x="0" y="0"/>
                      <a:ext cx="7753985" cy="5829935"/>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lastRenderedPageBreak/>
        <w:t>De acuerdo al Directorio Estadístico Nacional de Unidades Económicas, Tlaxcala cuenta con 73,151 Unidades Económicas, lo que representa el 2 % del total nacional. Al tercer trimestre de 2018 la Población Económicamente Activa (PEA) ascendió a 602,414 personas, representando el 62 % de la población en edad de trabajar. Del Total de la PEA, el 97 % está ocupada y el 3 % se encuentra desocupada.</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drawing>
          <wp:inline distT="0" distB="0" distL="0" distR="0" wp14:anchorId="100A4507" wp14:editId="7506E014">
            <wp:extent cx="6166485" cy="468884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3994" t="18219" r="23941" b="11572"/>
                    <a:stretch>
                      <a:fillRect/>
                    </a:stretch>
                  </pic:blipFill>
                  <pic:spPr bwMode="auto">
                    <a:xfrm>
                      <a:off x="0" y="0"/>
                      <a:ext cx="6166485" cy="4688840"/>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w:t>
      </w:r>
      <w:r w:rsidRPr="00C930D3">
        <w:rPr>
          <w:rFonts w:ascii="Arial" w:hAnsi="Arial" w:cs="Arial"/>
          <w:sz w:val="18"/>
          <w:szCs w:val="18"/>
        </w:rPr>
        <w:lastRenderedPageBreak/>
        <w:t>hemos buscado insertar los productos tlaxcaltecas en los mercados nacional e internacional, dado que en el marco de una economía globalizada presenta mayores complejidades, por lo que es indispensable identificar las oportunidades y aprovecharlas con eficacia.</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Al segundo trimestre de 2018, la Inversión Extranjera Directa Acumulada del año 1999 al mes de marzo de 2018 en el Estado de Tlaxcala fue de 2,783 millones de dólares lo que representó un aporte del 1 % al total nacional, instalándose empresas de diversas nacionalidades.</w:t>
      </w:r>
    </w:p>
    <w:p w:rsidR="0032384C" w:rsidRPr="00B67E86" w:rsidRDefault="0032384C" w:rsidP="0032384C">
      <w:pPr>
        <w:tabs>
          <w:tab w:val="left" w:pos="284"/>
        </w:tabs>
        <w:ind w:left="284"/>
        <w:jc w:val="center"/>
        <w:rPr>
          <w:rFonts w:ascii="Arial" w:hAnsi="Arial" w:cs="Arial"/>
          <w:b/>
          <w:sz w:val="18"/>
          <w:szCs w:val="18"/>
        </w:rPr>
      </w:pPr>
      <w:r w:rsidRPr="00B67E86">
        <w:rPr>
          <w:rFonts w:ascii="Arial" w:hAnsi="Arial" w:cs="Arial"/>
          <w:b/>
          <w:sz w:val="18"/>
          <w:szCs w:val="18"/>
        </w:rPr>
        <w:t>INVERSIÓN EXTRANJERA DIRECTA EN MÉXICO</w:t>
      </w:r>
    </w:p>
    <w:p w:rsidR="0032384C" w:rsidRPr="00B67E86" w:rsidRDefault="0032384C" w:rsidP="0032384C">
      <w:pPr>
        <w:tabs>
          <w:tab w:val="left" w:pos="284"/>
        </w:tabs>
        <w:ind w:left="284"/>
        <w:jc w:val="center"/>
        <w:rPr>
          <w:rFonts w:ascii="Arial" w:hAnsi="Arial" w:cs="Arial"/>
          <w:b/>
          <w:sz w:val="18"/>
          <w:szCs w:val="18"/>
        </w:rPr>
      </w:pPr>
      <w:r w:rsidRPr="00B67E86">
        <w:rPr>
          <w:rFonts w:ascii="Arial" w:hAnsi="Arial" w:cs="Arial"/>
          <w:b/>
          <w:sz w:val="18"/>
          <w:szCs w:val="18"/>
        </w:rPr>
        <w:t>POR ENTIDAD FEDERATIVA</w:t>
      </w:r>
    </w:p>
    <w:p w:rsidR="0032384C" w:rsidRPr="00B67E86" w:rsidRDefault="0032384C" w:rsidP="0032384C">
      <w:pPr>
        <w:tabs>
          <w:tab w:val="left" w:pos="284"/>
        </w:tabs>
        <w:ind w:left="284"/>
        <w:jc w:val="center"/>
        <w:rPr>
          <w:rFonts w:ascii="Arial" w:hAnsi="Arial" w:cs="Arial"/>
          <w:b/>
          <w:sz w:val="18"/>
          <w:szCs w:val="18"/>
        </w:rPr>
      </w:pPr>
      <w:r w:rsidRPr="00B67E86">
        <w:rPr>
          <w:rFonts w:ascii="Arial" w:hAnsi="Arial" w:cs="Arial"/>
          <w:b/>
          <w:sz w:val="18"/>
          <w:szCs w:val="18"/>
        </w:rPr>
        <w:t>(Millones de Dólares)</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drawing>
          <wp:inline distT="0" distB="0" distL="0" distR="0" wp14:anchorId="23CF447F" wp14:editId="61837EE5">
            <wp:extent cx="7477125" cy="41910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77125" cy="4191000"/>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14:anchorId="0CA81154" wp14:editId="26AD79D7">
                <wp:simplePos x="0" y="0"/>
                <wp:positionH relativeFrom="page">
                  <wp:posOffset>8772525</wp:posOffset>
                </wp:positionH>
                <wp:positionV relativeFrom="page">
                  <wp:posOffset>158209615</wp:posOffset>
                </wp:positionV>
                <wp:extent cx="189865" cy="45720"/>
                <wp:effectExtent l="19050" t="38100" r="57785" b="49530"/>
                <wp:wrapNone/>
                <wp:docPr id="94" name="Flecha derecha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7C809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4"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UP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BBg1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930D3">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8C6D51" w:rsidRDefault="0032384C" w:rsidP="0032384C">
      <w:pPr>
        <w:pStyle w:val="PRIMERAPLANA"/>
        <w:spacing w:line="360" w:lineRule="auto"/>
        <w:rPr>
          <w:rFonts w:cs="Arial"/>
          <w:sz w:val="18"/>
          <w:szCs w:val="18"/>
          <w:lang w:val="es-ES"/>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844" w:rsidRDefault="00843844" w:rsidP="00EA5418">
      <w:pPr>
        <w:spacing w:after="0" w:line="240" w:lineRule="auto"/>
      </w:pPr>
      <w:r>
        <w:separator/>
      </w:r>
    </w:p>
  </w:endnote>
  <w:endnote w:type="continuationSeparator" w:id="0">
    <w:p w:rsidR="00843844" w:rsidRDefault="0084384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64C59" w:rsidRPr="00C64C59">
          <w:rPr>
            <w:rFonts w:ascii="Arial" w:hAnsi="Arial" w:cs="Arial"/>
            <w:noProof/>
            <w:sz w:val="20"/>
            <w:lang w:val="es-ES"/>
          </w:rPr>
          <w:t>4</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64C59" w:rsidRPr="00C64C59">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844" w:rsidRDefault="00843844" w:rsidP="00EA5418">
      <w:pPr>
        <w:spacing w:after="0" w:line="240" w:lineRule="auto"/>
      </w:pPr>
      <w:r>
        <w:separator/>
      </w:r>
    </w:p>
  </w:footnote>
  <w:footnote w:type="continuationSeparator" w:id="0">
    <w:p w:rsidR="00843844" w:rsidRDefault="0084384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100FD7">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593A"/>
    <w:rsid w:val="0006610A"/>
    <w:rsid w:val="0006668A"/>
    <w:rsid w:val="0006755E"/>
    <w:rsid w:val="00072BA1"/>
    <w:rsid w:val="00076E1D"/>
    <w:rsid w:val="00084D46"/>
    <w:rsid w:val="00090FD9"/>
    <w:rsid w:val="0009604B"/>
    <w:rsid w:val="00097255"/>
    <w:rsid w:val="000A00F8"/>
    <w:rsid w:val="000A4867"/>
    <w:rsid w:val="000A5776"/>
    <w:rsid w:val="000A7AB8"/>
    <w:rsid w:val="000B54AD"/>
    <w:rsid w:val="000B62E8"/>
    <w:rsid w:val="000B6E5A"/>
    <w:rsid w:val="000D01E9"/>
    <w:rsid w:val="000D4D45"/>
    <w:rsid w:val="000D553D"/>
    <w:rsid w:val="000E5C7A"/>
    <w:rsid w:val="000E6692"/>
    <w:rsid w:val="000F0E08"/>
    <w:rsid w:val="000F1B18"/>
    <w:rsid w:val="00100FD7"/>
    <w:rsid w:val="001130E9"/>
    <w:rsid w:val="001156F5"/>
    <w:rsid w:val="00115E5C"/>
    <w:rsid w:val="00115FAF"/>
    <w:rsid w:val="001203B5"/>
    <w:rsid w:val="00120A86"/>
    <w:rsid w:val="00123461"/>
    <w:rsid w:val="001234D1"/>
    <w:rsid w:val="0013011C"/>
    <w:rsid w:val="00134F21"/>
    <w:rsid w:val="00136E7D"/>
    <w:rsid w:val="00144A5D"/>
    <w:rsid w:val="0014540D"/>
    <w:rsid w:val="001528B7"/>
    <w:rsid w:val="0016242F"/>
    <w:rsid w:val="001635E1"/>
    <w:rsid w:val="00165BB4"/>
    <w:rsid w:val="001660FE"/>
    <w:rsid w:val="00172B7D"/>
    <w:rsid w:val="00174F47"/>
    <w:rsid w:val="0018603D"/>
    <w:rsid w:val="00193B2D"/>
    <w:rsid w:val="00196515"/>
    <w:rsid w:val="001A3F6A"/>
    <w:rsid w:val="001B13BF"/>
    <w:rsid w:val="001B1B72"/>
    <w:rsid w:val="001B2632"/>
    <w:rsid w:val="001B267D"/>
    <w:rsid w:val="001B4EE5"/>
    <w:rsid w:val="001B51F1"/>
    <w:rsid w:val="001B6F95"/>
    <w:rsid w:val="001B7DDA"/>
    <w:rsid w:val="001C2435"/>
    <w:rsid w:val="001C47EF"/>
    <w:rsid w:val="001C48E8"/>
    <w:rsid w:val="001C4CB9"/>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7627B"/>
    <w:rsid w:val="00280CD3"/>
    <w:rsid w:val="002858C7"/>
    <w:rsid w:val="00287D90"/>
    <w:rsid w:val="00295FCC"/>
    <w:rsid w:val="002A2013"/>
    <w:rsid w:val="002A70B3"/>
    <w:rsid w:val="002A728F"/>
    <w:rsid w:val="002B0770"/>
    <w:rsid w:val="002B32BF"/>
    <w:rsid w:val="002B4828"/>
    <w:rsid w:val="002B7C62"/>
    <w:rsid w:val="002C0A9F"/>
    <w:rsid w:val="002C479E"/>
    <w:rsid w:val="002C4A76"/>
    <w:rsid w:val="002C4E19"/>
    <w:rsid w:val="002C5ACA"/>
    <w:rsid w:val="002D0278"/>
    <w:rsid w:val="002D2BEE"/>
    <w:rsid w:val="002E52F9"/>
    <w:rsid w:val="002F546C"/>
    <w:rsid w:val="00302E39"/>
    <w:rsid w:val="00311255"/>
    <w:rsid w:val="00312040"/>
    <w:rsid w:val="0032152C"/>
    <w:rsid w:val="0032384C"/>
    <w:rsid w:val="00323D16"/>
    <w:rsid w:val="00324311"/>
    <w:rsid w:val="00327048"/>
    <w:rsid w:val="00327740"/>
    <w:rsid w:val="00331185"/>
    <w:rsid w:val="00332091"/>
    <w:rsid w:val="0033398C"/>
    <w:rsid w:val="0033624E"/>
    <w:rsid w:val="00336B8F"/>
    <w:rsid w:val="00351921"/>
    <w:rsid w:val="003527CD"/>
    <w:rsid w:val="00354047"/>
    <w:rsid w:val="0035405F"/>
    <w:rsid w:val="00356170"/>
    <w:rsid w:val="003612CA"/>
    <w:rsid w:val="00365BA0"/>
    <w:rsid w:val="00372F40"/>
    <w:rsid w:val="00374E36"/>
    <w:rsid w:val="00380E8C"/>
    <w:rsid w:val="00380EE2"/>
    <w:rsid w:val="003811EC"/>
    <w:rsid w:val="00383BCB"/>
    <w:rsid w:val="00386E53"/>
    <w:rsid w:val="003900E3"/>
    <w:rsid w:val="00390936"/>
    <w:rsid w:val="00393281"/>
    <w:rsid w:val="00396C2B"/>
    <w:rsid w:val="003A0303"/>
    <w:rsid w:val="003A6C39"/>
    <w:rsid w:val="003A7ADE"/>
    <w:rsid w:val="003B1B0C"/>
    <w:rsid w:val="003B55DA"/>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213BC"/>
    <w:rsid w:val="004306DA"/>
    <w:rsid w:val="004311BE"/>
    <w:rsid w:val="004373B9"/>
    <w:rsid w:val="00441E7C"/>
    <w:rsid w:val="0044253C"/>
    <w:rsid w:val="004466A7"/>
    <w:rsid w:val="00454129"/>
    <w:rsid w:val="00454250"/>
    <w:rsid w:val="00463B0D"/>
    <w:rsid w:val="004644D4"/>
    <w:rsid w:val="004649FD"/>
    <w:rsid w:val="004714CF"/>
    <w:rsid w:val="00474420"/>
    <w:rsid w:val="00480F7F"/>
    <w:rsid w:val="004842C3"/>
    <w:rsid w:val="00484C0D"/>
    <w:rsid w:val="00487AC2"/>
    <w:rsid w:val="0049279C"/>
    <w:rsid w:val="00493E27"/>
    <w:rsid w:val="00497D8B"/>
    <w:rsid w:val="004A67F1"/>
    <w:rsid w:val="004A7484"/>
    <w:rsid w:val="004B04CF"/>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5576"/>
    <w:rsid w:val="00570444"/>
    <w:rsid w:val="005712C2"/>
    <w:rsid w:val="00574266"/>
    <w:rsid w:val="00574570"/>
    <w:rsid w:val="00575EE0"/>
    <w:rsid w:val="005768EA"/>
    <w:rsid w:val="00576C8C"/>
    <w:rsid w:val="00577617"/>
    <w:rsid w:val="00585D38"/>
    <w:rsid w:val="00587618"/>
    <w:rsid w:val="0059084C"/>
    <w:rsid w:val="00590C01"/>
    <w:rsid w:val="005A3CCB"/>
    <w:rsid w:val="005A53BA"/>
    <w:rsid w:val="005A57AD"/>
    <w:rsid w:val="005C02A4"/>
    <w:rsid w:val="005C0F25"/>
    <w:rsid w:val="005C1613"/>
    <w:rsid w:val="005C1E73"/>
    <w:rsid w:val="005C4BC3"/>
    <w:rsid w:val="005D3D25"/>
    <w:rsid w:val="005D5223"/>
    <w:rsid w:val="005D568E"/>
    <w:rsid w:val="005E7914"/>
    <w:rsid w:val="005F253A"/>
    <w:rsid w:val="005F3B9E"/>
    <w:rsid w:val="005F52B3"/>
    <w:rsid w:val="005F7D1B"/>
    <w:rsid w:val="00600110"/>
    <w:rsid w:val="00601D73"/>
    <w:rsid w:val="00602E51"/>
    <w:rsid w:val="00603BFE"/>
    <w:rsid w:val="006049C8"/>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5B86"/>
    <w:rsid w:val="00677384"/>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6AC2"/>
    <w:rsid w:val="007004C7"/>
    <w:rsid w:val="007103D4"/>
    <w:rsid w:val="007149DA"/>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69DF"/>
    <w:rsid w:val="007818C3"/>
    <w:rsid w:val="00782910"/>
    <w:rsid w:val="00786193"/>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3844"/>
    <w:rsid w:val="00844CF2"/>
    <w:rsid w:val="00845952"/>
    <w:rsid w:val="00845EF6"/>
    <w:rsid w:val="00846C3D"/>
    <w:rsid w:val="008470C4"/>
    <w:rsid w:val="0084770A"/>
    <w:rsid w:val="00850642"/>
    <w:rsid w:val="00856CDA"/>
    <w:rsid w:val="008630BA"/>
    <w:rsid w:val="008643A9"/>
    <w:rsid w:val="00864C50"/>
    <w:rsid w:val="00864FE6"/>
    <w:rsid w:val="008659FD"/>
    <w:rsid w:val="00866F4E"/>
    <w:rsid w:val="008742BD"/>
    <w:rsid w:val="00876082"/>
    <w:rsid w:val="008805C8"/>
    <w:rsid w:val="00883D58"/>
    <w:rsid w:val="0089054E"/>
    <w:rsid w:val="00894C50"/>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D7129"/>
    <w:rsid w:val="008E3652"/>
    <w:rsid w:val="008E3672"/>
    <w:rsid w:val="008E5316"/>
    <w:rsid w:val="008F056B"/>
    <w:rsid w:val="008F0CF5"/>
    <w:rsid w:val="008F45AC"/>
    <w:rsid w:val="008F4EF3"/>
    <w:rsid w:val="008F6D58"/>
    <w:rsid w:val="008F6EFE"/>
    <w:rsid w:val="008F708E"/>
    <w:rsid w:val="00902118"/>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515F"/>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452"/>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8077E"/>
    <w:rsid w:val="00A8166B"/>
    <w:rsid w:val="00A85EE5"/>
    <w:rsid w:val="00A90E13"/>
    <w:rsid w:val="00A9143E"/>
    <w:rsid w:val="00A94BD0"/>
    <w:rsid w:val="00A95577"/>
    <w:rsid w:val="00A97E66"/>
    <w:rsid w:val="00AA3279"/>
    <w:rsid w:val="00AB2062"/>
    <w:rsid w:val="00AB3613"/>
    <w:rsid w:val="00AD27C1"/>
    <w:rsid w:val="00AD4F95"/>
    <w:rsid w:val="00AE30F7"/>
    <w:rsid w:val="00AE32DD"/>
    <w:rsid w:val="00AF4311"/>
    <w:rsid w:val="00AF68D1"/>
    <w:rsid w:val="00B006FD"/>
    <w:rsid w:val="00B0402E"/>
    <w:rsid w:val="00B04DFA"/>
    <w:rsid w:val="00B06D4E"/>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6B4"/>
    <w:rsid w:val="00BA2940"/>
    <w:rsid w:val="00BA58E7"/>
    <w:rsid w:val="00BB327F"/>
    <w:rsid w:val="00BB3832"/>
    <w:rsid w:val="00BC6745"/>
    <w:rsid w:val="00BD1AAF"/>
    <w:rsid w:val="00BD248B"/>
    <w:rsid w:val="00BD2A8B"/>
    <w:rsid w:val="00BD3E4E"/>
    <w:rsid w:val="00BD5837"/>
    <w:rsid w:val="00BD7BBB"/>
    <w:rsid w:val="00BE3CB3"/>
    <w:rsid w:val="00BE43B1"/>
    <w:rsid w:val="00BE5D56"/>
    <w:rsid w:val="00BF11E1"/>
    <w:rsid w:val="00C00590"/>
    <w:rsid w:val="00C013A1"/>
    <w:rsid w:val="00C01580"/>
    <w:rsid w:val="00C04062"/>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4634"/>
    <w:rsid w:val="00C64C59"/>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E038F"/>
    <w:rsid w:val="00CE5C1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386E"/>
    <w:rsid w:val="00DF56C9"/>
    <w:rsid w:val="00DF6AC4"/>
    <w:rsid w:val="00E007EC"/>
    <w:rsid w:val="00E01158"/>
    <w:rsid w:val="00E0449B"/>
    <w:rsid w:val="00E04E64"/>
    <w:rsid w:val="00E1077F"/>
    <w:rsid w:val="00E119AC"/>
    <w:rsid w:val="00E2421E"/>
    <w:rsid w:val="00E25A1C"/>
    <w:rsid w:val="00E30318"/>
    <w:rsid w:val="00E32708"/>
    <w:rsid w:val="00E37034"/>
    <w:rsid w:val="00E37782"/>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6894"/>
    <w:rsid w:val="00ED79E2"/>
    <w:rsid w:val="00EE04FF"/>
    <w:rsid w:val="00EE0F4C"/>
    <w:rsid w:val="00EE2F63"/>
    <w:rsid w:val="00EE46FB"/>
    <w:rsid w:val="00EF62F8"/>
    <w:rsid w:val="00F011BD"/>
    <w:rsid w:val="00F016BA"/>
    <w:rsid w:val="00F01B31"/>
    <w:rsid w:val="00F16A95"/>
    <w:rsid w:val="00F17C0D"/>
    <w:rsid w:val="00F20F31"/>
    <w:rsid w:val="00F2612E"/>
    <w:rsid w:val="00F30A85"/>
    <w:rsid w:val="00F32EC8"/>
    <w:rsid w:val="00F364E9"/>
    <w:rsid w:val="00F40A84"/>
    <w:rsid w:val="00F424B7"/>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281E0-3F95-4175-BA42-AAEDC7A9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7513</Words>
  <Characters>41325</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2019-01-23T22:38:00Z</cp:lastPrinted>
  <dcterms:created xsi:type="dcterms:W3CDTF">2019-01-30T19:31:00Z</dcterms:created>
  <dcterms:modified xsi:type="dcterms:W3CDTF">2019-01-30T19:31:00Z</dcterms:modified>
</cp:coreProperties>
</file>