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D02A9A" w:rsidRDefault="00170684" w:rsidP="00421166">
      <w:r>
        <w:object w:dxaOrig="23135" w:dyaOrig="16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9pt;height:457.65pt" o:ole="">
            <v:imagedata r:id="rId8" o:title=""/>
          </v:shape>
          <o:OLEObject Type="Embed" ProgID="Excel.Sheet.12" ShapeID="_x0000_i1025" DrawAspect="Content" ObjectID="_1561310509" r:id="rId9"/>
        </w:object>
      </w:r>
    </w:p>
    <w:p w:rsidR="00A85CF9" w:rsidRDefault="005044CA" w:rsidP="00FD70FE">
      <w:r>
        <w:rPr>
          <w:noProof/>
        </w:rPr>
        <w:lastRenderedPageBreak/>
        <w:object w:dxaOrig="1440" w:dyaOrig="1440">
          <v:shape id="_x0000_s1054" type="#_x0000_t75" style="position:absolute;margin-left:-12.1pt;margin-top:.15pt;width:699.05pt;height:413.55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561310513" r:id="rId11"/>
        </w:object>
      </w:r>
    </w:p>
    <w:p w:rsidR="00372F40" w:rsidRDefault="005044CA" w:rsidP="0098098D">
      <w:r>
        <w:rPr>
          <w:noProof/>
        </w:rPr>
        <w:lastRenderedPageBreak/>
        <w:object w:dxaOrig="1440" w:dyaOrig="1440">
          <v:shape id="_x0000_s1067" type="#_x0000_t75" style="position:absolute;margin-left:35.1pt;margin-top:0;width:650.25pt;height:455.9pt;z-index:251670528;mso-position-horizontal:absolute;mso-position-horizontal-relative:text;mso-position-vertical-relative:text">
            <v:imagedata r:id="rId12" o:title=""/>
            <w10:wrap type="square" side="left"/>
          </v:shape>
          <o:OLEObject Type="Embed" ProgID="Excel.Sheet.12" ShapeID="_x0000_s1067" DrawAspect="Content" ObjectID="_1561310514" r:id="rId13"/>
        </w:object>
      </w:r>
      <w:r w:rsidR="0098098D">
        <w:br w:type="textWrapping" w:clear="all"/>
      </w:r>
    </w:p>
    <w:bookmarkStart w:id="1" w:name="_MON_1470807348"/>
    <w:bookmarkEnd w:id="1"/>
    <w:p w:rsidR="00372F40" w:rsidRDefault="00170684" w:rsidP="008E3652">
      <w:pPr>
        <w:jc w:val="center"/>
      </w:pPr>
      <w:r>
        <w:object w:dxaOrig="18261" w:dyaOrig="12423">
          <v:shape id="_x0000_i1026" type="#_x0000_t75" style="width:664.9pt;height:430.75pt" o:ole="">
            <v:imagedata r:id="rId14" o:title=""/>
          </v:shape>
          <o:OLEObject Type="Embed" ProgID="Excel.Sheet.12" ShapeID="_x0000_i1026" DrawAspect="Content" ObjectID="_1561310510" r:id="rId15"/>
        </w:object>
      </w:r>
    </w:p>
    <w:p w:rsidR="00372F40" w:rsidRDefault="005044CA" w:rsidP="005F6CB5">
      <w:r>
        <w:rPr>
          <w:noProof/>
        </w:rPr>
        <w:lastRenderedPageBreak/>
        <w:object w:dxaOrig="1440" w:dyaOrig="1440">
          <v:shape id="_x0000_s1061" type="#_x0000_t75" style="position:absolute;margin-left:.05pt;margin-top:18.3pt;width:683.7pt;height:422.8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1" DrawAspect="Content" ObjectID="_1561310515" r:id="rId17"/>
        </w:object>
      </w:r>
      <w:r w:rsidR="005F6CB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2" w:name="_MON_1470814596"/>
    <w:bookmarkEnd w:id="2"/>
    <w:p w:rsidR="00E32708" w:rsidRDefault="009F6FEF" w:rsidP="00E32708">
      <w:pPr>
        <w:tabs>
          <w:tab w:val="left" w:pos="2430"/>
        </w:tabs>
        <w:jc w:val="center"/>
      </w:pPr>
      <w:r>
        <w:object w:dxaOrig="18312" w:dyaOrig="11411">
          <v:shape id="_x0000_i1028" type="#_x0000_t75" style="width:637.35pt;height:396.95pt" o:ole="">
            <v:imagedata r:id="rId18" o:title=""/>
          </v:shape>
          <o:OLEObject Type="Embed" ProgID="Excel.Sheet.12" ShapeID="_x0000_i1028" DrawAspect="Content" ObjectID="_1561310511" r:id="rId19"/>
        </w:object>
      </w:r>
      <w:bookmarkStart w:id="3" w:name="_GoBack"/>
      <w:bookmarkEnd w:id="3"/>
    </w:p>
    <w:bookmarkStart w:id="4" w:name="_MON_1470810366"/>
    <w:bookmarkEnd w:id="4"/>
    <w:p w:rsidR="00E32708" w:rsidRDefault="00B83454" w:rsidP="00E32708">
      <w:pPr>
        <w:tabs>
          <w:tab w:val="left" w:pos="2430"/>
        </w:tabs>
        <w:jc w:val="center"/>
      </w:pPr>
      <w:r>
        <w:object w:dxaOrig="26040" w:dyaOrig="16796">
          <v:shape id="_x0000_i1027" type="#_x0000_t75" style="width:693.7pt;height:448.3pt" o:ole="">
            <v:imagedata r:id="rId20" o:title=""/>
          </v:shape>
          <o:OLEObject Type="Embed" ProgID="Excel.Sheet.12" ShapeID="_x0000_i1027" DrawAspect="Content" ObjectID="_1561310512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838BE">
        <w:rPr>
          <w:rFonts w:ascii="Soberana Sans Light" w:hAnsi="Soberana Sans Light"/>
        </w:rPr>
        <w:t>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838BE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F6519D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</w:t>
            </w:r>
            <w:r w:rsidR="00F6519D">
              <w:rPr>
                <w:rFonts w:ascii="Soberana Sans Light" w:hAnsi="Soberana Sans Light"/>
              </w:rPr>
              <w:t xml:space="preserve">Alberto </w:t>
            </w:r>
            <w:proofErr w:type="spellStart"/>
            <w:r w:rsidR="00F6519D">
              <w:rPr>
                <w:rFonts w:ascii="Soberana Sans Light" w:hAnsi="Soberana Sans Light"/>
              </w:rPr>
              <w:t>Jonguitud</w:t>
            </w:r>
            <w:proofErr w:type="spellEnd"/>
            <w:r w:rsidR="00F6519D">
              <w:rPr>
                <w:rFonts w:ascii="Soberana Sans Light" w:hAnsi="Soberana Sans Light"/>
              </w:rPr>
              <w:t xml:space="preserve"> </w:t>
            </w:r>
            <w:proofErr w:type="spellStart"/>
            <w:r w:rsidR="00F6519D">
              <w:rPr>
                <w:rFonts w:ascii="Soberana Sans Light" w:hAnsi="Soberana Sans Light"/>
              </w:rPr>
              <w:t>Falcon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F6519D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L.A.E. Mario Hernández Ramírez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935557" w:rsidRDefault="00935557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F43BC1" w:rsidRDefault="00E7315B" w:rsidP="00823529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importe de $</w:t>
      </w:r>
      <w:r w:rsidR="00823529">
        <w:rPr>
          <w:lang w:val="es-MX"/>
        </w:rPr>
        <w:t xml:space="preserve"> </w:t>
      </w:r>
      <w:r w:rsidR="00823529" w:rsidRPr="00823529">
        <w:rPr>
          <w:lang w:val="es-MX"/>
        </w:rPr>
        <w:t>276</w:t>
      </w:r>
      <w:proofErr w:type="gramStart"/>
      <w:r w:rsidR="00823529" w:rsidRPr="00823529">
        <w:rPr>
          <w:lang w:val="es-MX"/>
        </w:rPr>
        <w:t>,200,943.00</w:t>
      </w:r>
      <w:proofErr w:type="gramEnd"/>
      <w:r w:rsidR="00A07367" w:rsidRPr="00F43BC1">
        <w:rPr>
          <w:lang w:val="es-MX"/>
        </w:rPr>
        <w:t xml:space="preserve"> </w:t>
      </w:r>
      <w:r w:rsidRPr="00F43BC1">
        <w:rPr>
          <w:lang w:val="es-MX"/>
        </w:rPr>
        <w:t>corresponde a los saldos de las cuentas bancarias</w:t>
      </w:r>
      <w:r w:rsidR="00704EA3" w:rsidRPr="00F43BC1">
        <w:rPr>
          <w:lang w:val="es-MX"/>
        </w:rPr>
        <w:t xml:space="preserve"> a la vista</w:t>
      </w:r>
      <w:r w:rsidR="006227B7" w:rsidRPr="00F43BC1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5044CA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1440" w:dyaOrig="1440">
          <v:shape id="_x0000_s1046" type="#_x0000_t75" style="position:absolute;left:0;text-align:left;margin-left:77.65pt;margin-top:14pt;width:488.2pt;height:68.35pt;z-index:251664384">
            <v:imagedata r:id="rId22" o:title=""/>
            <w10:wrap type="topAndBottom"/>
          </v:shape>
          <o:OLEObject Type="Embed" ProgID="Excel.Sheet.12" ShapeID="_x0000_s1046" DrawAspect="Content" ObjectID="_1561310516" r:id="rId23"/>
        </w:objec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383209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383209" w:rsidRPr="00383209">
        <w:rPr>
          <w:lang w:val="es-MX"/>
        </w:rPr>
        <w:t xml:space="preserve">Con base a la aprobación de la Junta Directiva del 04 de marzo del </w:t>
      </w:r>
      <w:r w:rsidR="00823529">
        <w:rPr>
          <w:lang w:val="es-MX"/>
        </w:rPr>
        <w:t>2016</w:t>
      </w:r>
      <w:r w:rsidR="00383209" w:rsidRPr="00383209">
        <w:rPr>
          <w:lang w:val="es-MX"/>
        </w:rPr>
        <w:t>, se aprueba la política contable de reconocer a través de en cuentas de orden la existencia de inventarios en el rubro de almacén.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610A05" w:rsidRPr="00630DB0">
        <w:rPr>
          <w:lang w:val="es-MX"/>
        </w:rPr>
        <w:t>No se cuenta con Inversiones financieras</w:t>
      </w:r>
      <w:r w:rsidR="006B03C7">
        <w:rPr>
          <w:lang w:val="es-MX"/>
        </w:rPr>
        <w:t xml:space="preserve"> en otras instituciones</w:t>
      </w:r>
      <w:r w:rsidR="00610A05"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D70324" w:rsidRDefault="00540418" w:rsidP="007F1239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</w:r>
      <w:r w:rsidR="00383209" w:rsidRPr="009F366B">
        <w:rPr>
          <w:lang w:val="es-MX"/>
        </w:rPr>
        <w:t xml:space="preserve">El rubro de Bienes Inmuebles </w:t>
      </w:r>
      <w:r w:rsidR="00D70324" w:rsidRPr="009F366B">
        <w:rPr>
          <w:lang w:val="es-MX"/>
        </w:rPr>
        <w:t xml:space="preserve">se encuentran a </w:t>
      </w:r>
      <w:r w:rsidR="00383209" w:rsidRPr="009F366B">
        <w:rPr>
          <w:lang w:val="es-MX"/>
        </w:rPr>
        <w:t xml:space="preserve">su valor del avaluó </w:t>
      </w:r>
      <w:r w:rsidR="00D70324" w:rsidRPr="009F366B">
        <w:rPr>
          <w:lang w:val="es-MX"/>
        </w:rPr>
        <w:t>a</w:t>
      </w:r>
      <w:r w:rsidR="009F366B">
        <w:rPr>
          <w:lang w:val="es-MX"/>
        </w:rPr>
        <w:t>l</w:t>
      </w:r>
      <w:r w:rsidR="00D70324" w:rsidRPr="009F366B">
        <w:rPr>
          <w:lang w:val="es-MX"/>
        </w:rPr>
        <w:t xml:space="preserve"> </w:t>
      </w:r>
      <w:r w:rsidR="009F366B">
        <w:rPr>
          <w:lang w:val="es-MX"/>
        </w:rPr>
        <w:t xml:space="preserve">30 de </w:t>
      </w:r>
      <w:r w:rsidR="001E5882" w:rsidRPr="009F366B">
        <w:rPr>
          <w:lang w:val="es-MX"/>
        </w:rPr>
        <w:t>junio de 2016</w:t>
      </w:r>
      <w:r w:rsidR="00D70324" w:rsidRPr="009F366B">
        <w:rPr>
          <w:lang w:val="es-MX"/>
        </w:rPr>
        <w:t xml:space="preserve">, por la cantidad de $ </w:t>
      </w:r>
      <w:r w:rsidR="00C3426B">
        <w:rPr>
          <w:lang w:val="es-MX"/>
        </w:rPr>
        <w:t>2</w:t>
      </w:r>
      <w:proofErr w:type="gramStart"/>
      <w:r w:rsidR="00C3426B">
        <w:rPr>
          <w:lang w:val="es-MX"/>
        </w:rPr>
        <w:t>,</w:t>
      </w:r>
      <w:r w:rsidR="006A49E2">
        <w:rPr>
          <w:lang w:val="es-MX"/>
        </w:rPr>
        <w:t>2</w:t>
      </w:r>
      <w:r w:rsidR="007F1239">
        <w:rPr>
          <w:lang w:val="es-MX"/>
        </w:rPr>
        <w:t>25,511,457.36</w:t>
      </w:r>
      <w:proofErr w:type="gramEnd"/>
      <w:r w:rsidR="00D70324" w:rsidRPr="009F366B">
        <w:rPr>
          <w:lang w:val="es-MX"/>
        </w:rPr>
        <w:t>,</w:t>
      </w:r>
      <w:r w:rsidR="007F1239">
        <w:rPr>
          <w:lang w:val="es-MX"/>
        </w:rPr>
        <w:t xml:space="preserve"> </w:t>
      </w:r>
      <w:r w:rsidR="007F1239" w:rsidRPr="007F1239">
        <w:rPr>
          <w:lang w:val="es-MX"/>
        </w:rPr>
        <w:t xml:space="preserve">y un valor de realización por </w:t>
      </w:r>
      <w:r w:rsidR="007F1239">
        <w:rPr>
          <w:lang w:val="es-MX"/>
        </w:rPr>
        <w:t>$</w:t>
      </w:r>
      <w:r w:rsidR="007F1239" w:rsidRPr="007F1239">
        <w:rPr>
          <w:lang w:val="es-MX"/>
        </w:rPr>
        <w:t xml:space="preserve">169,069,997.05; el valor de </w:t>
      </w:r>
      <w:r w:rsidR="00B218CC">
        <w:rPr>
          <w:lang w:val="es-MX"/>
        </w:rPr>
        <w:t xml:space="preserve">la </w:t>
      </w:r>
      <w:r w:rsidR="006A49E2">
        <w:rPr>
          <w:lang w:val="es-MX"/>
        </w:rPr>
        <w:t>obra en proceso</w:t>
      </w:r>
      <w:r w:rsidR="00B218CC">
        <w:rPr>
          <w:lang w:val="es-MX"/>
        </w:rPr>
        <w:t xml:space="preserve"> </w:t>
      </w:r>
      <w:r w:rsidR="007F1239" w:rsidRPr="007F1239">
        <w:rPr>
          <w:lang w:val="es-MX"/>
        </w:rPr>
        <w:t xml:space="preserve">es de </w:t>
      </w:r>
      <w:r w:rsidR="006A49E2">
        <w:rPr>
          <w:lang w:val="es-MX"/>
        </w:rPr>
        <w:t>$</w:t>
      </w:r>
      <w:r w:rsidR="007F1239" w:rsidRPr="007F1239">
        <w:rPr>
          <w:lang w:val="es-MX"/>
        </w:rPr>
        <w:t>10,172,226.47</w:t>
      </w:r>
      <w:r w:rsidR="006A49E2">
        <w:rPr>
          <w:lang w:val="es-MX"/>
        </w:rPr>
        <w:t xml:space="preserve">, </w:t>
      </w:r>
      <w:r w:rsidR="00D70324" w:rsidRPr="009F366B">
        <w:rPr>
          <w:lang w:val="es-MX"/>
        </w:rPr>
        <w:t>reconociendo la normatividad emitida por el Consejo Nacional de Armonización Contable</w:t>
      </w:r>
      <w:r w:rsidR="009F366B">
        <w:rPr>
          <w:lang w:val="es-MX"/>
        </w:rPr>
        <w:t>.</w:t>
      </w:r>
    </w:p>
    <w:p w:rsidR="007D4CEC" w:rsidRDefault="007D4CEC" w:rsidP="00383209">
      <w:pPr>
        <w:pStyle w:val="ROMANOS"/>
        <w:spacing w:after="0" w:line="240" w:lineRule="exact"/>
        <w:rPr>
          <w:lang w:val="es-MX"/>
        </w:rPr>
      </w:pPr>
    </w:p>
    <w:p w:rsidR="00D70324" w:rsidRDefault="00383209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Pr="00383209">
        <w:rPr>
          <w:lang w:val="es-MX"/>
        </w:rPr>
        <w:t>En</w:t>
      </w:r>
      <w:r>
        <w:rPr>
          <w:lang w:val="es-MX"/>
        </w:rPr>
        <w:t xml:space="preserve"> el</w:t>
      </w:r>
      <w:r w:rsidRPr="00383209">
        <w:rPr>
          <w:lang w:val="es-MX"/>
        </w:rPr>
        <w:t xml:space="preserve"> rubro</w:t>
      </w:r>
      <w:r>
        <w:rPr>
          <w:lang w:val="es-MX"/>
        </w:rPr>
        <w:t xml:space="preserve"> Bienes Muebles</w:t>
      </w:r>
      <w:r w:rsidRPr="00383209">
        <w:rPr>
          <w:lang w:val="es-MX"/>
        </w:rPr>
        <w:t xml:space="preserve"> presenta su valor</w:t>
      </w:r>
      <w:r w:rsidR="00D70324">
        <w:rPr>
          <w:lang w:val="es-MX"/>
        </w:rPr>
        <w:t xml:space="preserve"> del avaluó a </w:t>
      </w:r>
      <w:r w:rsidR="00D70324" w:rsidRPr="00383209">
        <w:rPr>
          <w:lang w:val="es-MX"/>
        </w:rPr>
        <w:t>diciembre de 2015</w:t>
      </w:r>
      <w:r w:rsidR="00D70324">
        <w:rPr>
          <w:lang w:val="es-MX"/>
        </w:rPr>
        <w:t>, por</w:t>
      </w:r>
      <w:r w:rsidR="00935557">
        <w:rPr>
          <w:lang w:val="es-MX"/>
        </w:rPr>
        <w:t xml:space="preserve"> la cantidad de $</w:t>
      </w:r>
      <w:r w:rsidR="00562914">
        <w:rPr>
          <w:lang w:val="es-MX"/>
        </w:rPr>
        <w:t xml:space="preserve"> </w:t>
      </w:r>
      <w:r w:rsidR="00AB16A0">
        <w:rPr>
          <w:lang w:val="es-MX"/>
        </w:rPr>
        <w:t>258,529,543</w:t>
      </w:r>
      <w:r w:rsidR="00935557">
        <w:rPr>
          <w:lang w:val="es-MX"/>
        </w:rPr>
        <w:t>.00</w:t>
      </w:r>
      <w:r w:rsidR="00D70324">
        <w:rPr>
          <w:lang w:val="es-MX"/>
        </w:rPr>
        <w:t xml:space="preserve">, </w:t>
      </w:r>
      <w:r w:rsidRPr="00383209">
        <w:rPr>
          <w:lang w:val="es-MX"/>
        </w:rPr>
        <w:t>reconociendo la nor</w:t>
      </w:r>
      <w:r w:rsidR="007A604A">
        <w:rPr>
          <w:lang w:val="es-MX"/>
        </w:rPr>
        <w:t>matividad emitida por el Consejo</w:t>
      </w:r>
      <w:r w:rsidRPr="00383209">
        <w:rPr>
          <w:lang w:val="es-MX"/>
        </w:rPr>
        <w:t xml:space="preserve"> Nacional de </w:t>
      </w:r>
      <w:r w:rsidR="007A604A" w:rsidRPr="00383209">
        <w:rPr>
          <w:lang w:val="es-MX"/>
        </w:rPr>
        <w:t>Armonización</w:t>
      </w:r>
      <w:r w:rsidRPr="00383209">
        <w:rPr>
          <w:lang w:val="es-MX"/>
        </w:rPr>
        <w:t xml:space="preserve"> Contable, se </w:t>
      </w:r>
      <w:r w:rsidR="007D4CEC">
        <w:rPr>
          <w:lang w:val="es-MX"/>
        </w:rPr>
        <w:t xml:space="preserve">aumenta </w:t>
      </w:r>
      <w:r w:rsidRPr="00383209">
        <w:rPr>
          <w:lang w:val="es-MX"/>
        </w:rPr>
        <w:t>el valor en libros por un monto $</w:t>
      </w:r>
      <w:r w:rsidR="00D70324">
        <w:rPr>
          <w:lang w:val="es-MX"/>
        </w:rPr>
        <w:t xml:space="preserve"> </w:t>
      </w:r>
      <w:r w:rsidR="007F1239" w:rsidRPr="007F1239">
        <w:rPr>
          <w:lang w:val="es-MX"/>
        </w:rPr>
        <w:t>257,616,938.27</w:t>
      </w:r>
      <w:r w:rsidR="00935557">
        <w:rPr>
          <w:lang w:val="es-MX"/>
        </w:rPr>
        <w:t>, se está efectuando la conciliación con el valor del inventario físico y el valor en estados financieros.</w:t>
      </w:r>
    </w:p>
    <w:p w:rsidR="007A604A" w:rsidRDefault="00D70324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:rsidR="00935557" w:rsidRDefault="00935557" w:rsidP="00383209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8A4AC1" w:rsidP="008A4AC1">
            <w:pPr>
              <w:pStyle w:val="ROMANOS"/>
              <w:spacing w:after="0" w:line="240" w:lineRule="auto"/>
              <w:jc w:val="right"/>
            </w:pPr>
            <w:r>
              <w:t>81,347,961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8A4AC1" w:rsidP="008A4AC1">
            <w:pPr>
              <w:pStyle w:val="ROMANOS"/>
              <w:spacing w:after="0" w:line="240" w:lineRule="auto"/>
              <w:jc w:val="right"/>
            </w:pPr>
            <w:r>
              <w:t>1,875,137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Equipo e instrumental médico y de laborat</w:t>
            </w:r>
            <w:r>
              <w:t>orio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8A4AC1" w:rsidP="008A4AC1">
            <w:pPr>
              <w:pStyle w:val="ROMANOS"/>
              <w:spacing w:after="0" w:line="240" w:lineRule="auto"/>
              <w:jc w:val="right"/>
            </w:pPr>
            <w:r>
              <w:t>385,668,747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Vehículos y equipo de tran</w:t>
            </w:r>
            <w:r>
              <w:t>s</w:t>
            </w:r>
            <w:r w:rsidRPr="00FE4EF4">
              <w:t>porte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8A4AC1">
            <w:pPr>
              <w:pStyle w:val="ROMANOS"/>
              <w:spacing w:after="0" w:line="240" w:lineRule="auto"/>
              <w:jc w:val="right"/>
            </w:pPr>
            <w:r>
              <w:t>30,313,328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8A4AC1">
            <w:pPr>
              <w:pStyle w:val="ROMANOS"/>
              <w:spacing w:after="0" w:line="240" w:lineRule="auto"/>
              <w:jc w:val="right"/>
            </w:pPr>
            <w:r>
              <w:t>16,</w:t>
            </w:r>
            <w:r w:rsidR="00B218CC">
              <w:t>9</w:t>
            </w:r>
            <w:r>
              <w:t>4</w:t>
            </w:r>
            <w:r w:rsidR="00B218CC">
              <w:t>1</w:t>
            </w:r>
            <w:r>
              <w:t>,</w:t>
            </w:r>
            <w:r w:rsidR="00B218CC">
              <w:t>30</w:t>
            </w:r>
            <w:r>
              <w:t>8</w:t>
            </w:r>
          </w:p>
        </w:tc>
      </w:tr>
      <w:tr w:rsidR="00FE4EF4" w:rsidRPr="00FE4EF4" w:rsidTr="008A4AC1">
        <w:tc>
          <w:tcPr>
            <w:tcW w:w="664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Edificios</w:t>
            </w:r>
          </w:p>
        </w:tc>
        <w:tc>
          <w:tcPr>
            <w:tcW w:w="2260" w:type="dxa"/>
            <w:noWrap/>
          </w:tcPr>
          <w:p w:rsidR="00FE4EF4" w:rsidRPr="00FE4EF4" w:rsidRDefault="008A4AC1" w:rsidP="008A4AC1">
            <w:pPr>
              <w:pStyle w:val="ROMANOS"/>
              <w:spacing w:after="0" w:line="240" w:lineRule="auto"/>
              <w:jc w:val="right"/>
            </w:pPr>
            <w:r>
              <w:t>2,404,753,681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45752B" w:rsidRDefault="00540418" w:rsidP="0045752B">
      <w:pPr>
        <w:pStyle w:val="ROMANOS"/>
        <w:spacing w:after="0" w:line="240" w:lineRule="exact"/>
        <w:ind w:left="0" w:firstLine="0"/>
        <w:rPr>
          <w:lang w:val="es-MX"/>
        </w:rPr>
      </w:pPr>
      <w:r w:rsidRPr="00630DB0">
        <w:rPr>
          <w:lang w:val="es-MX"/>
        </w:rPr>
        <w:tab/>
      </w:r>
      <w:r w:rsidR="00A81353" w:rsidRPr="0045752B">
        <w:rPr>
          <w:b/>
          <w:lang w:val="es-MX"/>
        </w:rPr>
        <w:t>A</w:t>
      </w:r>
      <w:r w:rsidRPr="0045752B">
        <w:rPr>
          <w:b/>
          <w:lang w:val="es-MX"/>
        </w:rPr>
        <w:t>ctivos intangibles y diferidos</w:t>
      </w:r>
    </w:p>
    <w:p w:rsidR="00540418" w:rsidRPr="00630DB0" w:rsidRDefault="001E5882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  <w:t>E</w:t>
      </w:r>
      <w:r w:rsidR="0045752B">
        <w:rPr>
          <w:lang w:val="es-MX"/>
        </w:rPr>
        <w:t>l saldo de $</w:t>
      </w:r>
      <w:r w:rsidR="006A49E2">
        <w:rPr>
          <w:lang w:val="es-MX"/>
        </w:rPr>
        <w:t>14,298.00</w:t>
      </w:r>
      <w:r w:rsidR="0045752B">
        <w:rPr>
          <w:lang w:val="es-MX"/>
        </w:rPr>
        <w:t xml:space="preserve"> corresponde a activos intangibles.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</w:t>
      </w:r>
      <w:r w:rsidR="00B218CC">
        <w:rPr>
          <w:lang w:val="es-MX"/>
        </w:rPr>
        <w:t xml:space="preserve"> han</w:t>
      </w:r>
      <w:r w:rsidR="0081687D" w:rsidRPr="00630DB0">
        <w:rPr>
          <w:lang w:val="es-MX"/>
        </w:rPr>
        <w:t xml:space="preserve"> efectua</w:t>
      </w:r>
      <w:r w:rsidR="00B218CC">
        <w:rPr>
          <w:lang w:val="es-MX"/>
        </w:rPr>
        <w:t>d</w:t>
      </w:r>
      <w:r w:rsidR="0081687D" w:rsidRPr="00630DB0">
        <w:rPr>
          <w:lang w:val="es-MX"/>
        </w:rPr>
        <w:t xml:space="preserve">o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</w:t>
      </w:r>
      <w:r w:rsidR="00B218CC">
        <w:rPr>
          <w:lang w:val="es-MX"/>
        </w:rPr>
        <w:t>durante</w:t>
      </w:r>
      <w:r w:rsidR="008059CC" w:rsidRPr="00630DB0">
        <w:rPr>
          <w:lang w:val="es-MX"/>
        </w:rPr>
        <w:t xml:space="preserve"> el ejercicio 201</w:t>
      </w:r>
      <w:r w:rsidR="00B218CC">
        <w:rPr>
          <w:lang w:val="es-MX"/>
        </w:rPr>
        <w:t>7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7C410F" w:rsidRDefault="007C410F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Personales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8A4AC1" w:rsidP="00F8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A4A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3,113,757.73</w:t>
            </w:r>
          </w:p>
        </w:tc>
      </w:tr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8A4AC1" w:rsidP="00F8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A4AC1">
              <w:rPr>
                <w:rFonts w:ascii="Arial" w:hAnsi="Arial" w:cs="Arial"/>
                <w:sz w:val="18"/>
                <w:szCs w:val="18"/>
              </w:rPr>
              <w:t>15,128,009.14</w:t>
            </w:r>
          </w:p>
        </w:tc>
      </w:tr>
      <w:tr w:rsidR="00155609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155609" w:rsidRPr="00144A4C" w:rsidRDefault="007542C6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Otorgadas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5609" w:rsidRPr="00144A4C" w:rsidRDefault="007542C6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187,802.34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Retenciones y Contribuciones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7542C6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58,216,878.70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Devoluciones de la Ley de Ingresos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Cuentas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F82B20" w:rsidRDefault="00BA03B3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20,949,082</w:t>
            </w:r>
            <w:r w:rsid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.36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Provisiones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7542C6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14,416,417.84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Ingresos por Clasificar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7542C6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3,655,544.27</w:t>
            </w:r>
          </w:p>
        </w:tc>
      </w:tr>
      <w:tr w:rsidR="000F4F8C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F4F8C" w:rsidRPr="00144A4C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Pasivos Circulantes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F4F8C" w:rsidRDefault="007542C6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542C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421,110.02</w:t>
            </w:r>
          </w:p>
        </w:tc>
      </w:tr>
    </w:tbl>
    <w:p w:rsidR="00D03720" w:rsidRPr="00144A4C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</w:t>
      </w:r>
      <w:r w:rsidR="00E71EE5">
        <w:rPr>
          <w:lang w:val="es-MX"/>
        </w:rPr>
        <w:t xml:space="preserve"> no se tiene</w:t>
      </w:r>
      <w:r w:rsidR="00AA49DC" w:rsidRPr="00630DB0">
        <w:rPr>
          <w:lang w:val="es-MX"/>
        </w:rPr>
        <w:t xml:space="preserve"> pasivos a largo plazo</w:t>
      </w:r>
      <w:r w:rsidRPr="00630DB0">
        <w:rPr>
          <w:lang w:val="es-MX"/>
        </w:rPr>
        <w:t>.</w:t>
      </w:r>
    </w:p>
    <w:p w:rsidR="00935557" w:rsidRDefault="00935557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9F366B" w:rsidRDefault="009F366B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7542C6" w:rsidRDefault="007542C6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lastRenderedPageBreak/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994CB8" w:rsidRDefault="002C012E" w:rsidP="007542C6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Los ingresos de gestión de Salud de en el rubro de Productos de Tipo Corriente corresponde a </w:t>
      </w:r>
      <w:r w:rsidR="00994CB8" w:rsidRPr="00994CB8">
        <w:rPr>
          <w:lang w:val="es-MX"/>
        </w:rPr>
        <w:t>los rendimientos que generen las cuentas bancarias</w:t>
      </w:r>
      <w:r w:rsidR="007542C6">
        <w:rPr>
          <w:lang w:val="es-MX"/>
        </w:rPr>
        <w:t xml:space="preserve"> por un monto de </w:t>
      </w:r>
      <w:r w:rsidR="007542C6" w:rsidRPr="007542C6">
        <w:rPr>
          <w:lang w:val="es-MX"/>
        </w:rPr>
        <w:t>216,457.17</w:t>
      </w:r>
      <w:r w:rsidR="007542C6">
        <w:rPr>
          <w:lang w:val="es-MX"/>
        </w:rPr>
        <w:t xml:space="preserve"> y rendimientos radicados por la Secretaria de Planeación y Finanzas por $ </w:t>
      </w:r>
      <w:r w:rsidR="007542C6" w:rsidRPr="007542C6">
        <w:rPr>
          <w:lang w:val="es-MX"/>
        </w:rPr>
        <w:t>443.27</w:t>
      </w:r>
      <w:r w:rsidR="00994CB8" w:rsidRPr="00994CB8">
        <w:rPr>
          <w:lang w:val="es-MX"/>
        </w:rPr>
        <w:t xml:space="preserve"> </w:t>
      </w:r>
    </w:p>
    <w:p w:rsidR="00540418" w:rsidRPr="00994CB8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Durante el ejercicio 201</w:t>
      </w:r>
      <w:r w:rsidR="00E71EE5">
        <w:rPr>
          <w:lang w:val="es-MX"/>
        </w:rPr>
        <w:t>7</w:t>
      </w:r>
      <w:r w:rsidRPr="00994CB8">
        <w:rPr>
          <w:lang w:val="es-MX"/>
        </w:rPr>
        <w:t xml:space="preserve"> no se</w:t>
      </w:r>
      <w:r w:rsidR="005C41CB" w:rsidRPr="00994CB8">
        <w:rPr>
          <w:lang w:val="es-MX"/>
        </w:rPr>
        <w:t xml:space="preserve"> han</w:t>
      </w:r>
      <w:r w:rsidRPr="00994CB8">
        <w:rPr>
          <w:lang w:val="es-MX"/>
        </w:rPr>
        <w:t xml:space="preserve"> t</w:t>
      </w:r>
      <w:r w:rsidR="005C41CB" w:rsidRPr="00994CB8">
        <w:rPr>
          <w:lang w:val="es-MX"/>
        </w:rPr>
        <w:t>enido</w:t>
      </w:r>
      <w:r w:rsidRPr="00994CB8">
        <w:rPr>
          <w:lang w:val="es-MX"/>
        </w:rPr>
        <w:t xml:space="preserve"> otro</w:t>
      </w:r>
      <w:r w:rsidR="005C41CB" w:rsidRPr="00994CB8">
        <w:rPr>
          <w:lang w:val="es-MX"/>
        </w:rPr>
        <w:t>s</w:t>
      </w:r>
      <w:r w:rsidRPr="00994CB8">
        <w:rPr>
          <w:lang w:val="es-MX"/>
        </w:rPr>
        <w:t xml:space="preserve"> ingresos</w:t>
      </w:r>
      <w:r w:rsidR="00540418" w:rsidRPr="00994CB8">
        <w:rPr>
          <w:lang w:val="es-MX"/>
        </w:rPr>
        <w:t>.</w:t>
      </w:r>
    </w:p>
    <w:p w:rsidR="002C012E" w:rsidRPr="00994CB8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994CB8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994CB8">
        <w:rPr>
          <w:b/>
          <w:lang w:val="es-MX"/>
        </w:rPr>
        <w:t>Gastos y Otras Pérdidas:</w:t>
      </w:r>
    </w:p>
    <w:p w:rsidR="00DC1CA8" w:rsidRPr="00994CB8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Las cuentas de gasto </w:t>
      </w:r>
      <w:r w:rsidR="001D64A5" w:rsidRPr="00994CB8">
        <w:rPr>
          <w:lang w:val="es-MX"/>
        </w:rPr>
        <w:t>más</w:t>
      </w:r>
      <w:r w:rsidRPr="00994CB8">
        <w:rPr>
          <w:lang w:val="es-MX"/>
        </w:rPr>
        <w:t xml:space="preserve"> representativas son las siguientes:</w:t>
      </w:r>
    </w:p>
    <w:p w:rsidR="00DC1CA8" w:rsidRPr="00994CB8" w:rsidRDefault="000F4F8C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Se</w:t>
      </w:r>
      <w:r w:rsidR="007542C6">
        <w:rPr>
          <w:lang w:val="es-MX"/>
        </w:rPr>
        <w:t xml:space="preserve"> ha </w:t>
      </w:r>
      <w:r>
        <w:rPr>
          <w:lang w:val="es-MX"/>
        </w:rPr>
        <w:t>destina</w:t>
      </w:r>
      <w:r w:rsidR="007542C6">
        <w:rPr>
          <w:lang w:val="es-MX"/>
        </w:rPr>
        <w:t>do</w:t>
      </w:r>
      <w:r>
        <w:rPr>
          <w:lang w:val="es-MX"/>
        </w:rPr>
        <w:t xml:space="preserve"> el </w:t>
      </w:r>
      <w:r w:rsidR="007542C6">
        <w:rPr>
          <w:lang w:val="es-MX"/>
        </w:rPr>
        <w:t>81</w:t>
      </w:r>
      <w:r w:rsidR="0061484D">
        <w:rPr>
          <w:lang w:val="es-MX"/>
        </w:rPr>
        <w:t>.27</w:t>
      </w:r>
      <w:r w:rsidR="00DC1CA8" w:rsidRPr="00994CB8">
        <w:rPr>
          <w:lang w:val="es-MX"/>
        </w:rPr>
        <w:t>% del recurso ejercido para el pago de remuneraciones al personal necesario para brindar atención en las diferentes unidades médicas que integran Salud de Tlaxcala.</w:t>
      </w:r>
    </w:p>
    <w:p w:rsidR="00DC1CA8" w:rsidRPr="00994CB8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El grupo 2500 Productos Químicos, Farmacéuticos y de Laboratorio es el principal gas</w:t>
      </w:r>
      <w:r w:rsidR="000F4F8C">
        <w:rPr>
          <w:lang w:val="es-MX"/>
        </w:rPr>
        <w:t>to que eroga la entidad en un 5</w:t>
      </w:r>
      <w:r w:rsidR="0061484D">
        <w:rPr>
          <w:lang w:val="es-MX"/>
        </w:rPr>
        <w:t>.98</w:t>
      </w:r>
      <w:r w:rsidRPr="00994CB8">
        <w:rPr>
          <w:lang w:val="es-MX"/>
        </w:rPr>
        <w:t>%</w:t>
      </w:r>
      <w:r w:rsidR="0061484D">
        <w:rPr>
          <w:lang w:val="es-MX"/>
        </w:rPr>
        <w:t xml:space="preserve"> durante este ejercicio</w:t>
      </w:r>
      <w:r w:rsidRPr="00994CB8">
        <w:rPr>
          <w:lang w:val="es-MX"/>
        </w:rPr>
        <w:t>, para dar cumplimiento a su razón de ser en la prestación de los servicios médicos a la población tlaxcalteca en general.</w:t>
      </w:r>
    </w:p>
    <w:p w:rsidR="00540418" w:rsidRPr="00994CB8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994CB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994CB8">
        <w:rPr>
          <w:b/>
          <w:smallCaps/>
        </w:rPr>
        <w:t>III)</w:t>
      </w:r>
      <w:r w:rsidRPr="00994CB8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994CB8">
        <w:rPr>
          <w:lang w:val="es-MX"/>
        </w:rPr>
        <w:t>1.</w:t>
      </w:r>
      <w:r w:rsidRPr="00994CB8">
        <w:rPr>
          <w:lang w:val="es-MX"/>
        </w:rPr>
        <w:tab/>
      </w:r>
      <w:r w:rsidR="001D64A5" w:rsidRPr="00994CB8">
        <w:rPr>
          <w:lang w:val="es-MX"/>
        </w:rPr>
        <w:t xml:space="preserve">Durante </w:t>
      </w:r>
      <w:r w:rsidR="008A0814" w:rsidRPr="00994CB8">
        <w:rPr>
          <w:lang w:val="es-MX"/>
        </w:rPr>
        <w:t xml:space="preserve">el ejercicio </w:t>
      </w:r>
      <w:r w:rsidR="005C41CB" w:rsidRPr="00994CB8">
        <w:rPr>
          <w:lang w:val="es-MX"/>
        </w:rPr>
        <w:t xml:space="preserve">se </w:t>
      </w:r>
      <w:r w:rsidR="00994CB8" w:rsidRPr="00994CB8">
        <w:rPr>
          <w:lang w:val="es-MX"/>
        </w:rPr>
        <w:t xml:space="preserve">realizó </w:t>
      </w:r>
      <w:r w:rsidR="005C41CB" w:rsidRPr="00994CB8">
        <w:rPr>
          <w:lang w:val="es-MX"/>
        </w:rPr>
        <w:t>la valuación de los Bienes Inmuebles que integran a Salud de Tlaxcala y de los cuales se</w:t>
      </w:r>
      <w:r w:rsidR="002C34A7" w:rsidRPr="00994CB8">
        <w:rPr>
          <w:lang w:val="es-MX"/>
        </w:rPr>
        <w:t xml:space="preserve"> </w:t>
      </w:r>
      <w:r w:rsidR="00994CB8" w:rsidRPr="00994CB8">
        <w:rPr>
          <w:lang w:val="es-MX"/>
        </w:rPr>
        <w:t xml:space="preserve">reconoció </w:t>
      </w:r>
      <w:r w:rsidR="005C41CB" w:rsidRPr="00994CB8">
        <w:rPr>
          <w:lang w:val="es-MX"/>
        </w:rPr>
        <w:t>el incremento del valor</w:t>
      </w:r>
      <w:r w:rsidRPr="00994CB8">
        <w:rPr>
          <w:lang w:val="es-MX"/>
        </w:rPr>
        <w:t xml:space="preserve">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5B7AE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6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61484D" w:rsidP="0061484D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1484D">
              <w:rPr>
                <w:szCs w:val="18"/>
                <w:lang w:val="es-MX"/>
              </w:rPr>
              <w:t>276,200,94</w:t>
            </w:r>
            <w:r>
              <w:rPr>
                <w:szCs w:val="18"/>
                <w:lang w:val="es-MX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B7AEF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C41CB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C41CB" w:rsidP="005C41C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61484D" w:rsidP="005C41C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1484D">
              <w:rPr>
                <w:szCs w:val="18"/>
                <w:lang w:val="es-MX"/>
              </w:rPr>
              <w:t>276,200,94</w:t>
            </w:r>
            <w:r>
              <w:rPr>
                <w:szCs w:val="18"/>
                <w:lang w:val="es-MX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B7AEF" w:rsidP="005C41C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B7AEF" w:rsidP="002B46F5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Durante el ejercicio 2017</w:t>
      </w:r>
      <w:r w:rsidR="000F34EC">
        <w:rPr>
          <w:lang w:val="es-MX"/>
        </w:rPr>
        <w:t xml:space="preserve"> se han adquirido </w:t>
      </w:r>
      <w:r w:rsidR="0076560D">
        <w:rPr>
          <w:lang w:val="es-MX"/>
        </w:rPr>
        <w:t xml:space="preserve">bienes </w:t>
      </w:r>
      <w:r w:rsidR="00540418" w:rsidRPr="00630DB0">
        <w:rPr>
          <w:lang w:val="es-MX"/>
        </w:rPr>
        <w:t>muebles</w:t>
      </w:r>
      <w:r w:rsidR="0076560D">
        <w:rPr>
          <w:lang w:val="es-MX"/>
        </w:rPr>
        <w:t xml:space="preserve"> por un monto de $ </w:t>
      </w:r>
      <w:r w:rsidR="002B46F5" w:rsidRPr="002B46F5">
        <w:rPr>
          <w:lang w:val="es-MX"/>
        </w:rPr>
        <w:t>54,884,934.85</w:t>
      </w: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Pr="00630DB0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540418" w:rsidP="002715B0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B849EE" w:rsidRPr="00630DB0" w:rsidRDefault="005044CA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lang w:val="es-MX" w:eastAsia="es-MX"/>
        </w:rPr>
        <w:object w:dxaOrig="1440" w:dyaOrig="1440">
          <v:shape id="_x0000_s1028" type="#_x0000_t75" style="position:absolute;left:0;text-align:left;margin-left:146.95pt;margin-top:19.35pt;width:436.15pt;height:387.75pt;z-index:251658240;mso-position-horizontal-relative:text;mso-position-vertical-relative:text">
            <v:imagedata r:id="rId24" o:title=""/>
            <w10:wrap type="topAndBottom"/>
          </v:shape>
          <o:OLEObject Type="Embed" ProgID="Excel.Sheet.12" ShapeID="_x0000_s1028" DrawAspect="Content" ObjectID="_1561310517" r:id="rId25"/>
        </w:object>
      </w:r>
      <w:r w:rsidR="00C51D4D">
        <w:rPr>
          <w:b/>
          <w:smallCaps/>
          <w:szCs w:val="18"/>
          <w:lang w:val="es-MX"/>
        </w:rPr>
        <w:t xml:space="preserve"> </w:t>
      </w:r>
    </w:p>
    <w:p w:rsidR="0076560D" w:rsidRDefault="005044C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122.25pt;margin-top:36.25pt;width:435.5pt;height:431.15pt;z-index:251660288">
            <v:imagedata r:id="rId26" o:title=""/>
            <w10:wrap type="topAndBottom"/>
          </v:shape>
          <o:OLEObject Type="Embed" ProgID="Excel.Sheet.12" ShapeID="_x0000_s1030" DrawAspect="Content" ObjectID="_1561310518" r:id="rId27"/>
        </w:object>
      </w:r>
    </w:p>
    <w:p w:rsidR="0076560D" w:rsidRDefault="0076560D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A03B3" w:rsidRDefault="00BA03B3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AA12E4" w:rsidRDefault="00AA12E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>
        <w:rPr>
          <w:szCs w:val="18"/>
          <w:lang w:val="es-MX"/>
        </w:rPr>
        <w:t xml:space="preserve"> contables las cuales tienen los siguientes saldos:</w:t>
      </w:r>
    </w:p>
    <w:p w:rsidR="008043B4" w:rsidRDefault="008043B4" w:rsidP="00624EFC">
      <w:pPr>
        <w:pStyle w:val="Texto"/>
        <w:spacing w:after="0" w:line="240" w:lineRule="exact"/>
        <w:ind w:left="288" w:firstLine="0"/>
        <w:rPr>
          <w:szCs w:val="18"/>
          <w:lang w:val="es-MX"/>
        </w:rPr>
      </w:pPr>
      <w:r>
        <w:rPr>
          <w:lang w:val="es-MX"/>
        </w:rPr>
        <w:t xml:space="preserve">El valor del Almacén </w:t>
      </w:r>
      <w:r w:rsidRPr="00630DB0">
        <w:rPr>
          <w:lang w:val="es-MX"/>
        </w:rPr>
        <w:t>se encuentra valuad</w:t>
      </w:r>
      <w:r>
        <w:rPr>
          <w:lang w:val="es-MX"/>
        </w:rPr>
        <w:t>o</w:t>
      </w:r>
      <w:r w:rsidRPr="00630DB0">
        <w:rPr>
          <w:lang w:val="es-MX"/>
        </w:rPr>
        <w:t xml:space="preserve"> a </w:t>
      </w:r>
      <w:r w:rsidR="005B7AEF">
        <w:rPr>
          <w:lang w:val="es-MX"/>
        </w:rPr>
        <w:t>primeras entradas-primeras salidas,</w:t>
      </w:r>
      <w:r w:rsidRPr="00630DB0">
        <w:rPr>
          <w:lang w:val="es-MX"/>
        </w:rPr>
        <w:t xml:space="preserve"> y </w:t>
      </w:r>
      <w:r w:rsidR="005B7AEF">
        <w:rPr>
          <w:lang w:val="es-MX"/>
        </w:rPr>
        <w:t xml:space="preserve">esta evaluado a </w:t>
      </w:r>
      <w:r w:rsidR="002A29FA">
        <w:rPr>
          <w:lang w:val="es-MX"/>
        </w:rPr>
        <w:t>junio de</w:t>
      </w:r>
      <w:r w:rsidR="005B7AEF">
        <w:rPr>
          <w:lang w:val="es-MX"/>
        </w:rPr>
        <w:t xml:space="preserve"> 201</w:t>
      </w:r>
      <w:r w:rsidR="002A29FA">
        <w:rPr>
          <w:lang w:val="es-MX"/>
        </w:rPr>
        <w:t>7</w:t>
      </w:r>
      <w:r w:rsidRPr="00630DB0">
        <w:rPr>
          <w:lang w:val="es-MX"/>
        </w:rPr>
        <w:t>.</w:t>
      </w: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0"/>
        <w:gridCol w:w="1420"/>
      </w:tblGrid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DE MATERIALES DE CONSUMO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043B4" w:rsidRPr="008043B4" w:rsidTr="008043B4">
        <w:trPr>
          <w:trHeight w:val="292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2B46F5" w:rsidP="008C4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4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5,000,871.91</w:t>
            </w:r>
          </w:p>
        </w:tc>
      </w:tr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QUIMICOS, FARMACEUTICOS Y DE LABORATORIO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2A29FA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281,551,072.08</w:t>
            </w:r>
          </w:p>
        </w:tc>
      </w:tr>
      <w:tr w:rsidR="008043B4" w:rsidRPr="008043B4" w:rsidTr="008043B4">
        <w:trPr>
          <w:trHeight w:val="257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PROTECCION Y ARTICULOS DEPORTIVOS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2A29FA" w:rsidP="002A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8C4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8C4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p w:rsidR="008043B4" w:rsidRDefault="008043B4" w:rsidP="004354AD">
      <w:pPr>
        <w:pStyle w:val="Texto"/>
        <w:spacing w:after="0" w:line="240" w:lineRule="exact"/>
        <w:rPr>
          <w:szCs w:val="18"/>
          <w:lang w:val="es-MX"/>
        </w:rPr>
      </w:pPr>
    </w:p>
    <w:p w:rsidR="00733E22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 w:rsidR="00733E22"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 w:rsidR="00733E22">
        <w:rPr>
          <w:szCs w:val="18"/>
          <w:lang w:val="es-MX"/>
        </w:rPr>
        <w:t xml:space="preserve"> presupuestarias</w:t>
      </w:r>
      <w:r w:rsidR="00CC30F0">
        <w:rPr>
          <w:szCs w:val="18"/>
          <w:lang w:val="es-MX"/>
        </w:rPr>
        <w:t xml:space="preserve"> que se enlistan a continuación</w:t>
      </w:r>
      <w:r w:rsidR="00733E22">
        <w:rPr>
          <w:szCs w:val="18"/>
          <w:lang w:val="es-MX"/>
        </w:rPr>
        <w:t>:</w:t>
      </w:r>
    </w:p>
    <w:p w:rsidR="00733E22" w:rsidRDefault="00733E22" w:rsidP="004354AD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6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1"/>
      </w:tblGrid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ESTIMADA [LEY DE INGRESOS ESTIMADA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 [LEY DE INGRESOS POR EJECUTAR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DEVENGADA [LEY DE INGRESOS DEVENGADA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RECAUDADA [LEY DE INGRESOS RECAUDADA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</w:tr>
    </w:tbl>
    <w:p w:rsidR="00540418" w:rsidRPr="00630DB0" w:rsidRDefault="00540418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Pr="00630DB0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7347F2" w:rsidRPr="00630DB0" w:rsidRDefault="007347F2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</w:t>
      </w:r>
      <w:r w:rsidR="008C45D9">
        <w:rPr>
          <w:szCs w:val="18"/>
        </w:rPr>
        <w:t>7</w:t>
      </w:r>
      <w:r w:rsidRPr="00630DB0">
        <w:rPr>
          <w:szCs w:val="18"/>
        </w:rPr>
        <w:t>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</w:t>
      </w:r>
      <w:r w:rsidR="008C45D9" w:rsidRPr="00630DB0">
        <w:rPr>
          <w:szCs w:val="18"/>
        </w:rPr>
        <w:t>Organismo P</w:t>
      </w:r>
      <w:r w:rsidR="008C45D9">
        <w:rPr>
          <w:szCs w:val="18"/>
        </w:rPr>
        <w:t>ú</w:t>
      </w:r>
      <w:r w:rsidR="008C45D9" w:rsidRPr="00630DB0">
        <w:rPr>
          <w:szCs w:val="18"/>
        </w:rPr>
        <w:t>blic</w:t>
      </w:r>
      <w:r w:rsidR="008C45D9">
        <w:rPr>
          <w:szCs w:val="18"/>
        </w:rPr>
        <w:t>o</w:t>
      </w:r>
      <w:r w:rsidR="008C45D9" w:rsidRPr="00630DB0">
        <w:rPr>
          <w:szCs w:val="18"/>
        </w:rPr>
        <w:t xml:space="preserve"> Descentralizado </w:t>
      </w:r>
      <w:r w:rsidRPr="00630DB0">
        <w:rPr>
          <w:szCs w:val="18"/>
        </w:rPr>
        <w:t>del G</w:t>
      </w:r>
      <w:r w:rsidR="008C45D9">
        <w:rPr>
          <w:szCs w:val="18"/>
        </w:rPr>
        <w:t>obierno del Estado de Tlaxcala.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2A29FA" w:rsidP="00C213C4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07896DA4" wp14:editId="3E3FE693">
            <wp:simplePos x="0" y="0"/>
            <wp:positionH relativeFrom="column">
              <wp:posOffset>521335</wp:posOffset>
            </wp:positionH>
            <wp:positionV relativeFrom="paragraph">
              <wp:posOffset>247015</wp:posOffset>
            </wp:positionV>
            <wp:extent cx="7699834" cy="468000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ueba 3_Org propuesto completo_FINAL 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834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316A81" w:rsidRDefault="00316A81" w:rsidP="003A0303">
      <w:pPr>
        <w:pStyle w:val="INCISO"/>
        <w:spacing w:after="0" w:line="240" w:lineRule="exact"/>
      </w:pP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155D2E">
        <w:t xml:space="preserve">El valor de los bienes muebles </w:t>
      </w:r>
      <w:r w:rsidR="006E72A4">
        <w:t xml:space="preserve">del ejercicio 2015 y anteriores </w:t>
      </w:r>
      <w:r w:rsidR="004A4D4D" w:rsidRPr="00630DB0">
        <w:t>se encuentra</w:t>
      </w:r>
      <w:r w:rsidR="006E72A4">
        <w:t xml:space="preserve">n conforme </w:t>
      </w:r>
      <w:r w:rsidR="001768FA">
        <w:t>al valor asignado por valuación</w:t>
      </w:r>
      <w:r w:rsidR="00155D2E">
        <w:t>,</w:t>
      </w:r>
      <w:r w:rsidR="006E72A4">
        <w:t xml:space="preserve"> los adquiridos en el ejercicio 2016</w:t>
      </w:r>
      <w:r w:rsidR="008C45D9">
        <w:t xml:space="preserve"> y 2017</w:t>
      </w:r>
      <w:r w:rsidR="006E72A4">
        <w:t xml:space="preserve"> </w:t>
      </w:r>
      <w:r w:rsidR="004A4D4D" w:rsidRPr="00630DB0">
        <w:t>a valor histórico</w:t>
      </w:r>
      <w:r w:rsidR="00155D2E">
        <w:t>; el valor de los edificios no habitacionales se encuentra valuado al 30 de junio de 2016 y las obras que se concluyan después de esta fecha serán reconocidas al valor de construcción.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6E72A4">
        <w:t xml:space="preserve"> de materiales</w:t>
      </w:r>
      <w:r w:rsidR="004A4D4D" w:rsidRPr="00630DB0">
        <w:t xml:space="preserve"> es </w:t>
      </w:r>
      <w:r w:rsidR="00155D2E">
        <w:t>primeras entradas primeras salidas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 xml:space="preserve">Los beneficios a empleados corresponden al contrato colectivo de trabajo que tienen celebrado la </w:t>
      </w:r>
      <w:r w:rsidR="006E72A4">
        <w:t>Secretarí</w:t>
      </w:r>
      <w:r w:rsidR="006E72A4" w:rsidRPr="00630DB0">
        <w:t xml:space="preserve">a </w:t>
      </w:r>
      <w:r w:rsidR="004A4D4D" w:rsidRPr="00630DB0">
        <w:t>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AB16A0">
        <w:t xml:space="preserve">No se tiene </w:t>
      </w:r>
      <w:r w:rsidR="00994CB8">
        <w:t xml:space="preserve">registrado una </w:t>
      </w:r>
      <w:r w:rsidR="00994CB8" w:rsidRPr="00994CB8">
        <w:t>p</w:t>
      </w:r>
      <w:r w:rsidR="00994CB8">
        <w:t>rovisión</w:t>
      </w:r>
      <w:r w:rsidR="008059CC" w:rsidRPr="00994CB8">
        <w:t xml:space="preserve"> </w:t>
      </w:r>
      <w:r w:rsidR="00994CB8">
        <w:t>para pasivos laborales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</w:t>
      </w:r>
      <w:r w:rsidR="006E72A4">
        <w:t>en los</w:t>
      </w:r>
      <w:r w:rsidR="008059CC" w:rsidRPr="00630DB0">
        <w:t xml:space="preserve"> ejercicio</w:t>
      </w:r>
      <w:r w:rsidR="006E72A4">
        <w:t>s</w:t>
      </w:r>
      <w:r w:rsidR="008059CC" w:rsidRPr="00630DB0">
        <w:t xml:space="preserve"> </w:t>
      </w:r>
      <w:r w:rsidR="008C45D9">
        <w:t>2017</w:t>
      </w:r>
      <w:r w:rsidR="008059CC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994CB8">
        <w:t xml:space="preserve">Durante el ejercicio se </w:t>
      </w:r>
      <w:r w:rsidR="00994CB8" w:rsidRPr="00994CB8">
        <w:t xml:space="preserve">está efectuando la </w:t>
      </w:r>
      <w:r w:rsidR="001366B8" w:rsidRPr="00994CB8">
        <w:t>d</w:t>
      </w:r>
      <w:r w:rsidRPr="00994CB8">
        <w:t>epuración y cancelación de saldos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8C45D9">
        <w:t>7</w:t>
      </w:r>
      <w:r w:rsidR="00390AEF">
        <w:t xml:space="preserve"> </w:t>
      </w:r>
      <w:r w:rsidR="00C84EC1" w:rsidRPr="00630DB0">
        <w:t>no se</w:t>
      </w:r>
      <w:r w:rsidR="007347F2">
        <w:t xml:space="preserve"> han</w:t>
      </w:r>
      <w:r w:rsidR="00C84EC1" w:rsidRPr="00630DB0">
        <w:t xml:space="preserve"> realiza</w:t>
      </w:r>
      <w:r w:rsidR="008C45D9">
        <w:t>d</w:t>
      </w:r>
      <w:r w:rsidR="00C84EC1" w:rsidRPr="00630DB0">
        <w:t>o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7347F2">
        <w:t>No se han realizado</w:t>
      </w:r>
      <w:r w:rsidR="00C84EC1" w:rsidRPr="00630DB0">
        <w:t xml:space="preserve"> 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 xml:space="preserve">No se </w:t>
      </w:r>
      <w:r w:rsidR="007347F2">
        <w:t xml:space="preserve">han </w:t>
      </w:r>
      <w:r w:rsidR="00390AEF">
        <w:t>t</w:t>
      </w:r>
      <w:r w:rsidR="007347F2">
        <w:t>enido</w:t>
      </w:r>
      <w:r w:rsidR="00C84EC1" w:rsidRPr="00630DB0">
        <w:t xml:space="preserve"> </w:t>
      </w:r>
      <w:r w:rsidRPr="00630DB0">
        <w:t>circunstancias de carácter significativo que afect</w:t>
      </w:r>
      <w:r w:rsidR="007347F2">
        <w:t>en</w:t>
      </w:r>
      <w:r w:rsidR="00C84EC1" w:rsidRPr="00630DB0">
        <w:t xml:space="preserve"> al </w:t>
      </w:r>
      <w:r w:rsidRPr="00630DB0">
        <w:t>activo</w:t>
      </w:r>
      <w:r w:rsidR="00C84EC1" w:rsidRPr="00630DB0">
        <w:t xml:space="preserve"> durante el ejercicio 201</w:t>
      </w:r>
      <w:r w:rsidR="007347F2">
        <w:t>6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r w:rsidR="00155D2E" w:rsidRPr="00630DB0">
        <w:t>a cabo</w:t>
      </w:r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7347F2" w:rsidRPr="00630DB0" w:rsidRDefault="007347F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7347F2" w:rsidRPr="00994CB8">
        <w:t>Durante el presente ejercicio la recaudación de los ingresos se realiza a través de la Secretaría de Planeación y Finanzas</w:t>
      </w:r>
      <w:r w:rsidRPr="00994CB8">
        <w:t>.</w:t>
      </w:r>
    </w:p>
    <w:p w:rsidR="00AC7C83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994CB8" w:rsidRDefault="00540418" w:rsidP="00540418">
      <w:pPr>
        <w:pStyle w:val="Texto"/>
        <w:spacing w:after="0" w:line="240" w:lineRule="exact"/>
        <w:rPr>
          <w:szCs w:val="18"/>
        </w:rPr>
      </w:pPr>
      <w:r w:rsidRPr="00994CB8">
        <w:rPr>
          <w:szCs w:val="18"/>
        </w:rPr>
        <w:t>Se informará de:</w:t>
      </w:r>
    </w:p>
    <w:p w:rsidR="00540418" w:rsidRPr="00994CB8" w:rsidRDefault="00540418" w:rsidP="00540418">
      <w:pPr>
        <w:pStyle w:val="INCISO"/>
        <w:spacing w:after="0" w:line="240" w:lineRule="exact"/>
      </w:pPr>
      <w:r w:rsidRPr="00994CB8">
        <w:t>a)</w:t>
      </w:r>
      <w:r w:rsidRPr="00994CB8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994CB8">
        <w:t>b)</w:t>
      </w:r>
      <w:r w:rsidRPr="00994CB8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Default="006B03C7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informacion que se presenta concentra las actividades y operaciones que realiza OPD Salud de Tlaxcala.</w:t>
      </w:r>
    </w:p>
    <w:p w:rsidR="00994CB8" w:rsidRPr="00630DB0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994CB8">
        <w:rPr>
          <w:szCs w:val="18"/>
        </w:rPr>
        <w:t>El ente público</w:t>
      </w:r>
      <w:r w:rsidR="007F3979" w:rsidRPr="00994CB8">
        <w:rPr>
          <w:szCs w:val="18"/>
        </w:rPr>
        <w:t xml:space="preserve"> en su momento</w:t>
      </w:r>
      <w:r w:rsidRPr="00994CB8">
        <w:rPr>
          <w:szCs w:val="18"/>
        </w:rPr>
        <w:t xml:space="preserve"> informará el efecto en sus </w:t>
      </w:r>
      <w:r w:rsidR="008C45D9" w:rsidRPr="00994CB8">
        <w:rPr>
          <w:szCs w:val="18"/>
        </w:rPr>
        <w:t xml:space="preserve">Estados Financieros </w:t>
      </w:r>
      <w:r w:rsidRPr="00994CB8">
        <w:rPr>
          <w:szCs w:val="18"/>
        </w:rPr>
        <w:t>de aquellos hechos ocurridos en el período posterior al que informa, que proporcionan mayor evidencia sobre eventos que le afectan económicamente y que no se conocían a la fecha de cierre.</w:t>
      </w:r>
    </w:p>
    <w:p w:rsidR="00054F1E" w:rsidRPr="00630DB0" w:rsidRDefault="00054F1E" w:rsidP="007F3979">
      <w:pPr>
        <w:pStyle w:val="Texto"/>
        <w:spacing w:after="0" w:line="240" w:lineRule="exact"/>
        <w:ind w:left="708"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7347F2" w:rsidRPr="00630DB0" w:rsidRDefault="007347F2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5033"/>
        <w:gridCol w:w="2379"/>
        <w:gridCol w:w="4893"/>
        <w:gridCol w:w="551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F6519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</w:t>
            </w:r>
            <w:r w:rsidR="00F6519D">
              <w:rPr>
                <w:szCs w:val="18"/>
              </w:rPr>
              <w:t xml:space="preserve">lberto </w:t>
            </w:r>
            <w:proofErr w:type="spellStart"/>
            <w:r w:rsidR="00F6519D">
              <w:rPr>
                <w:szCs w:val="18"/>
              </w:rPr>
              <w:t>Jonguitud</w:t>
            </w:r>
            <w:proofErr w:type="spellEnd"/>
            <w:r w:rsidR="00F6519D">
              <w:rPr>
                <w:szCs w:val="18"/>
              </w:rPr>
              <w:t xml:space="preserve"> </w:t>
            </w:r>
            <w:proofErr w:type="spellStart"/>
            <w:r w:rsidR="00F6519D">
              <w:rPr>
                <w:szCs w:val="18"/>
              </w:rPr>
              <w:t>Falcon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F6519D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L.A.E. Mario Hernández Ramírez</w:t>
            </w:r>
            <w:r w:rsidR="00B220A3">
              <w:rPr>
                <w:szCs w:val="18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A840B7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</w:t>
            </w:r>
            <w:r w:rsidR="00A840B7">
              <w:rPr>
                <w:szCs w:val="18"/>
              </w:rPr>
              <w:t xml:space="preserve"> </w:t>
            </w:r>
            <w:r w:rsidRPr="00630DB0">
              <w:rPr>
                <w:szCs w:val="18"/>
              </w:rPr>
              <w:t>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130D1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130D1" w:rsidRDefault="00001107" w:rsidP="00540418">
      <w:pPr>
        <w:pStyle w:val="Texto"/>
        <w:spacing w:after="0" w:line="240" w:lineRule="exact"/>
        <w:rPr>
          <w:szCs w:val="18"/>
          <w:lang w:val="es-MX"/>
        </w:rPr>
      </w:pPr>
    </w:p>
    <w:sectPr w:rsidR="00001107" w:rsidRPr="006130D1" w:rsidSect="00083F2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CA" w:rsidRDefault="005044CA" w:rsidP="00EA5418">
      <w:pPr>
        <w:spacing w:after="0" w:line="240" w:lineRule="auto"/>
      </w:pPr>
      <w:r>
        <w:separator/>
      </w:r>
    </w:p>
  </w:endnote>
  <w:endnote w:type="continuationSeparator" w:id="0">
    <w:p w:rsidR="005044CA" w:rsidRDefault="00504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F6FEF" w:rsidRPr="009F6FEF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C26AA" w:rsidRDefault="001C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8E3652" w:rsidRDefault="001C26A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F6FEF" w:rsidRPr="009F6FEF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CA" w:rsidRDefault="005044CA" w:rsidP="00EA5418">
      <w:pPr>
        <w:spacing w:after="0" w:line="240" w:lineRule="auto"/>
      </w:pPr>
      <w:r>
        <w:separator/>
      </w:r>
    </w:p>
  </w:footnote>
  <w:footnote w:type="continuationSeparator" w:id="0">
    <w:p w:rsidR="005044CA" w:rsidRDefault="00504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Default="001C26A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6AA" w:rsidRDefault="001C2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C26AA" w:rsidRDefault="001C2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C26AA" w:rsidRPr="00275FC6" w:rsidRDefault="001C26A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7A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C26AA" w:rsidRPr="00275FC6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C26AA" w:rsidRDefault="001C2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C26AA" w:rsidRDefault="001C2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C26AA" w:rsidRPr="00275FC6" w:rsidRDefault="001C26A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7A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C26AA" w:rsidRPr="00275FC6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6275"/>
    <w:rsid w:val="0002764A"/>
    <w:rsid w:val="00033B87"/>
    <w:rsid w:val="00033FA2"/>
    <w:rsid w:val="00034DE7"/>
    <w:rsid w:val="00040466"/>
    <w:rsid w:val="00041D47"/>
    <w:rsid w:val="00045A10"/>
    <w:rsid w:val="00047568"/>
    <w:rsid w:val="00051D68"/>
    <w:rsid w:val="00054F1E"/>
    <w:rsid w:val="00057368"/>
    <w:rsid w:val="00060117"/>
    <w:rsid w:val="00083F22"/>
    <w:rsid w:val="000B1720"/>
    <w:rsid w:val="000B6C7A"/>
    <w:rsid w:val="000C2891"/>
    <w:rsid w:val="000D1497"/>
    <w:rsid w:val="000D5AE3"/>
    <w:rsid w:val="000E0F57"/>
    <w:rsid w:val="000E6587"/>
    <w:rsid w:val="000F34EC"/>
    <w:rsid w:val="000F4F8C"/>
    <w:rsid w:val="00100132"/>
    <w:rsid w:val="00114A66"/>
    <w:rsid w:val="0013011C"/>
    <w:rsid w:val="00134A99"/>
    <w:rsid w:val="001366B8"/>
    <w:rsid w:val="00144A4C"/>
    <w:rsid w:val="0015416F"/>
    <w:rsid w:val="00155609"/>
    <w:rsid w:val="00155D2E"/>
    <w:rsid w:val="00165BB4"/>
    <w:rsid w:val="00170684"/>
    <w:rsid w:val="00170C1D"/>
    <w:rsid w:val="001768FA"/>
    <w:rsid w:val="00182889"/>
    <w:rsid w:val="001A3EB2"/>
    <w:rsid w:val="001A3FF6"/>
    <w:rsid w:val="001A7781"/>
    <w:rsid w:val="001B1B72"/>
    <w:rsid w:val="001B3610"/>
    <w:rsid w:val="001C26AA"/>
    <w:rsid w:val="001C2DEA"/>
    <w:rsid w:val="001C45A6"/>
    <w:rsid w:val="001C6FD8"/>
    <w:rsid w:val="001D64A5"/>
    <w:rsid w:val="001E5882"/>
    <w:rsid w:val="001E7072"/>
    <w:rsid w:val="001F011A"/>
    <w:rsid w:val="00204C86"/>
    <w:rsid w:val="00213DCE"/>
    <w:rsid w:val="00214D3F"/>
    <w:rsid w:val="00242DC8"/>
    <w:rsid w:val="00247E6C"/>
    <w:rsid w:val="00264426"/>
    <w:rsid w:val="002715B0"/>
    <w:rsid w:val="0027528C"/>
    <w:rsid w:val="002872EC"/>
    <w:rsid w:val="00290B13"/>
    <w:rsid w:val="002A29FA"/>
    <w:rsid w:val="002A70B3"/>
    <w:rsid w:val="002B33FC"/>
    <w:rsid w:val="002B46F5"/>
    <w:rsid w:val="002B7D2E"/>
    <w:rsid w:val="002C012E"/>
    <w:rsid w:val="002C34A7"/>
    <w:rsid w:val="002D1811"/>
    <w:rsid w:val="002D1E17"/>
    <w:rsid w:val="002D6D41"/>
    <w:rsid w:val="002F4067"/>
    <w:rsid w:val="003018C5"/>
    <w:rsid w:val="003044E6"/>
    <w:rsid w:val="003105A5"/>
    <w:rsid w:val="003150CC"/>
    <w:rsid w:val="00316A81"/>
    <w:rsid w:val="003206ED"/>
    <w:rsid w:val="00327241"/>
    <w:rsid w:val="00367C3F"/>
    <w:rsid w:val="00372F40"/>
    <w:rsid w:val="00383209"/>
    <w:rsid w:val="00390AEF"/>
    <w:rsid w:val="00396C2B"/>
    <w:rsid w:val="003A0303"/>
    <w:rsid w:val="003B2EB5"/>
    <w:rsid w:val="003D08C0"/>
    <w:rsid w:val="003D0B51"/>
    <w:rsid w:val="003D5DBF"/>
    <w:rsid w:val="003E5CD4"/>
    <w:rsid w:val="003E7FD0"/>
    <w:rsid w:val="003F0EA4"/>
    <w:rsid w:val="003F4D7A"/>
    <w:rsid w:val="0040666E"/>
    <w:rsid w:val="00421166"/>
    <w:rsid w:val="0042374F"/>
    <w:rsid w:val="004311BE"/>
    <w:rsid w:val="004354AD"/>
    <w:rsid w:val="00441F6E"/>
    <w:rsid w:val="0044253C"/>
    <w:rsid w:val="004572C7"/>
    <w:rsid w:val="0045752B"/>
    <w:rsid w:val="00463C34"/>
    <w:rsid w:val="004714CF"/>
    <w:rsid w:val="004768A2"/>
    <w:rsid w:val="00481922"/>
    <w:rsid w:val="00484C0D"/>
    <w:rsid w:val="00491B3D"/>
    <w:rsid w:val="00493D6A"/>
    <w:rsid w:val="00497D8B"/>
    <w:rsid w:val="004A4D4D"/>
    <w:rsid w:val="004B1F59"/>
    <w:rsid w:val="004B785F"/>
    <w:rsid w:val="004C322C"/>
    <w:rsid w:val="004D2257"/>
    <w:rsid w:val="004D41B8"/>
    <w:rsid w:val="004D4B95"/>
    <w:rsid w:val="004E0C52"/>
    <w:rsid w:val="004E271E"/>
    <w:rsid w:val="004E68A3"/>
    <w:rsid w:val="004F182E"/>
    <w:rsid w:val="004F5641"/>
    <w:rsid w:val="0050065A"/>
    <w:rsid w:val="005044CA"/>
    <w:rsid w:val="00511376"/>
    <w:rsid w:val="0051734E"/>
    <w:rsid w:val="00522632"/>
    <w:rsid w:val="00522EF3"/>
    <w:rsid w:val="00540418"/>
    <w:rsid w:val="00542E8C"/>
    <w:rsid w:val="005430E9"/>
    <w:rsid w:val="00543729"/>
    <w:rsid w:val="00562914"/>
    <w:rsid w:val="00574266"/>
    <w:rsid w:val="00582401"/>
    <w:rsid w:val="005844D0"/>
    <w:rsid w:val="0059131E"/>
    <w:rsid w:val="005A2DD6"/>
    <w:rsid w:val="005B7AEF"/>
    <w:rsid w:val="005C08E2"/>
    <w:rsid w:val="005C41CB"/>
    <w:rsid w:val="005D15F7"/>
    <w:rsid w:val="005D3D25"/>
    <w:rsid w:val="005D40ED"/>
    <w:rsid w:val="005E4A89"/>
    <w:rsid w:val="005F6CB5"/>
    <w:rsid w:val="00610A05"/>
    <w:rsid w:val="00612580"/>
    <w:rsid w:val="006130D1"/>
    <w:rsid w:val="006132C4"/>
    <w:rsid w:val="0061484D"/>
    <w:rsid w:val="006227B7"/>
    <w:rsid w:val="00624EFC"/>
    <w:rsid w:val="00630DB0"/>
    <w:rsid w:val="00654661"/>
    <w:rsid w:val="00656FCB"/>
    <w:rsid w:val="0066637B"/>
    <w:rsid w:val="0066705D"/>
    <w:rsid w:val="00670C07"/>
    <w:rsid w:val="00673328"/>
    <w:rsid w:val="00681BC1"/>
    <w:rsid w:val="006838BE"/>
    <w:rsid w:val="006A49E2"/>
    <w:rsid w:val="006B00A8"/>
    <w:rsid w:val="006B03C7"/>
    <w:rsid w:val="006B1FE7"/>
    <w:rsid w:val="006C0AA4"/>
    <w:rsid w:val="006D3565"/>
    <w:rsid w:val="006D75EB"/>
    <w:rsid w:val="006E3C41"/>
    <w:rsid w:val="006E72A4"/>
    <w:rsid w:val="006E77DD"/>
    <w:rsid w:val="006F0AF4"/>
    <w:rsid w:val="00704EA3"/>
    <w:rsid w:val="007060EC"/>
    <w:rsid w:val="0071021A"/>
    <w:rsid w:val="00710A7E"/>
    <w:rsid w:val="00717EA0"/>
    <w:rsid w:val="00720615"/>
    <w:rsid w:val="007235DA"/>
    <w:rsid w:val="007325AB"/>
    <w:rsid w:val="00733E22"/>
    <w:rsid w:val="007347F2"/>
    <w:rsid w:val="007542C6"/>
    <w:rsid w:val="0075444D"/>
    <w:rsid w:val="0076560D"/>
    <w:rsid w:val="0079582C"/>
    <w:rsid w:val="007A13E7"/>
    <w:rsid w:val="007A2301"/>
    <w:rsid w:val="007A508F"/>
    <w:rsid w:val="007A604A"/>
    <w:rsid w:val="007B4A9C"/>
    <w:rsid w:val="007B55B7"/>
    <w:rsid w:val="007C2F9B"/>
    <w:rsid w:val="007C410F"/>
    <w:rsid w:val="007D1988"/>
    <w:rsid w:val="007D4CEC"/>
    <w:rsid w:val="007D6E9A"/>
    <w:rsid w:val="007E0EC3"/>
    <w:rsid w:val="007F1239"/>
    <w:rsid w:val="007F13E6"/>
    <w:rsid w:val="007F3979"/>
    <w:rsid w:val="008043B4"/>
    <w:rsid w:val="008059CC"/>
    <w:rsid w:val="00806176"/>
    <w:rsid w:val="00806660"/>
    <w:rsid w:val="00811DAC"/>
    <w:rsid w:val="0081687D"/>
    <w:rsid w:val="00823529"/>
    <w:rsid w:val="00830F2E"/>
    <w:rsid w:val="008546A7"/>
    <w:rsid w:val="00857F54"/>
    <w:rsid w:val="00864C77"/>
    <w:rsid w:val="00875B22"/>
    <w:rsid w:val="00885043"/>
    <w:rsid w:val="00886D08"/>
    <w:rsid w:val="0089054E"/>
    <w:rsid w:val="008A0814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27FC"/>
    <w:rsid w:val="008C45D9"/>
    <w:rsid w:val="008C68CC"/>
    <w:rsid w:val="008E3652"/>
    <w:rsid w:val="008F6D58"/>
    <w:rsid w:val="009036B9"/>
    <w:rsid w:val="00907F5D"/>
    <w:rsid w:val="00914DAC"/>
    <w:rsid w:val="009279F5"/>
    <w:rsid w:val="00927A9F"/>
    <w:rsid w:val="0093492C"/>
    <w:rsid w:val="00935557"/>
    <w:rsid w:val="00954487"/>
    <w:rsid w:val="009550C9"/>
    <w:rsid w:val="00957043"/>
    <w:rsid w:val="00966BB7"/>
    <w:rsid w:val="0098098D"/>
    <w:rsid w:val="00994CB8"/>
    <w:rsid w:val="009A5962"/>
    <w:rsid w:val="009B20BA"/>
    <w:rsid w:val="009B62EA"/>
    <w:rsid w:val="009C3049"/>
    <w:rsid w:val="009C4223"/>
    <w:rsid w:val="009C573E"/>
    <w:rsid w:val="009D5D4C"/>
    <w:rsid w:val="009F23C4"/>
    <w:rsid w:val="009F366B"/>
    <w:rsid w:val="009F6FEF"/>
    <w:rsid w:val="00A07367"/>
    <w:rsid w:val="00A07D5D"/>
    <w:rsid w:val="00A124AC"/>
    <w:rsid w:val="00A21F50"/>
    <w:rsid w:val="00A234CB"/>
    <w:rsid w:val="00A32225"/>
    <w:rsid w:val="00A330BA"/>
    <w:rsid w:val="00A363B6"/>
    <w:rsid w:val="00A46BF5"/>
    <w:rsid w:val="00A57FFE"/>
    <w:rsid w:val="00A81353"/>
    <w:rsid w:val="00A840B7"/>
    <w:rsid w:val="00A85CF9"/>
    <w:rsid w:val="00A9067D"/>
    <w:rsid w:val="00AA12E4"/>
    <w:rsid w:val="00AA49DC"/>
    <w:rsid w:val="00AB16A0"/>
    <w:rsid w:val="00AC7C83"/>
    <w:rsid w:val="00AD2835"/>
    <w:rsid w:val="00AD6135"/>
    <w:rsid w:val="00AE41E6"/>
    <w:rsid w:val="00B11341"/>
    <w:rsid w:val="00B146E2"/>
    <w:rsid w:val="00B16510"/>
    <w:rsid w:val="00B17922"/>
    <w:rsid w:val="00B218CC"/>
    <w:rsid w:val="00B220A3"/>
    <w:rsid w:val="00B26D48"/>
    <w:rsid w:val="00B275E6"/>
    <w:rsid w:val="00B27ACE"/>
    <w:rsid w:val="00B44853"/>
    <w:rsid w:val="00B4579C"/>
    <w:rsid w:val="00B54E5A"/>
    <w:rsid w:val="00B83454"/>
    <w:rsid w:val="00B849EE"/>
    <w:rsid w:val="00B84D02"/>
    <w:rsid w:val="00B85CCE"/>
    <w:rsid w:val="00B96A94"/>
    <w:rsid w:val="00B96CFE"/>
    <w:rsid w:val="00BA03B3"/>
    <w:rsid w:val="00BA2940"/>
    <w:rsid w:val="00BA2F86"/>
    <w:rsid w:val="00BA7C84"/>
    <w:rsid w:val="00BC3E47"/>
    <w:rsid w:val="00BD0F69"/>
    <w:rsid w:val="00BD7CBA"/>
    <w:rsid w:val="00BE020E"/>
    <w:rsid w:val="00C12A1D"/>
    <w:rsid w:val="00C16E53"/>
    <w:rsid w:val="00C213C4"/>
    <w:rsid w:val="00C215E4"/>
    <w:rsid w:val="00C24346"/>
    <w:rsid w:val="00C262A2"/>
    <w:rsid w:val="00C27A77"/>
    <w:rsid w:val="00C33B8A"/>
    <w:rsid w:val="00C3426B"/>
    <w:rsid w:val="00C431B4"/>
    <w:rsid w:val="00C50DFC"/>
    <w:rsid w:val="00C51D4D"/>
    <w:rsid w:val="00C63BEC"/>
    <w:rsid w:val="00C84EC1"/>
    <w:rsid w:val="00C86C59"/>
    <w:rsid w:val="00C91C5A"/>
    <w:rsid w:val="00C91EF9"/>
    <w:rsid w:val="00CC30F0"/>
    <w:rsid w:val="00CC756E"/>
    <w:rsid w:val="00CD6D73"/>
    <w:rsid w:val="00CD6D9A"/>
    <w:rsid w:val="00CF3A4C"/>
    <w:rsid w:val="00D00E92"/>
    <w:rsid w:val="00D02A9A"/>
    <w:rsid w:val="00D03720"/>
    <w:rsid w:val="00D0402D"/>
    <w:rsid w:val="00D055EC"/>
    <w:rsid w:val="00D06246"/>
    <w:rsid w:val="00D06751"/>
    <w:rsid w:val="00D14657"/>
    <w:rsid w:val="00D27D59"/>
    <w:rsid w:val="00D37ACE"/>
    <w:rsid w:val="00D4060F"/>
    <w:rsid w:val="00D44728"/>
    <w:rsid w:val="00D543AD"/>
    <w:rsid w:val="00D562FF"/>
    <w:rsid w:val="00D70324"/>
    <w:rsid w:val="00DA44D6"/>
    <w:rsid w:val="00DC1457"/>
    <w:rsid w:val="00DC1937"/>
    <w:rsid w:val="00DC1CA8"/>
    <w:rsid w:val="00DC59DC"/>
    <w:rsid w:val="00DE25AD"/>
    <w:rsid w:val="00DE4FA9"/>
    <w:rsid w:val="00DE52A5"/>
    <w:rsid w:val="00DF56C9"/>
    <w:rsid w:val="00DF5774"/>
    <w:rsid w:val="00E0575A"/>
    <w:rsid w:val="00E30318"/>
    <w:rsid w:val="00E32708"/>
    <w:rsid w:val="00E43184"/>
    <w:rsid w:val="00E4615D"/>
    <w:rsid w:val="00E479C0"/>
    <w:rsid w:val="00E55560"/>
    <w:rsid w:val="00E6543D"/>
    <w:rsid w:val="00E6707A"/>
    <w:rsid w:val="00E70327"/>
    <w:rsid w:val="00E71EE5"/>
    <w:rsid w:val="00E7315B"/>
    <w:rsid w:val="00E955F0"/>
    <w:rsid w:val="00EA5418"/>
    <w:rsid w:val="00EB297B"/>
    <w:rsid w:val="00EC254C"/>
    <w:rsid w:val="00EC33D7"/>
    <w:rsid w:val="00EE46FB"/>
    <w:rsid w:val="00F12529"/>
    <w:rsid w:val="00F17C0D"/>
    <w:rsid w:val="00F37AA2"/>
    <w:rsid w:val="00F42842"/>
    <w:rsid w:val="00F43BC1"/>
    <w:rsid w:val="00F5728B"/>
    <w:rsid w:val="00F6519D"/>
    <w:rsid w:val="00F7364C"/>
    <w:rsid w:val="00F755D0"/>
    <w:rsid w:val="00F75A0B"/>
    <w:rsid w:val="00F762CB"/>
    <w:rsid w:val="00F82B20"/>
    <w:rsid w:val="00FB1010"/>
    <w:rsid w:val="00FB25B6"/>
    <w:rsid w:val="00FB6810"/>
    <w:rsid w:val="00FD2DEA"/>
    <w:rsid w:val="00FD4B29"/>
    <w:rsid w:val="00FD5A63"/>
    <w:rsid w:val="00FD70FE"/>
    <w:rsid w:val="00FE4EF4"/>
    <w:rsid w:val="00FE67F4"/>
    <w:rsid w:val="00FE6B9A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1.jpeg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93AA-198F-4C42-B964-09307855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19</Pages>
  <Words>2413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Salud Tlaxcala</cp:lastModifiedBy>
  <cp:revision>35</cp:revision>
  <cp:lastPrinted>2017-07-12T01:00:00Z</cp:lastPrinted>
  <dcterms:created xsi:type="dcterms:W3CDTF">2017-01-16T03:34:00Z</dcterms:created>
  <dcterms:modified xsi:type="dcterms:W3CDTF">2017-07-12T01:35:00Z</dcterms:modified>
</cp:coreProperties>
</file>