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6769B">
      <w:pPr>
        <w:tabs>
          <w:tab w:val="left" w:pos="10318"/>
        </w:tabs>
      </w:pPr>
    </w:p>
    <w:p w:rsidR="00EA5418" w:rsidRDefault="00EE46DB" w:rsidP="00372F40">
      <w:pPr>
        <w:jc w:val="center"/>
      </w:pPr>
      <w:r>
        <w:object w:dxaOrig="236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5pt;height:440.6pt" o:ole="">
            <v:imagedata r:id="rId8" o:title=""/>
          </v:shape>
          <o:OLEObject Type="Embed" ProgID="Excel.Sheet.12" ShapeID="_x0000_i1025" DrawAspect="Content" ObjectID="_1560836099" r:id="rId9"/>
        </w:object>
      </w:r>
    </w:p>
    <w:p w:rsidR="003B72FC" w:rsidRDefault="003B72FC" w:rsidP="0044253C">
      <w:pPr>
        <w:jc w:val="center"/>
      </w:pPr>
      <w:bookmarkStart w:id="0" w:name="_MON_1470805999"/>
      <w:bookmarkEnd w:id="0"/>
    </w:p>
    <w:p w:rsidR="00332335" w:rsidRDefault="00332335" w:rsidP="0044253C">
      <w:pPr>
        <w:jc w:val="center"/>
      </w:pPr>
    </w:p>
    <w:p w:rsidR="003B72FC" w:rsidRDefault="00186812" w:rsidP="00C94FBA">
      <w:pPr>
        <w:jc w:val="center"/>
      </w:pPr>
      <w:r>
        <w:object w:dxaOrig="25153" w:dyaOrig="18931">
          <v:shape id="_x0000_i1026" type="#_x0000_t75" style="width:584.6pt;height:429.85pt" o:ole="">
            <v:imagedata r:id="rId10" o:title=""/>
          </v:shape>
          <o:OLEObject Type="Embed" ProgID="Excel.Sheet.12" ShapeID="_x0000_i1026" DrawAspect="Content" ObjectID="_1560836100" r:id="rId11"/>
        </w:object>
      </w:r>
      <w:bookmarkStart w:id="1" w:name="_MON_1470806992"/>
      <w:bookmarkEnd w:id="1"/>
    </w:p>
    <w:p w:rsidR="003B72FC" w:rsidRDefault="003B72FC" w:rsidP="003B72FC">
      <w:pPr>
        <w:jc w:val="center"/>
      </w:pPr>
      <w:bookmarkStart w:id="2" w:name="_MON_1470807348"/>
      <w:bookmarkEnd w:id="2"/>
    </w:p>
    <w:p w:rsidR="00AC1316" w:rsidRDefault="00A92D6B" w:rsidP="003B72FC">
      <w:pPr>
        <w:jc w:val="center"/>
      </w:pPr>
      <w:r>
        <w:rPr>
          <w:noProof/>
          <w:lang w:eastAsia="es-MX"/>
        </w:rPr>
        <w:lastRenderedPageBreak/>
        <w:pict>
          <v:shape id="_x0000_s1091" type="#_x0000_t75" style="position:absolute;left:0;text-align:left;margin-left:26pt;margin-top:21.7pt;width:686.6pt;height:466.8pt;z-index:251670528">
            <v:imagedata r:id="rId12" o:title=""/>
            <w10:wrap type="square" side="left"/>
          </v:shape>
          <o:OLEObject Type="Embed" ProgID="Excel.Sheet.12" ShapeID="_x0000_s1091" DrawAspect="Content" ObjectID="_1560836104" r:id="rId13"/>
        </w:pict>
      </w:r>
    </w:p>
    <w:p w:rsidR="00AC1316" w:rsidRDefault="00AC1316" w:rsidP="003B72FC">
      <w:pPr>
        <w:jc w:val="center"/>
      </w:pPr>
    </w:p>
    <w:p w:rsidR="003B72FC" w:rsidRDefault="00522F51" w:rsidP="003B72FC">
      <w:pPr>
        <w:jc w:val="center"/>
      </w:pPr>
      <w:r>
        <w:object w:dxaOrig="17711" w:dyaOrig="12865">
          <v:shape id="_x0000_i1027" type="#_x0000_t75" style="width:654.45pt;height:415.35pt" o:ole="">
            <v:imagedata r:id="rId14" o:title=""/>
          </v:shape>
          <o:OLEObject Type="Embed" ProgID="Excel.Sheet.12" ShapeID="_x0000_i1027" DrawAspect="Content" ObjectID="_1560836101" r:id="rId15"/>
        </w:object>
      </w:r>
    </w:p>
    <w:p w:rsidR="00C94FBA" w:rsidRDefault="00C94FBA" w:rsidP="0036769B">
      <w:pPr>
        <w:spacing w:after="0" w:line="240" w:lineRule="auto"/>
        <w:jc w:val="center"/>
      </w:pPr>
      <w:bookmarkStart w:id="3" w:name="_MON_1470809138"/>
      <w:bookmarkEnd w:id="3"/>
    </w:p>
    <w:p w:rsidR="009A1CDA" w:rsidRDefault="009A1CDA" w:rsidP="0036769B">
      <w:pPr>
        <w:spacing w:after="0" w:line="240" w:lineRule="auto"/>
        <w:jc w:val="center"/>
        <w:rPr>
          <w:sz w:val="16"/>
          <w:szCs w:val="16"/>
        </w:rPr>
      </w:pPr>
    </w:p>
    <w:p w:rsidR="00522F51" w:rsidRDefault="00522F51" w:rsidP="0036769B">
      <w:pPr>
        <w:spacing w:after="0" w:line="240" w:lineRule="auto"/>
        <w:jc w:val="center"/>
        <w:rPr>
          <w:sz w:val="16"/>
          <w:szCs w:val="16"/>
        </w:rPr>
      </w:pPr>
    </w:p>
    <w:p w:rsidR="00522F51" w:rsidRDefault="00522F51" w:rsidP="0036769B">
      <w:pPr>
        <w:spacing w:after="0" w:line="240" w:lineRule="auto"/>
        <w:jc w:val="center"/>
        <w:rPr>
          <w:sz w:val="16"/>
          <w:szCs w:val="16"/>
        </w:rPr>
      </w:pPr>
    </w:p>
    <w:p w:rsidR="00522F51" w:rsidRDefault="00522F51" w:rsidP="0036769B">
      <w:pPr>
        <w:spacing w:after="0" w:line="240" w:lineRule="auto"/>
        <w:jc w:val="center"/>
        <w:rPr>
          <w:sz w:val="16"/>
          <w:szCs w:val="16"/>
        </w:rPr>
      </w:pPr>
    </w:p>
    <w:p w:rsidR="00522F51" w:rsidRPr="009860D8" w:rsidRDefault="00522F51" w:rsidP="0036769B">
      <w:pPr>
        <w:spacing w:after="0" w:line="240" w:lineRule="auto"/>
        <w:jc w:val="center"/>
        <w:rPr>
          <w:sz w:val="16"/>
          <w:szCs w:val="16"/>
        </w:rPr>
      </w:pPr>
    </w:p>
    <w:p w:rsidR="00174348" w:rsidRDefault="00522F51" w:rsidP="00522632">
      <w:pPr>
        <w:jc w:val="center"/>
      </w:pPr>
      <w:r>
        <w:object w:dxaOrig="17805" w:dyaOrig="12251">
          <v:shape id="_x0000_i1028" type="#_x0000_t75" style="width:639.4pt;height:443.3pt" o:ole="">
            <v:imagedata r:id="rId16" o:title=""/>
          </v:shape>
          <o:OLEObject Type="Embed" ProgID="Excel.Sheet.12" ShapeID="_x0000_i1028" DrawAspect="Content" ObjectID="_1560836102" r:id="rId17"/>
        </w:object>
      </w:r>
    </w:p>
    <w:p w:rsidR="00174348" w:rsidRDefault="00174348" w:rsidP="00522632">
      <w:pPr>
        <w:jc w:val="center"/>
      </w:pPr>
    </w:p>
    <w:p w:rsidR="006E3659" w:rsidRDefault="006E3659" w:rsidP="00980BD4">
      <w:pPr>
        <w:jc w:val="center"/>
        <w:rPr>
          <w:sz w:val="16"/>
          <w:szCs w:val="16"/>
        </w:rPr>
      </w:pPr>
    </w:p>
    <w:p w:rsidR="007C3112" w:rsidRDefault="00A92D6B" w:rsidP="00980BD4">
      <w:pPr>
        <w:jc w:val="center"/>
        <w:rPr>
          <w:sz w:val="16"/>
          <w:szCs w:val="16"/>
        </w:rPr>
      </w:pPr>
      <w:r w:rsidRPr="00A92D6B">
        <w:rPr>
          <w:noProof/>
          <w:lang w:eastAsia="es-MX"/>
        </w:rPr>
        <w:pict>
          <v:shape id="_x0000_s1085" type="#_x0000_t75" style="position:absolute;left:0;text-align:left;margin-left:32.65pt;margin-top:5.85pt;width:673.85pt;height:447.15pt;z-index:251669504">
            <v:imagedata r:id="rId18" o:title=""/>
            <w10:wrap type="square" side="right"/>
          </v:shape>
          <o:OLEObject Type="Embed" ProgID="Excel.Sheet.12" ShapeID="_x0000_s1085" DrawAspect="Content" ObjectID="_1560836105" r:id="rId19"/>
        </w:pict>
      </w:r>
    </w:p>
    <w:p w:rsidR="00FA5827" w:rsidRDefault="00EC647E" w:rsidP="00545B42">
      <w:r>
        <w:lastRenderedPageBreak/>
        <w:t xml:space="preserve">           </w:t>
      </w:r>
    </w:p>
    <w:p w:rsidR="005D7945" w:rsidRPr="00990653" w:rsidRDefault="00622FAF" w:rsidP="00545B42">
      <w:pPr>
        <w:rPr>
          <w:rFonts w:ascii="Soberana Sans Light" w:hAnsi="Soberana Sans Light"/>
          <w:sz w:val="16"/>
          <w:szCs w:val="16"/>
        </w:rPr>
      </w:pPr>
      <w:r>
        <w:t xml:space="preserve">   </w:t>
      </w:r>
      <w:r w:rsidR="00FA5827">
        <w:t xml:space="preserve">  </w:t>
      </w:r>
      <w:r w:rsidR="00EC647E">
        <w:t xml:space="preserve">  </w:t>
      </w:r>
      <w:r w:rsidR="00A26BB4">
        <w:object w:dxaOrig="25922" w:dyaOrig="16771">
          <v:shape id="_x0000_i1029" type="#_x0000_t75" style="width:670.05pt;height:428.25pt" o:ole="">
            <v:imagedata r:id="rId20" o:title=""/>
          </v:shape>
          <o:OLEObject Type="Embed" ProgID="Excel.Sheet.12" ShapeID="_x0000_i1029" DrawAspect="Content" ObjectID="_1560836103" r:id="rId21"/>
        </w:object>
      </w:r>
    </w:p>
    <w:p w:rsidR="0058009D" w:rsidRDefault="00FA5827" w:rsidP="00785568">
      <w:pPr>
        <w:rPr>
          <w:rFonts w:ascii="Soberana Sans Light" w:hAnsi="Soberana Sans Light"/>
        </w:rPr>
      </w:pPr>
      <w:r>
        <w:rPr>
          <w:rFonts w:ascii="Soberana Sans Light" w:hAnsi="Soberana Sans Light"/>
        </w:rPr>
        <w:t xml:space="preserve"> </w:t>
      </w:r>
    </w:p>
    <w:p w:rsidR="002204F4" w:rsidRDefault="002204F4" w:rsidP="00785568">
      <w:pPr>
        <w:rPr>
          <w:rFonts w:ascii="Soberana Sans Light" w:hAnsi="Soberana Sans Light"/>
        </w:rPr>
      </w:pPr>
    </w:p>
    <w:p w:rsidR="002204F4" w:rsidRDefault="002204F4" w:rsidP="00785568">
      <w:pPr>
        <w:rPr>
          <w:rFonts w:ascii="Soberana Sans Light" w:hAnsi="Soberana Sans Light"/>
        </w:rPr>
      </w:pPr>
    </w:p>
    <w:p w:rsidR="00DB65F9" w:rsidRDefault="00DB65F9" w:rsidP="00DA0A99">
      <w:pPr>
        <w:jc w:val="cente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t>Informe de Pasivos Contingentes</w:t>
      </w:r>
    </w:p>
    <w:p w:rsidR="00DA0A99" w:rsidRPr="00540418" w:rsidRDefault="00DA0A99" w:rsidP="00DA0A99">
      <w:pPr>
        <w:rPr>
          <w:rFonts w:ascii="Soberana Sans Light" w:hAnsi="Soberana Sans Light"/>
        </w:rPr>
      </w:pPr>
    </w:p>
    <w:p w:rsidR="00B12F74" w:rsidRPr="00540418" w:rsidRDefault="00B12F74" w:rsidP="00DA0A99">
      <w:pPr>
        <w:rPr>
          <w:rFonts w:ascii="Soberana Sans Light" w:hAnsi="Soberana Sans Light"/>
        </w:rPr>
      </w:pPr>
    </w:p>
    <w:p w:rsidR="00DA0A99" w:rsidRDefault="00EE46DB" w:rsidP="00DA0A99">
      <w:pPr>
        <w:rPr>
          <w:rFonts w:ascii="Soberana Sans Light" w:hAnsi="Soberana Sans Light"/>
        </w:rPr>
      </w:pPr>
      <w:r>
        <w:rPr>
          <w:rFonts w:ascii="Soberana Sans Light" w:hAnsi="Soberana Sans Light"/>
        </w:rPr>
        <w:t>No se presentó ningún caso de Contingencia.</w:t>
      </w:r>
    </w:p>
    <w:p w:rsidR="00EE46DB" w:rsidRDefault="00EE46DB"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2203" w:type="dxa"/>
        <w:tblInd w:w="58" w:type="dxa"/>
        <w:tblCellMar>
          <w:left w:w="70" w:type="dxa"/>
          <w:right w:w="70" w:type="dxa"/>
        </w:tblCellMar>
        <w:tblLook w:val="04A0"/>
      </w:tblPr>
      <w:tblGrid>
        <w:gridCol w:w="4800"/>
        <w:gridCol w:w="360"/>
        <w:gridCol w:w="440"/>
        <w:gridCol w:w="480"/>
        <w:gridCol w:w="920"/>
        <w:gridCol w:w="5203"/>
      </w:tblGrid>
      <w:tr w:rsidR="00DA0A99" w:rsidRPr="00C74E12" w:rsidTr="00531883">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990653" w:rsidRDefault="00DA0A99" w:rsidP="00F1271B">
            <w:pPr>
              <w:spacing w:after="0" w:line="240" w:lineRule="auto"/>
              <w:jc w:val="center"/>
              <w:rPr>
                <w:rFonts w:ascii="Soberana Sans Light" w:hAnsi="Soberana Sans Light"/>
              </w:rPr>
            </w:pPr>
            <w:r w:rsidRPr="00990653">
              <w:rPr>
                <w:rFonts w:ascii="Soberana Sans Light" w:hAnsi="Soberana Sans Light"/>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single" w:sz="4" w:space="0" w:color="auto"/>
              <w:left w:val="nil"/>
              <w:bottom w:val="nil"/>
              <w:right w:val="nil"/>
            </w:tcBorders>
            <w:shd w:val="clear" w:color="000000" w:fill="FFFFFF"/>
            <w:noWrap/>
            <w:vAlign w:val="bottom"/>
            <w:hideMark/>
          </w:tcPr>
          <w:p w:rsidR="00DA0A99" w:rsidRPr="00990653" w:rsidRDefault="00DA0A99" w:rsidP="00531883">
            <w:pPr>
              <w:spacing w:after="0" w:line="240" w:lineRule="auto"/>
              <w:jc w:val="center"/>
              <w:rPr>
                <w:rFonts w:ascii="Soberana Sans Light" w:hAnsi="Soberana Sans Light"/>
              </w:rPr>
            </w:pPr>
            <w:r w:rsidRPr="00990653">
              <w:rPr>
                <w:rFonts w:ascii="Soberana Sans Light" w:hAnsi="Soberana Sans Light"/>
              </w:rPr>
              <w:t xml:space="preserve">Lic. </w:t>
            </w:r>
            <w:r w:rsidR="00531883" w:rsidRPr="00990653">
              <w:rPr>
                <w:rFonts w:ascii="Soberana Sans Light" w:hAnsi="Soberana Sans Light"/>
              </w:rPr>
              <w:t>Claudia Pérez Minor</w:t>
            </w:r>
          </w:p>
        </w:tc>
      </w:tr>
      <w:tr w:rsidR="00DA0A99" w:rsidRPr="00C74E12" w:rsidTr="00531883">
        <w:trPr>
          <w:trHeight w:val="300"/>
        </w:trPr>
        <w:tc>
          <w:tcPr>
            <w:tcW w:w="4800" w:type="dxa"/>
            <w:tcBorders>
              <w:top w:val="nil"/>
              <w:left w:val="nil"/>
              <w:bottom w:val="nil"/>
              <w:right w:val="nil"/>
            </w:tcBorders>
            <w:shd w:val="clear" w:color="000000" w:fill="FFFFFF"/>
            <w:hideMark/>
          </w:tcPr>
          <w:p w:rsidR="00DA0A99" w:rsidRPr="00990653" w:rsidRDefault="00784EDF" w:rsidP="00F1271B">
            <w:pPr>
              <w:spacing w:after="0" w:line="240" w:lineRule="auto"/>
              <w:jc w:val="center"/>
              <w:rPr>
                <w:rFonts w:ascii="Soberana Sans Light" w:hAnsi="Soberana Sans Light"/>
              </w:rPr>
            </w:pPr>
            <w:r w:rsidRPr="00990653">
              <w:rPr>
                <w:rFonts w:ascii="Soberana Sans Light" w:hAnsi="Soberana Sans Light"/>
              </w:rPr>
              <w:t>Director</w:t>
            </w:r>
            <w:r w:rsidR="00DA0A99" w:rsidRPr="00990653">
              <w:rPr>
                <w:rFonts w:ascii="Soberana Sans Light" w:hAnsi="Soberana Sans Light"/>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nil"/>
              <w:left w:val="nil"/>
              <w:bottom w:val="nil"/>
              <w:right w:val="nil"/>
            </w:tcBorders>
            <w:shd w:val="clear" w:color="000000" w:fill="FFFFFF"/>
            <w:hideMark/>
          </w:tcPr>
          <w:p w:rsidR="00DA0A99" w:rsidRPr="00990653" w:rsidRDefault="00531883" w:rsidP="00F1271B">
            <w:pPr>
              <w:spacing w:after="0" w:line="240" w:lineRule="auto"/>
              <w:jc w:val="center"/>
              <w:rPr>
                <w:rFonts w:ascii="Soberana Sans Light" w:hAnsi="Soberana Sans Light"/>
              </w:rPr>
            </w:pPr>
            <w:r w:rsidRPr="00990653">
              <w:rPr>
                <w:rFonts w:ascii="Soberana Sans Light" w:hAnsi="Soberana Sans Light"/>
              </w:rPr>
              <w:t>Encargada</w:t>
            </w:r>
            <w:r w:rsidR="00DA0A99" w:rsidRPr="00990653">
              <w:rPr>
                <w:rFonts w:ascii="Soberana Sans Light" w:hAnsi="Soberana Sans Light"/>
              </w:rPr>
              <w:t xml:space="preserve"> del Departamento de Administración</w:t>
            </w:r>
          </w:p>
          <w:p w:rsidR="00531883" w:rsidRPr="00990653" w:rsidRDefault="00531883" w:rsidP="00F1271B">
            <w:pPr>
              <w:spacing w:after="0" w:line="240" w:lineRule="auto"/>
              <w:jc w:val="center"/>
              <w:rPr>
                <w:rFonts w:ascii="Soberana Sans Light" w:hAnsi="Soberana Sans Light"/>
              </w:rPr>
            </w:pP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AB6CDD" w:rsidRDefault="00AB6CDD" w:rsidP="00DA0A99">
      <w:pPr>
        <w:pStyle w:val="Texto"/>
        <w:spacing w:after="0" w:line="240" w:lineRule="exact"/>
        <w:jc w:val="center"/>
        <w:rPr>
          <w:rFonts w:ascii="Soberana Sans Light" w:hAnsi="Soberana Sans Light"/>
          <w:b/>
          <w:sz w:val="22"/>
          <w:szCs w:val="22"/>
        </w:rPr>
      </w:pPr>
    </w:p>
    <w:p w:rsidR="00AB6CDD" w:rsidRDefault="00AB6CDD" w:rsidP="00DA0A99">
      <w:pPr>
        <w:pStyle w:val="Texto"/>
        <w:spacing w:after="0" w:line="240" w:lineRule="exact"/>
        <w:jc w:val="center"/>
        <w:rPr>
          <w:rFonts w:ascii="Soberana Sans Light" w:hAnsi="Soberana Sans Light"/>
          <w:b/>
          <w:sz w:val="22"/>
          <w:szCs w:val="22"/>
        </w:rPr>
      </w:pPr>
    </w:p>
    <w:p w:rsidR="00AB6CDD" w:rsidRDefault="00AB6CDD" w:rsidP="00DA0A99">
      <w:pPr>
        <w:pStyle w:val="Texto"/>
        <w:spacing w:after="0" w:line="240" w:lineRule="exact"/>
        <w:jc w:val="center"/>
        <w:rPr>
          <w:rFonts w:ascii="Soberana Sans Light" w:hAnsi="Soberana Sans Light"/>
          <w:b/>
          <w:sz w:val="22"/>
          <w:szCs w:val="22"/>
        </w:rPr>
      </w:pPr>
    </w:p>
    <w:p w:rsidR="00AB6CDD" w:rsidRDefault="00AB6CDD" w:rsidP="00DA0A99">
      <w:pPr>
        <w:pStyle w:val="Texto"/>
        <w:spacing w:after="0" w:line="240" w:lineRule="exact"/>
        <w:jc w:val="center"/>
        <w:rPr>
          <w:rFonts w:ascii="Soberana Sans Light" w:hAnsi="Soberana Sans Light"/>
          <w:b/>
          <w:sz w:val="22"/>
          <w:szCs w:val="22"/>
        </w:rPr>
      </w:pPr>
    </w:p>
    <w:p w:rsidR="00AB6CDD" w:rsidRDefault="00AB6CDD"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EE46DB" w:rsidRDefault="00EE46DB" w:rsidP="00DA0A99">
      <w:pPr>
        <w:pStyle w:val="Texto"/>
        <w:spacing w:after="0" w:line="240" w:lineRule="exact"/>
        <w:jc w:val="center"/>
        <w:rPr>
          <w:rFonts w:ascii="Soberana Sans Light" w:hAnsi="Soberana Sans Light"/>
          <w:b/>
          <w:sz w:val="22"/>
          <w:szCs w:val="22"/>
        </w:rPr>
      </w:pPr>
    </w:p>
    <w:p w:rsidR="00EE46DB" w:rsidRDefault="00EE46DB" w:rsidP="00EE46DB">
      <w:pPr>
        <w:spacing w:after="0" w:line="360" w:lineRule="auto"/>
        <w:jc w:val="center"/>
        <w:rPr>
          <w:rFonts w:ascii="Soberana Sans Light" w:hAnsi="Soberana Sans Light"/>
        </w:rPr>
      </w:pPr>
      <w:r>
        <w:rPr>
          <w:rFonts w:ascii="Arial" w:eastAsia="Times New Roman" w:hAnsi="Arial" w:cs="Arial"/>
          <w:sz w:val="20"/>
          <w:szCs w:val="20"/>
          <w:lang w:eastAsia="es-MX"/>
        </w:rPr>
        <w:t>E</w:t>
      </w:r>
      <w:r w:rsidRPr="001F1EBF">
        <w:rPr>
          <w:rFonts w:ascii="Arial" w:eastAsia="Times New Roman" w:hAnsi="Arial" w:cs="Arial"/>
          <w:sz w:val="20"/>
          <w:szCs w:val="20"/>
          <w:lang w:eastAsia="es-MX"/>
        </w:rPr>
        <w:t xml:space="preserve">n el mes de junio se concluyo  el proceso de extinción de este </w:t>
      </w:r>
      <w:r>
        <w:rPr>
          <w:rFonts w:ascii="Arial" w:eastAsia="Times New Roman" w:hAnsi="Arial" w:cs="Arial"/>
          <w:sz w:val="20"/>
          <w:szCs w:val="20"/>
          <w:lang w:eastAsia="es-MX"/>
        </w:rPr>
        <w:t>F</w:t>
      </w:r>
      <w:r w:rsidRPr="001F1EBF">
        <w:rPr>
          <w:rFonts w:ascii="Arial" w:eastAsia="Times New Roman" w:hAnsi="Arial" w:cs="Arial"/>
          <w:sz w:val="20"/>
          <w:szCs w:val="20"/>
          <w:lang w:eastAsia="es-MX"/>
        </w:rPr>
        <w:t xml:space="preserve">ideicomiso al firmarse el </w:t>
      </w:r>
      <w:r>
        <w:rPr>
          <w:rFonts w:ascii="Arial" w:eastAsia="Times New Roman" w:hAnsi="Arial" w:cs="Arial"/>
          <w:b/>
          <w:sz w:val="20"/>
          <w:szCs w:val="20"/>
          <w:lang w:eastAsia="es-MX"/>
        </w:rPr>
        <w:t>C</w:t>
      </w:r>
      <w:r w:rsidRPr="001F1EBF">
        <w:rPr>
          <w:rFonts w:ascii="Arial" w:eastAsia="Times New Roman" w:hAnsi="Arial" w:cs="Arial"/>
          <w:b/>
          <w:bCs/>
          <w:sz w:val="20"/>
          <w:szCs w:val="20"/>
          <w:lang w:eastAsia="es-MX"/>
        </w:rPr>
        <w:t xml:space="preserve">onvenio de </w:t>
      </w:r>
      <w:r>
        <w:rPr>
          <w:rFonts w:ascii="Arial" w:eastAsia="Times New Roman" w:hAnsi="Arial" w:cs="Arial"/>
          <w:b/>
          <w:bCs/>
          <w:sz w:val="20"/>
          <w:szCs w:val="20"/>
          <w:lang w:eastAsia="es-MX"/>
        </w:rPr>
        <w:t>T</w:t>
      </w:r>
      <w:r w:rsidRPr="001F1EBF">
        <w:rPr>
          <w:rFonts w:ascii="Arial" w:eastAsia="Times New Roman" w:hAnsi="Arial" w:cs="Arial"/>
          <w:b/>
          <w:bCs/>
          <w:sz w:val="20"/>
          <w:szCs w:val="20"/>
          <w:lang w:eastAsia="es-MX"/>
        </w:rPr>
        <w:t xml:space="preserve">erminación y </w:t>
      </w:r>
      <w:r>
        <w:rPr>
          <w:rFonts w:ascii="Arial" w:eastAsia="Times New Roman" w:hAnsi="Arial" w:cs="Arial"/>
          <w:b/>
          <w:bCs/>
          <w:sz w:val="20"/>
          <w:szCs w:val="20"/>
          <w:lang w:eastAsia="es-MX"/>
        </w:rPr>
        <w:t>E</w:t>
      </w:r>
      <w:r w:rsidRPr="001F1EBF">
        <w:rPr>
          <w:rFonts w:ascii="Arial" w:eastAsia="Times New Roman" w:hAnsi="Arial" w:cs="Arial"/>
          <w:b/>
          <w:bCs/>
          <w:sz w:val="20"/>
          <w:szCs w:val="20"/>
          <w:lang w:eastAsia="es-MX"/>
        </w:rPr>
        <w:t xml:space="preserve">xtinción </w:t>
      </w:r>
      <w:r>
        <w:rPr>
          <w:rFonts w:ascii="Arial" w:eastAsia="Times New Roman" w:hAnsi="Arial" w:cs="Arial"/>
          <w:b/>
          <w:bCs/>
          <w:sz w:val="20"/>
          <w:szCs w:val="20"/>
          <w:lang w:eastAsia="es-MX"/>
        </w:rPr>
        <w:t>T</w:t>
      </w:r>
      <w:r w:rsidRPr="001F1EBF">
        <w:rPr>
          <w:rFonts w:ascii="Arial" w:eastAsia="Times New Roman" w:hAnsi="Arial" w:cs="Arial"/>
          <w:b/>
          <w:bCs/>
          <w:sz w:val="20"/>
          <w:szCs w:val="20"/>
          <w:lang w:eastAsia="es-MX"/>
        </w:rPr>
        <w:t xml:space="preserve">otal del </w:t>
      </w:r>
      <w:r>
        <w:rPr>
          <w:rFonts w:ascii="Arial" w:eastAsia="Times New Roman" w:hAnsi="Arial" w:cs="Arial"/>
          <w:b/>
          <w:bCs/>
          <w:sz w:val="20"/>
          <w:szCs w:val="20"/>
          <w:lang w:eastAsia="es-MX"/>
        </w:rPr>
        <w:t>C</w:t>
      </w:r>
      <w:r w:rsidRPr="001F1EBF">
        <w:rPr>
          <w:rFonts w:ascii="Arial" w:eastAsia="Times New Roman" w:hAnsi="Arial" w:cs="Arial"/>
          <w:b/>
          <w:bCs/>
          <w:sz w:val="20"/>
          <w:szCs w:val="20"/>
          <w:lang w:eastAsia="es-MX"/>
        </w:rPr>
        <w:t xml:space="preserve">ontrato de </w:t>
      </w:r>
      <w:r>
        <w:rPr>
          <w:rFonts w:ascii="Arial" w:eastAsia="Times New Roman" w:hAnsi="Arial" w:cs="Arial"/>
          <w:b/>
          <w:bCs/>
          <w:sz w:val="20"/>
          <w:szCs w:val="20"/>
          <w:lang w:eastAsia="es-MX"/>
        </w:rPr>
        <w:t>F</w:t>
      </w:r>
      <w:r w:rsidRPr="001F1EBF">
        <w:rPr>
          <w:rFonts w:ascii="Arial" w:eastAsia="Times New Roman" w:hAnsi="Arial" w:cs="Arial"/>
          <w:b/>
          <w:bCs/>
          <w:sz w:val="20"/>
          <w:szCs w:val="20"/>
          <w:lang w:eastAsia="es-MX"/>
        </w:rPr>
        <w:t xml:space="preserve">ideicomiso </w:t>
      </w:r>
      <w:r>
        <w:rPr>
          <w:rFonts w:ascii="Arial" w:eastAsia="Times New Roman" w:hAnsi="Arial" w:cs="Arial"/>
          <w:b/>
          <w:bCs/>
          <w:sz w:val="20"/>
          <w:szCs w:val="20"/>
          <w:lang w:eastAsia="es-MX"/>
        </w:rPr>
        <w:t>R</w:t>
      </w:r>
      <w:r w:rsidRPr="001F1EBF">
        <w:rPr>
          <w:rFonts w:ascii="Arial" w:eastAsia="Times New Roman" w:hAnsi="Arial" w:cs="Arial"/>
          <w:b/>
          <w:bCs/>
          <w:sz w:val="20"/>
          <w:szCs w:val="20"/>
          <w:lang w:eastAsia="es-MX"/>
        </w:rPr>
        <w:t xml:space="preserve">evocable de </w:t>
      </w:r>
      <w:r>
        <w:rPr>
          <w:rFonts w:ascii="Arial" w:eastAsia="Times New Roman" w:hAnsi="Arial" w:cs="Arial"/>
          <w:b/>
          <w:bCs/>
          <w:sz w:val="20"/>
          <w:szCs w:val="20"/>
          <w:lang w:eastAsia="es-MX"/>
        </w:rPr>
        <w:t>I</w:t>
      </w:r>
      <w:r w:rsidRPr="001F1EBF">
        <w:rPr>
          <w:rFonts w:ascii="Arial" w:eastAsia="Times New Roman" w:hAnsi="Arial" w:cs="Arial"/>
          <w:b/>
          <w:bCs/>
          <w:sz w:val="20"/>
          <w:szCs w:val="20"/>
          <w:lang w:eastAsia="es-MX"/>
        </w:rPr>
        <w:t xml:space="preserve">nversión y entrega de recurso </w:t>
      </w:r>
      <w:r w:rsidRPr="001F1EBF">
        <w:rPr>
          <w:rFonts w:ascii="Arial" w:eastAsia="Times New Roman" w:hAnsi="Arial" w:cs="Arial"/>
          <w:b/>
          <w:sz w:val="20"/>
          <w:szCs w:val="20"/>
          <w:lang w:eastAsia="es-MX"/>
        </w:rPr>
        <w:t>número 1438</w:t>
      </w:r>
      <w:r>
        <w:rPr>
          <w:rFonts w:ascii="Arial" w:eastAsia="Times New Roman" w:hAnsi="Arial" w:cs="Arial"/>
          <w:b/>
          <w:sz w:val="20"/>
          <w:szCs w:val="20"/>
          <w:lang w:eastAsia="es-MX"/>
        </w:rPr>
        <w:t>4</w:t>
      </w:r>
      <w:r w:rsidRPr="001F1EBF">
        <w:rPr>
          <w:rFonts w:ascii="Arial" w:eastAsia="Times New Roman" w:hAnsi="Arial" w:cs="Arial"/>
          <w:b/>
          <w:sz w:val="20"/>
          <w:szCs w:val="20"/>
          <w:lang w:eastAsia="es-MX"/>
        </w:rPr>
        <w:t>-</w:t>
      </w:r>
      <w:r>
        <w:rPr>
          <w:rFonts w:ascii="Arial" w:eastAsia="Times New Roman" w:hAnsi="Arial" w:cs="Arial"/>
          <w:b/>
          <w:sz w:val="20"/>
          <w:szCs w:val="20"/>
          <w:lang w:eastAsia="es-MX"/>
        </w:rPr>
        <w:t>5</w:t>
      </w:r>
      <w:r w:rsidRPr="001F1EBF">
        <w:rPr>
          <w:rFonts w:ascii="Arial" w:eastAsia="Times New Roman" w:hAnsi="Arial" w:cs="Arial"/>
          <w:sz w:val="20"/>
          <w:szCs w:val="20"/>
          <w:lang w:eastAsia="es-MX"/>
        </w:rPr>
        <w:t xml:space="preserve">" con la </w:t>
      </w:r>
      <w:r>
        <w:rPr>
          <w:rFonts w:ascii="Arial" w:eastAsia="Times New Roman" w:hAnsi="Arial" w:cs="Arial"/>
          <w:sz w:val="20"/>
          <w:szCs w:val="20"/>
          <w:lang w:eastAsia="es-MX"/>
        </w:rPr>
        <w:t>I</w:t>
      </w:r>
      <w:r w:rsidRPr="001F1EBF">
        <w:rPr>
          <w:rFonts w:ascii="Arial" w:eastAsia="Times New Roman" w:hAnsi="Arial" w:cs="Arial"/>
          <w:sz w:val="20"/>
          <w:szCs w:val="20"/>
          <w:lang w:eastAsia="es-MX"/>
        </w:rPr>
        <w:t xml:space="preserve">nstitución </w:t>
      </w:r>
      <w:r>
        <w:rPr>
          <w:rFonts w:ascii="Arial" w:eastAsia="Times New Roman" w:hAnsi="Arial" w:cs="Arial"/>
          <w:sz w:val="20"/>
          <w:szCs w:val="20"/>
          <w:lang w:eastAsia="es-MX"/>
        </w:rPr>
        <w:t>F</w:t>
      </w:r>
      <w:r w:rsidRPr="001F1EBF">
        <w:rPr>
          <w:rFonts w:ascii="Arial" w:eastAsia="Times New Roman" w:hAnsi="Arial" w:cs="Arial"/>
          <w:sz w:val="20"/>
          <w:szCs w:val="20"/>
          <w:lang w:eastAsia="es-MX"/>
        </w:rPr>
        <w:t xml:space="preserve">iduciaria BANAMEX,  por lo que se realizaron los registros correspondientes para cancelar las </w:t>
      </w:r>
      <w:r>
        <w:rPr>
          <w:rFonts w:ascii="Arial" w:eastAsia="Times New Roman" w:hAnsi="Arial" w:cs="Arial"/>
          <w:sz w:val="20"/>
          <w:szCs w:val="20"/>
          <w:lang w:eastAsia="es-MX"/>
        </w:rPr>
        <w:t>C</w:t>
      </w:r>
      <w:r w:rsidRPr="001F1EBF">
        <w:rPr>
          <w:rFonts w:ascii="Arial" w:eastAsia="Times New Roman" w:hAnsi="Arial" w:cs="Arial"/>
          <w:sz w:val="20"/>
          <w:szCs w:val="20"/>
          <w:lang w:eastAsia="es-MX"/>
        </w:rPr>
        <w:t xml:space="preserve">uentas de </w:t>
      </w:r>
      <w:r>
        <w:rPr>
          <w:rFonts w:ascii="Arial" w:eastAsia="Times New Roman" w:hAnsi="Arial" w:cs="Arial"/>
          <w:sz w:val="20"/>
          <w:szCs w:val="20"/>
          <w:lang w:eastAsia="es-MX"/>
        </w:rPr>
        <w:t>R</w:t>
      </w:r>
      <w:r w:rsidRPr="001F1EBF">
        <w:rPr>
          <w:rFonts w:ascii="Arial" w:eastAsia="Times New Roman" w:hAnsi="Arial" w:cs="Arial"/>
          <w:sz w:val="20"/>
          <w:szCs w:val="20"/>
          <w:lang w:eastAsia="es-MX"/>
        </w:rPr>
        <w:t xml:space="preserve">esultados y de </w:t>
      </w:r>
      <w:r>
        <w:rPr>
          <w:rFonts w:ascii="Arial" w:eastAsia="Times New Roman" w:hAnsi="Arial" w:cs="Arial"/>
          <w:sz w:val="20"/>
          <w:szCs w:val="20"/>
          <w:lang w:eastAsia="es-MX"/>
        </w:rPr>
        <w:t>Balance. los saldos de las C</w:t>
      </w:r>
      <w:r w:rsidRPr="001F1EBF">
        <w:rPr>
          <w:rFonts w:ascii="Arial" w:eastAsia="Times New Roman" w:hAnsi="Arial" w:cs="Arial"/>
          <w:sz w:val="20"/>
          <w:szCs w:val="20"/>
          <w:lang w:eastAsia="es-MX"/>
        </w:rPr>
        <w:t xml:space="preserve">uentas de </w:t>
      </w:r>
      <w:r>
        <w:rPr>
          <w:rFonts w:ascii="Arial" w:eastAsia="Times New Roman" w:hAnsi="Arial" w:cs="Arial"/>
          <w:sz w:val="20"/>
          <w:szCs w:val="20"/>
          <w:lang w:eastAsia="es-MX"/>
        </w:rPr>
        <w:t>B</w:t>
      </w:r>
      <w:r w:rsidRPr="001F1EBF">
        <w:rPr>
          <w:rFonts w:ascii="Arial" w:eastAsia="Times New Roman" w:hAnsi="Arial" w:cs="Arial"/>
          <w:sz w:val="20"/>
          <w:szCs w:val="20"/>
          <w:lang w:eastAsia="es-MX"/>
        </w:rPr>
        <w:t>alance se han in</w:t>
      </w:r>
      <w:r>
        <w:rPr>
          <w:rFonts w:ascii="Arial" w:eastAsia="Times New Roman" w:hAnsi="Arial" w:cs="Arial"/>
          <w:sz w:val="20"/>
          <w:szCs w:val="20"/>
          <w:lang w:eastAsia="es-MX"/>
        </w:rPr>
        <w:t>tegrado en la contabilidad del F</w:t>
      </w:r>
      <w:r w:rsidRPr="001F1EBF">
        <w:rPr>
          <w:rFonts w:ascii="Arial" w:eastAsia="Times New Roman" w:hAnsi="Arial" w:cs="Arial"/>
          <w:sz w:val="20"/>
          <w:szCs w:val="20"/>
          <w:lang w:eastAsia="es-MX"/>
        </w:rPr>
        <w:t xml:space="preserve">ondo </w:t>
      </w:r>
      <w:r>
        <w:rPr>
          <w:rFonts w:ascii="Arial" w:eastAsia="Times New Roman" w:hAnsi="Arial" w:cs="Arial"/>
          <w:sz w:val="20"/>
          <w:szCs w:val="20"/>
          <w:lang w:eastAsia="es-MX"/>
        </w:rPr>
        <w:t>M</w:t>
      </w:r>
      <w:r w:rsidRPr="001F1EBF">
        <w:rPr>
          <w:rFonts w:ascii="Arial" w:eastAsia="Times New Roman" w:hAnsi="Arial" w:cs="Arial"/>
          <w:sz w:val="20"/>
          <w:szCs w:val="20"/>
          <w:lang w:eastAsia="es-MX"/>
        </w:rPr>
        <w:t xml:space="preserve">acro para el </w:t>
      </w:r>
      <w:r>
        <w:rPr>
          <w:rFonts w:ascii="Arial" w:eastAsia="Times New Roman" w:hAnsi="Arial" w:cs="Arial"/>
          <w:sz w:val="20"/>
          <w:szCs w:val="20"/>
          <w:lang w:eastAsia="es-MX"/>
        </w:rPr>
        <w:t>Desarrollo Integral de T</w:t>
      </w:r>
      <w:r w:rsidRPr="001F1EBF">
        <w:rPr>
          <w:rFonts w:ascii="Arial" w:eastAsia="Times New Roman" w:hAnsi="Arial" w:cs="Arial"/>
          <w:sz w:val="20"/>
          <w:szCs w:val="20"/>
          <w:lang w:eastAsia="es-MX"/>
        </w:rPr>
        <w:t xml:space="preserve">laxcala </w:t>
      </w:r>
      <w:r w:rsidRPr="001F1EBF">
        <w:rPr>
          <w:rFonts w:ascii="Arial" w:eastAsia="Times New Roman" w:hAnsi="Arial" w:cs="Arial"/>
          <w:b/>
          <w:bCs/>
          <w:sz w:val="20"/>
          <w:szCs w:val="20"/>
          <w:lang w:eastAsia="es-MX"/>
        </w:rPr>
        <w:t>FOMTLAX</w:t>
      </w:r>
      <w:r w:rsidRPr="001F1EBF">
        <w:rPr>
          <w:rFonts w:ascii="Arial" w:eastAsia="Times New Roman" w:hAnsi="Arial" w:cs="Arial"/>
          <w:sz w:val="20"/>
          <w:szCs w:val="20"/>
          <w:lang w:eastAsia="es-MX"/>
        </w:rPr>
        <w:t xml:space="preserve">, de acuerdo al decreto </w:t>
      </w:r>
      <w:r>
        <w:rPr>
          <w:rFonts w:ascii="Arial" w:eastAsia="Times New Roman" w:hAnsi="Arial" w:cs="Arial"/>
          <w:sz w:val="20"/>
          <w:szCs w:val="20"/>
          <w:lang w:eastAsia="es-MX"/>
        </w:rPr>
        <w:t>N</w:t>
      </w:r>
      <w:r w:rsidRPr="001F1EBF">
        <w:rPr>
          <w:rFonts w:ascii="Arial" w:eastAsia="Times New Roman" w:hAnsi="Arial" w:cs="Arial"/>
          <w:sz w:val="20"/>
          <w:szCs w:val="20"/>
          <w:lang w:eastAsia="es-MX"/>
        </w:rPr>
        <w:t xml:space="preserve">o. 152 de fecha 19 de noviembre de 2015 en el que se autoriza la extinción del </w:t>
      </w:r>
      <w:r>
        <w:rPr>
          <w:rFonts w:ascii="Arial" w:eastAsia="Times New Roman" w:hAnsi="Arial" w:cs="Arial"/>
          <w:b/>
          <w:sz w:val="20"/>
          <w:szCs w:val="20"/>
          <w:lang w:eastAsia="es-MX"/>
        </w:rPr>
        <w:t>F</w:t>
      </w:r>
      <w:r w:rsidRPr="001F1EBF">
        <w:rPr>
          <w:rFonts w:ascii="Arial" w:eastAsia="Times New Roman" w:hAnsi="Arial" w:cs="Arial"/>
          <w:b/>
          <w:bCs/>
          <w:sz w:val="20"/>
          <w:szCs w:val="20"/>
          <w:lang w:eastAsia="es-MX"/>
        </w:rPr>
        <w:t xml:space="preserve">ideicomiso para </w:t>
      </w:r>
      <w:r>
        <w:rPr>
          <w:rFonts w:ascii="Arial" w:eastAsia="Times New Roman" w:hAnsi="Arial" w:cs="Arial"/>
          <w:b/>
          <w:bCs/>
          <w:sz w:val="20"/>
          <w:szCs w:val="20"/>
          <w:lang w:eastAsia="es-MX"/>
        </w:rPr>
        <w:t>el Desarrollo Integral de la mujer Emprendedora.</w:t>
      </w: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EE46DB" w:rsidRDefault="00DA0A99" w:rsidP="00DA0A99">
      <w:pPr>
        <w:pStyle w:val="Texto"/>
        <w:spacing w:after="0" w:line="240" w:lineRule="exact"/>
        <w:ind w:firstLine="648"/>
        <w:rPr>
          <w:rFonts w:ascii="Soberana Sans Light" w:hAnsi="Soberana Sans Light"/>
          <w:b/>
          <w:sz w:val="20"/>
          <w:lang w:val="es-MX"/>
        </w:rPr>
      </w:pPr>
      <w:r w:rsidRPr="00EE46DB">
        <w:rPr>
          <w:rFonts w:ascii="Soberana Sans Light" w:hAnsi="Soberana Sans Light"/>
          <w:b/>
          <w:sz w:val="20"/>
          <w:lang w:val="es-MX"/>
        </w:rPr>
        <w:t>Activo</w:t>
      </w:r>
    </w:p>
    <w:p w:rsidR="00DA0A99" w:rsidRPr="00EE46DB" w:rsidRDefault="00DA0A99" w:rsidP="00DA0A99">
      <w:pPr>
        <w:pStyle w:val="Texto"/>
        <w:spacing w:after="0" w:line="240" w:lineRule="exact"/>
        <w:rPr>
          <w:rFonts w:ascii="Soberana Sans Light" w:hAnsi="Soberana Sans Light"/>
          <w:b/>
          <w:sz w:val="20"/>
          <w:lang w:val="es-MX"/>
        </w:rPr>
      </w:pPr>
      <w:r w:rsidRPr="00EE46DB">
        <w:rPr>
          <w:rFonts w:ascii="Soberana Sans Light" w:hAnsi="Soberana Sans Light"/>
          <w:b/>
          <w:sz w:val="20"/>
          <w:lang w:val="es-MX"/>
        </w:rPr>
        <w:t xml:space="preserve">      Efectivo y Equivalentes</w:t>
      </w:r>
    </w:p>
    <w:p w:rsidR="00DA0A99" w:rsidRPr="00EE46DB" w:rsidRDefault="00DA0A99" w:rsidP="00DA0A99">
      <w:pPr>
        <w:pStyle w:val="ROMANOS"/>
        <w:numPr>
          <w:ilvl w:val="0"/>
          <w:numId w:val="15"/>
        </w:numPr>
        <w:spacing w:after="0" w:line="240" w:lineRule="exact"/>
        <w:rPr>
          <w:rFonts w:ascii="Soberana Sans Light" w:hAnsi="Soberana Sans Light"/>
          <w:sz w:val="20"/>
          <w:szCs w:val="20"/>
          <w:lang w:val="es-MX"/>
        </w:rPr>
      </w:pPr>
      <w:r w:rsidRPr="00EE46DB">
        <w:rPr>
          <w:rFonts w:ascii="Soberana Sans Light" w:hAnsi="Soberana Sans Light"/>
          <w:sz w:val="20"/>
          <w:szCs w:val="20"/>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Pr="00EE46DB" w:rsidRDefault="00DA0A99" w:rsidP="00DA0A99">
      <w:pPr>
        <w:pStyle w:val="ROMANOS"/>
        <w:spacing w:after="0" w:line="240" w:lineRule="exact"/>
        <w:ind w:left="648" w:firstLine="0"/>
        <w:rPr>
          <w:rFonts w:ascii="Soberana Sans Light" w:hAnsi="Soberana Sans Light"/>
          <w:sz w:val="20"/>
          <w:szCs w:val="20"/>
          <w:lang w:val="es-MX"/>
        </w:rPr>
      </w:pP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 xml:space="preserve">En este rubro el importe reflejado en el estado de Situación Financiera corresponde a tres cuentas bancarias que se tienen aperturadas con Banamex. </w:t>
      </w:r>
    </w:p>
    <w:p w:rsidR="00DA0A99" w:rsidRPr="00EE46DB" w:rsidRDefault="00DA0A99" w:rsidP="00DA0A99">
      <w:pPr>
        <w:pStyle w:val="ROMANOS"/>
        <w:spacing w:after="0" w:line="240" w:lineRule="exact"/>
        <w:ind w:left="648" w:firstLine="0"/>
        <w:rPr>
          <w:sz w:val="20"/>
          <w:szCs w:val="20"/>
          <w:highlight w:val="yellow"/>
          <w:lang w:val="es-MX"/>
        </w:rPr>
      </w:pPr>
      <w:r w:rsidRPr="00EE46DB">
        <w:rPr>
          <w:sz w:val="20"/>
          <w:szCs w:val="20"/>
          <w:lang w:val="es-MX"/>
        </w:rPr>
        <w:t>1438</w:t>
      </w:r>
      <w:r w:rsidR="009C6E36" w:rsidRPr="00EE46DB">
        <w:rPr>
          <w:sz w:val="20"/>
          <w:szCs w:val="20"/>
          <w:lang w:val="es-MX"/>
        </w:rPr>
        <w:t>4</w:t>
      </w:r>
      <w:r w:rsidRPr="00EE46DB">
        <w:rPr>
          <w:sz w:val="20"/>
          <w:szCs w:val="20"/>
          <w:lang w:val="es-MX"/>
        </w:rPr>
        <w:t>-</w:t>
      </w:r>
      <w:r w:rsidR="009C6E36" w:rsidRPr="00EE46DB">
        <w:rPr>
          <w:sz w:val="20"/>
          <w:szCs w:val="20"/>
          <w:lang w:val="es-MX"/>
        </w:rPr>
        <w:t>5</w:t>
      </w:r>
      <w:r w:rsidRPr="00EE46DB">
        <w:rPr>
          <w:sz w:val="20"/>
          <w:szCs w:val="20"/>
          <w:lang w:val="es-MX"/>
        </w:rPr>
        <w:tab/>
      </w:r>
      <w:r w:rsidRPr="00EE46DB">
        <w:rPr>
          <w:sz w:val="20"/>
          <w:szCs w:val="20"/>
          <w:lang w:val="es-MX"/>
        </w:rPr>
        <w:tab/>
        <w:t>Cuenta Principal</w:t>
      </w:r>
      <w:r w:rsidRPr="00EE46DB">
        <w:rPr>
          <w:sz w:val="20"/>
          <w:szCs w:val="20"/>
          <w:lang w:val="es-MX"/>
        </w:rPr>
        <w:tab/>
      </w:r>
      <w:r w:rsidRPr="00EE46DB">
        <w:rPr>
          <w:sz w:val="20"/>
          <w:szCs w:val="20"/>
          <w:lang w:val="es-MX"/>
        </w:rPr>
        <w:tab/>
      </w:r>
      <w:r w:rsidRPr="00EE46DB">
        <w:rPr>
          <w:sz w:val="20"/>
          <w:szCs w:val="20"/>
          <w:lang w:val="es-MX"/>
        </w:rPr>
        <w:tab/>
      </w:r>
      <w:r w:rsidR="008E4520" w:rsidRPr="00EE46DB">
        <w:rPr>
          <w:sz w:val="20"/>
          <w:szCs w:val="20"/>
          <w:lang w:val="es-MX"/>
        </w:rPr>
        <w:tab/>
      </w:r>
      <w:r w:rsidR="00CD6678" w:rsidRPr="00EE46DB">
        <w:rPr>
          <w:sz w:val="20"/>
          <w:szCs w:val="20"/>
          <w:lang w:val="es-MX"/>
        </w:rPr>
        <w:t xml:space="preserve"> </w:t>
      </w:r>
      <w:r w:rsidR="009E35AD"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50242</w:t>
      </w:r>
      <w:r w:rsidR="009C6E36" w:rsidRPr="00EE46DB">
        <w:rPr>
          <w:sz w:val="20"/>
          <w:szCs w:val="20"/>
          <w:lang w:val="es-MX"/>
        </w:rPr>
        <w:t>6</w:t>
      </w:r>
      <w:r w:rsidRPr="00EE46DB">
        <w:rPr>
          <w:sz w:val="20"/>
          <w:szCs w:val="20"/>
          <w:lang w:val="es-MX"/>
        </w:rPr>
        <w:t>-</w:t>
      </w:r>
      <w:r w:rsidR="009C6E36" w:rsidRPr="00EE46DB">
        <w:rPr>
          <w:sz w:val="20"/>
          <w:szCs w:val="20"/>
          <w:lang w:val="es-MX"/>
        </w:rPr>
        <w:t>7</w:t>
      </w:r>
      <w:r w:rsidRPr="00EE46DB">
        <w:rPr>
          <w:sz w:val="20"/>
          <w:szCs w:val="20"/>
          <w:lang w:val="es-MX"/>
        </w:rPr>
        <w:tab/>
      </w:r>
      <w:r w:rsidRPr="00EE46DB">
        <w:rPr>
          <w:sz w:val="20"/>
          <w:szCs w:val="20"/>
          <w:lang w:val="es-MX"/>
        </w:rPr>
        <w:tab/>
        <w:t>Cuenta Inafectable 10%</w:t>
      </w:r>
      <w:r w:rsidRPr="00EE46DB">
        <w:rPr>
          <w:sz w:val="20"/>
          <w:szCs w:val="20"/>
          <w:lang w:val="es-MX"/>
        </w:rPr>
        <w:tab/>
      </w:r>
      <w:r w:rsidR="008E4520" w:rsidRPr="00EE46DB">
        <w:rPr>
          <w:sz w:val="20"/>
          <w:szCs w:val="20"/>
          <w:lang w:val="es-MX"/>
        </w:rPr>
        <w:tab/>
      </w:r>
      <w:r w:rsidRPr="00EE46DB">
        <w:rPr>
          <w:sz w:val="20"/>
          <w:szCs w:val="20"/>
          <w:lang w:val="es-MX"/>
        </w:rPr>
        <w:tab/>
      </w:r>
      <w:r w:rsidR="00A25FE2" w:rsidRPr="00EE46DB">
        <w:rPr>
          <w:sz w:val="20"/>
          <w:szCs w:val="20"/>
          <w:lang w:val="es-MX"/>
        </w:rPr>
        <w:t xml:space="preserve"> </w:t>
      </w:r>
      <w:r w:rsidR="00782E48"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502432-1</w:t>
      </w:r>
      <w:r w:rsidRPr="00EE46DB">
        <w:rPr>
          <w:sz w:val="20"/>
          <w:szCs w:val="20"/>
          <w:lang w:val="es-MX"/>
        </w:rPr>
        <w:tab/>
      </w:r>
      <w:r w:rsidRPr="00EE46DB">
        <w:rPr>
          <w:sz w:val="20"/>
          <w:szCs w:val="20"/>
          <w:lang w:val="es-MX"/>
        </w:rPr>
        <w:tab/>
        <w:t>Cuenta Fondo de Contingencia</w:t>
      </w:r>
      <w:r w:rsidR="008E4520" w:rsidRPr="00EE46DB">
        <w:rPr>
          <w:sz w:val="20"/>
          <w:szCs w:val="20"/>
          <w:lang w:val="es-MX"/>
        </w:rPr>
        <w:tab/>
      </w:r>
      <w:r w:rsidR="008E4520" w:rsidRPr="00EE46DB">
        <w:rPr>
          <w:sz w:val="20"/>
          <w:szCs w:val="20"/>
          <w:lang w:val="es-MX"/>
        </w:rPr>
        <w:tab/>
      </w:r>
      <w:r w:rsidR="00A5419B" w:rsidRPr="00EE46DB">
        <w:rPr>
          <w:sz w:val="20"/>
          <w:szCs w:val="20"/>
          <w:lang w:val="es-MX"/>
        </w:rPr>
        <w:t xml:space="preserve"> </w:t>
      </w:r>
      <w:r w:rsidR="00A25FE2" w:rsidRPr="00EE46DB">
        <w:rPr>
          <w:sz w:val="20"/>
          <w:szCs w:val="20"/>
          <w:lang w:val="es-MX"/>
        </w:rPr>
        <w:t>0</w:t>
      </w:r>
    </w:p>
    <w:p w:rsidR="009E35AD" w:rsidRPr="00EE46DB" w:rsidRDefault="009E35AD" w:rsidP="00DA0A99">
      <w:pPr>
        <w:pStyle w:val="ROMANOS"/>
        <w:spacing w:after="0" w:line="240" w:lineRule="exact"/>
        <w:ind w:left="648" w:firstLine="0"/>
        <w:rPr>
          <w:sz w:val="20"/>
          <w:szCs w:val="20"/>
          <w:lang w:val="es-MX"/>
        </w:rPr>
      </w:pPr>
      <w:r w:rsidRPr="00EE46DB">
        <w:rPr>
          <w:sz w:val="20"/>
          <w:szCs w:val="20"/>
          <w:lang w:val="es-MX"/>
        </w:rPr>
        <w:t>62937942</w:t>
      </w:r>
      <w:r w:rsidRPr="00EE46DB">
        <w:rPr>
          <w:sz w:val="20"/>
          <w:szCs w:val="20"/>
          <w:lang w:val="es-MX"/>
        </w:rPr>
        <w:tab/>
        <w:t>Cuenta Principal</w:t>
      </w:r>
      <w:r w:rsidRPr="00EE46DB">
        <w:rPr>
          <w:sz w:val="20"/>
          <w:szCs w:val="20"/>
          <w:lang w:val="es-MX"/>
        </w:rPr>
        <w:tab/>
      </w:r>
      <w:r w:rsidRPr="00EE46DB">
        <w:rPr>
          <w:sz w:val="20"/>
          <w:szCs w:val="20"/>
          <w:lang w:val="es-MX"/>
        </w:rPr>
        <w:tab/>
      </w:r>
      <w:r w:rsidRPr="00EE46DB">
        <w:rPr>
          <w:sz w:val="20"/>
          <w:szCs w:val="20"/>
          <w:lang w:val="es-MX"/>
        </w:rPr>
        <w:tab/>
      </w:r>
      <w:r w:rsidRPr="00EE46DB">
        <w:rPr>
          <w:sz w:val="20"/>
          <w:szCs w:val="20"/>
          <w:lang w:val="es-MX"/>
        </w:rPr>
        <w:tab/>
      </w:r>
      <w:r w:rsidR="00A25FE2" w:rsidRPr="00EE46DB">
        <w:rPr>
          <w:sz w:val="20"/>
          <w:szCs w:val="20"/>
          <w:lang w:val="es-MX"/>
        </w:rPr>
        <w:t xml:space="preserve"> 0</w:t>
      </w:r>
    </w:p>
    <w:p w:rsidR="00DA0A99" w:rsidRPr="00EE46DB" w:rsidRDefault="00DA0A99" w:rsidP="00DA0A99">
      <w:pPr>
        <w:pStyle w:val="ROMANOS"/>
        <w:spacing w:after="0" w:line="240" w:lineRule="exact"/>
        <w:ind w:left="648" w:firstLine="0"/>
        <w:rPr>
          <w:rFonts w:ascii="Soberana Sans Light" w:hAnsi="Soberana Sans Light"/>
          <w:sz w:val="20"/>
          <w:szCs w:val="20"/>
          <w:lang w:val="es-MX"/>
        </w:rPr>
      </w:pPr>
    </w:p>
    <w:p w:rsidR="00DA0A99" w:rsidRPr="00EE46DB" w:rsidRDefault="00DA0A99" w:rsidP="00DA0A99">
      <w:pPr>
        <w:pStyle w:val="ROMANOS"/>
        <w:spacing w:after="0" w:line="240" w:lineRule="exact"/>
        <w:rPr>
          <w:rFonts w:ascii="Soberana Sans Light" w:hAnsi="Soberana Sans Light"/>
          <w:b/>
          <w:sz w:val="20"/>
          <w:szCs w:val="20"/>
          <w:lang w:val="es-MX"/>
        </w:rPr>
      </w:pPr>
      <w:r w:rsidRPr="00EE46DB">
        <w:rPr>
          <w:rFonts w:ascii="Soberana Sans Light" w:hAnsi="Soberana Sans Light"/>
          <w:b/>
          <w:sz w:val="20"/>
          <w:szCs w:val="20"/>
          <w:lang w:val="es-MX"/>
        </w:rPr>
        <w:t xml:space="preserve">      Derechos a recibir Efectivo y Equivalentes y Bienes o Servicios a Recibir</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 xml:space="preserve">En este concepto se refleja el importe de la cartera, correspondientes a los siguientes sectores: </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Agrícola</w:t>
      </w:r>
      <w:r w:rsidRPr="00EE46DB">
        <w:rPr>
          <w:sz w:val="20"/>
          <w:szCs w:val="20"/>
          <w:lang w:val="es-MX"/>
        </w:rPr>
        <w:tab/>
      </w:r>
      <w:r w:rsidRPr="00EE46DB">
        <w:rPr>
          <w:sz w:val="20"/>
          <w:szCs w:val="20"/>
          <w:lang w:val="es-MX"/>
        </w:rPr>
        <w:tab/>
      </w:r>
      <w:r w:rsidRPr="00EE46DB">
        <w:rPr>
          <w:sz w:val="20"/>
          <w:szCs w:val="20"/>
          <w:lang w:val="es-MX"/>
        </w:rPr>
        <w:tab/>
      </w:r>
      <w:r w:rsidR="009C6E36" w:rsidRPr="00EE46DB">
        <w:rPr>
          <w:sz w:val="20"/>
          <w:szCs w:val="20"/>
          <w:lang w:val="es-MX"/>
        </w:rPr>
        <w:t xml:space="preserve">   </w:t>
      </w:r>
      <w:r w:rsidR="006A5025"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Comercial</w:t>
      </w:r>
      <w:r w:rsidRPr="00EE46DB">
        <w:rPr>
          <w:sz w:val="20"/>
          <w:szCs w:val="20"/>
          <w:lang w:val="es-MX"/>
        </w:rPr>
        <w:tab/>
      </w:r>
      <w:r w:rsidRPr="00EE46DB">
        <w:rPr>
          <w:sz w:val="20"/>
          <w:szCs w:val="20"/>
          <w:lang w:val="es-MX"/>
        </w:rPr>
        <w:tab/>
        <w:t xml:space="preserve">  </w:t>
      </w:r>
      <w:r w:rsidR="009C6E36" w:rsidRPr="00EE46DB">
        <w:rPr>
          <w:sz w:val="20"/>
          <w:szCs w:val="20"/>
          <w:lang w:val="es-MX"/>
        </w:rPr>
        <w:t xml:space="preserve"> </w:t>
      </w:r>
      <w:r w:rsidR="006A5025"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Ganadero</w:t>
      </w:r>
      <w:r w:rsidRPr="00EE46DB">
        <w:rPr>
          <w:sz w:val="20"/>
          <w:szCs w:val="20"/>
          <w:lang w:val="es-MX"/>
        </w:rPr>
        <w:tab/>
      </w:r>
      <w:r w:rsidRPr="00EE46DB">
        <w:rPr>
          <w:sz w:val="20"/>
          <w:szCs w:val="20"/>
          <w:lang w:val="es-MX"/>
        </w:rPr>
        <w:tab/>
      </w:r>
      <w:r w:rsidR="009C6E36" w:rsidRPr="00EE46DB">
        <w:rPr>
          <w:sz w:val="20"/>
          <w:szCs w:val="20"/>
          <w:lang w:val="es-MX"/>
        </w:rPr>
        <w:t xml:space="preserve">   </w:t>
      </w:r>
      <w:r w:rsidR="006A5025"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Industrial</w:t>
      </w:r>
      <w:r w:rsidRPr="00EE46DB">
        <w:rPr>
          <w:sz w:val="20"/>
          <w:szCs w:val="20"/>
          <w:lang w:val="es-MX"/>
        </w:rPr>
        <w:tab/>
      </w:r>
      <w:r w:rsidRPr="00EE46DB">
        <w:rPr>
          <w:sz w:val="20"/>
          <w:szCs w:val="20"/>
          <w:lang w:val="es-MX"/>
        </w:rPr>
        <w:tab/>
      </w:r>
      <w:r w:rsidRPr="00EE46DB">
        <w:rPr>
          <w:sz w:val="20"/>
          <w:szCs w:val="20"/>
          <w:lang w:val="es-MX"/>
        </w:rPr>
        <w:tab/>
      </w:r>
      <w:r w:rsidR="00FB1CAF" w:rsidRPr="00EE46DB">
        <w:rPr>
          <w:sz w:val="20"/>
          <w:szCs w:val="20"/>
          <w:lang w:val="es-MX"/>
        </w:rPr>
        <w:t xml:space="preserve">   </w:t>
      </w:r>
      <w:r w:rsidR="006A5025" w:rsidRPr="00EE46DB">
        <w:rPr>
          <w:sz w:val="20"/>
          <w:szCs w:val="20"/>
          <w:lang w:val="es-MX"/>
        </w:rPr>
        <w:t>0</w:t>
      </w:r>
    </w:p>
    <w:p w:rsidR="00DA0A99" w:rsidRPr="00EE46DB" w:rsidRDefault="00DA0A99" w:rsidP="00DA0A99">
      <w:pPr>
        <w:pStyle w:val="ROMANOS"/>
        <w:spacing w:after="0" w:line="240" w:lineRule="exact"/>
        <w:ind w:left="648" w:firstLine="0"/>
        <w:rPr>
          <w:sz w:val="20"/>
          <w:szCs w:val="20"/>
          <w:lang w:val="es-MX"/>
        </w:rPr>
      </w:pPr>
      <w:r w:rsidRPr="00EE46DB">
        <w:rPr>
          <w:sz w:val="20"/>
          <w:szCs w:val="20"/>
          <w:lang w:val="es-MX"/>
        </w:rPr>
        <w:t>Servicios</w:t>
      </w:r>
      <w:r w:rsidR="0062268E" w:rsidRPr="00EE46DB">
        <w:rPr>
          <w:sz w:val="20"/>
          <w:szCs w:val="20"/>
          <w:lang w:val="es-MX"/>
        </w:rPr>
        <w:tab/>
      </w:r>
      <w:r w:rsidR="0062268E" w:rsidRPr="00EE46DB">
        <w:rPr>
          <w:sz w:val="20"/>
          <w:szCs w:val="20"/>
          <w:lang w:val="es-MX"/>
        </w:rPr>
        <w:tab/>
      </w:r>
      <w:r w:rsidR="0062268E" w:rsidRPr="00EE46DB">
        <w:rPr>
          <w:sz w:val="20"/>
          <w:szCs w:val="20"/>
          <w:lang w:val="es-MX"/>
        </w:rPr>
        <w:tab/>
      </w:r>
      <w:r w:rsidR="00FB1CAF" w:rsidRPr="00EE46DB">
        <w:rPr>
          <w:sz w:val="20"/>
          <w:szCs w:val="20"/>
          <w:lang w:val="es-MX"/>
        </w:rPr>
        <w:t xml:space="preserve"> </w:t>
      </w:r>
      <w:r w:rsidR="00E42458" w:rsidRPr="00EE46DB">
        <w:rPr>
          <w:sz w:val="20"/>
          <w:szCs w:val="20"/>
          <w:lang w:val="es-MX"/>
        </w:rPr>
        <w:t xml:space="preserve"> </w:t>
      </w:r>
      <w:r w:rsidR="006A5025" w:rsidRPr="00EE46DB">
        <w:rPr>
          <w:sz w:val="20"/>
          <w:szCs w:val="20"/>
          <w:lang w:val="es-MX"/>
        </w:rPr>
        <w:t xml:space="preserve"> 0</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 y no cuenta con juicios con la antigüedad señalada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A10151">
        <w:rPr>
          <w:rFonts w:ascii="Soberana Sans Light" w:hAnsi="Soberana Sans Light"/>
          <w:sz w:val="22"/>
          <w:szCs w:val="22"/>
          <w:lang w:val="es-MX"/>
        </w:rPr>
        <w:t>No aplica para el Fideicomiso, no se reciben bienes  o servicios ni tampoco cuentas por cobrar</w:t>
      </w:r>
    </w:p>
    <w:p w:rsidR="00A10151" w:rsidRDefault="00A10151" w:rsidP="00A10151">
      <w:pPr>
        <w:pStyle w:val="ROMANOS"/>
        <w:spacing w:after="0" w:line="240" w:lineRule="exact"/>
        <w:rPr>
          <w:rFonts w:ascii="Soberana Sans Light" w:hAnsi="Soberana Sans Light"/>
          <w:b/>
          <w:sz w:val="22"/>
          <w:szCs w:val="22"/>
          <w:lang w:val="es-MX"/>
        </w:rPr>
      </w:pPr>
    </w:p>
    <w:p w:rsidR="007603E6" w:rsidRDefault="007603E6" w:rsidP="00DA0A99">
      <w:pPr>
        <w:pStyle w:val="ROMANOS"/>
        <w:spacing w:after="0" w:line="240" w:lineRule="exact"/>
        <w:rPr>
          <w:rFonts w:ascii="Soberana Sans Light" w:hAnsi="Soberana Sans Light"/>
          <w:b/>
          <w:sz w:val="22"/>
          <w:szCs w:val="22"/>
          <w:lang w:val="es-MX"/>
        </w:rPr>
      </w:pPr>
    </w:p>
    <w:p w:rsidR="00DA0A99" w:rsidRPr="00540418" w:rsidRDefault="0070233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E42458"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disponibles para su transformación o consumo de inventarios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almacén</w:t>
      </w:r>
    </w:p>
    <w:p w:rsidR="00A10151" w:rsidRPr="00540418"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inversiones financieras</w:t>
      </w:r>
      <w:r w:rsidR="00A10151" w:rsidRPr="00540418">
        <w:rPr>
          <w:rFonts w:ascii="Soberana Sans Light" w:hAnsi="Soberana Sans Light"/>
          <w:sz w:val="22"/>
          <w:szCs w:val="22"/>
          <w:lang w:val="es-MX"/>
        </w:rPr>
        <w:t xml:space="preserve"> </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Default="00DA0A99" w:rsidP="00A10151">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Pr="00E90DE1"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E90DE1">
        <w:rPr>
          <w:rFonts w:ascii="Soberana Sans Light" w:hAnsi="Soberana Sans Light"/>
          <w:sz w:val="22"/>
          <w:szCs w:val="22"/>
          <w:lang w:val="es-MX"/>
        </w:rPr>
        <w:tab/>
      </w:r>
      <w:r w:rsidR="00EE46DB">
        <w:rPr>
          <w:rFonts w:ascii="Soberana Sans Light" w:hAnsi="Soberana Sans Light"/>
          <w:sz w:val="22"/>
          <w:szCs w:val="22"/>
          <w:lang w:val="es-MX"/>
        </w:rPr>
        <w:t>0</w:t>
      </w:r>
    </w:p>
    <w:p w:rsidR="00DA0A99" w:rsidRPr="00E90DE1" w:rsidRDefault="009F336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Mobiliario y Equipo de Oficina</w:t>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E90DE1">
        <w:rPr>
          <w:rFonts w:ascii="Soberana Sans Light" w:hAnsi="Soberana Sans Light"/>
          <w:sz w:val="22"/>
          <w:szCs w:val="22"/>
          <w:lang w:val="es-MX"/>
        </w:rPr>
        <w:tab/>
      </w:r>
      <w:r w:rsidR="00EE46DB">
        <w:rPr>
          <w:rFonts w:ascii="Soberana Sans Light" w:hAnsi="Soberana Sans Light"/>
          <w:sz w:val="22"/>
          <w:szCs w:val="22"/>
          <w:lang w:val="es-MX"/>
        </w:rPr>
        <w:t>0</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Equipo de Com</w:t>
      </w:r>
      <w:r w:rsidR="009F3369" w:rsidRPr="00E90DE1">
        <w:rPr>
          <w:rFonts w:ascii="Soberana Sans Light" w:hAnsi="Soberana Sans Light"/>
          <w:sz w:val="22"/>
          <w:szCs w:val="22"/>
          <w:lang w:val="es-MX"/>
        </w:rPr>
        <w:t xml:space="preserve">puto, Electrónico y Software </w:t>
      </w:r>
      <w:r w:rsidR="00E90DE1" w:rsidRPr="00E90DE1">
        <w:rPr>
          <w:rFonts w:ascii="Soberana Sans Light" w:hAnsi="Soberana Sans Light"/>
          <w:sz w:val="22"/>
          <w:szCs w:val="22"/>
          <w:lang w:val="es-MX"/>
        </w:rPr>
        <w:tab/>
      </w:r>
      <w:r w:rsidR="00E90DE1">
        <w:rPr>
          <w:rFonts w:ascii="Soberana Sans Light" w:hAnsi="Soberana Sans Light"/>
          <w:sz w:val="22"/>
          <w:szCs w:val="22"/>
          <w:lang w:val="es-MX"/>
        </w:rPr>
        <w:tab/>
      </w:r>
      <w:r w:rsidR="00EE46DB">
        <w:rPr>
          <w:rFonts w:ascii="Soberana Sans Light" w:hAnsi="Soberana Sans Light"/>
          <w:sz w:val="22"/>
          <w:szCs w:val="22"/>
          <w:lang w:val="es-MX"/>
        </w:rPr>
        <w:t>0</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intangibles</w:t>
      </w:r>
    </w:p>
    <w:p w:rsidR="00DA0A99" w:rsidRPr="00540418" w:rsidRDefault="00DA0A99" w:rsidP="00A10151">
      <w:pPr>
        <w:pStyle w:val="ROMANOS"/>
        <w:spacing w:after="0" w:line="240" w:lineRule="exact"/>
        <w:ind w:left="648" w:firstLine="0"/>
        <w:rPr>
          <w:rFonts w:ascii="Soberana Sans Light" w:hAnsi="Soberana Sans Light"/>
          <w:sz w:val="22"/>
          <w:szCs w:val="22"/>
          <w:lang w:val="es-MX"/>
        </w:rPr>
      </w:pPr>
    </w:p>
    <w:p w:rsidR="008C5826"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DA0A99" w:rsidRPr="00540418" w:rsidRDefault="008C5826"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ab/>
      </w:r>
      <w:r w:rsidR="00DA0A99" w:rsidRPr="00540418">
        <w:rPr>
          <w:rFonts w:ascii="Soberana Sans Light" w:hAnsi="Soberana Sans Light"/>
          <w:b/>
          <w:sz w:val="22"/>
          <w:szCs w:val="22"/>
          <w:lang w:val="es-MX"/>
        </w:rPr>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En el Fideicomiso no se ha realizado la estimación de las cuentas incobrables estimación de inventarios y deterioros de activos biológicos no aplica.</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otros activos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No aplica para el Fideicomiso no cuenta con cuentas y documentos por pagar </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176AF5"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176AF5">
        <w:rPr>
          <w:rFonts w:ascii="Soberana Sans Light" w:hAnsi="Soberana Sans Light"/>
          <w:sz w:val="22"/>
          <w:szCs w:val="22"/>
          <w:lang w:val="es-MX"/>
        </w:rPr>
        <w:tab/>
      </w:r>
      <w:r>
        <w:rPr>
          <w:rFonts w:ascii="Soberana Sans Light" w:hAnsi="Soberana Sans Light"/>
          <w:sz w:val="22"/>
          <w:szCs w:val="22"/>
          <w:lang w:val="es-MX"/>
        </w:rPr>
        <w:t xml:space="preserve">    </w:t>
      </w:r>
      <w:r w:rsidR="00C245F8">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526A07">
        <w:rPr>
          <w:rFonts w:ascii="Soberana Sans Light" w:hAnsi="Soberana Sans Light"/>
          <w:sz w:val="22"/>
          <w:szCs w:val="22"/>
          <w:lang w:val="es-MX"/>
        </w:rPr>
        <w:t>0</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176AF5">
        <w:rPr>
          <w:rFonts w:ascii="Soberana Sans Light" w:hAnsi="Soberana Sans Light"/>
          <w:sz w:val="22"/>
          <w:szCs w:val="22"/>
          <w:lang w:val="es-MX"/>
        </w:rPr>
        <w:t>Recuperaciones Pendientes por Aplicar</w:t>
      </w:r>
      <w:r w:rsidR="00176AF5" w:rsidRPr="00176AF5">
        <w:rPr>
          <w:rFonts w:ascii="Soberana Sans Light" w:hAnsi="Soberana Sans Light"/>
          <w:sz w:val="22"/>
          <w:szCs w:val="22"/>
          <w:lang w:val="es-MX"/>
        </w:rPr>
        <w:tab/>
      </w:r>
      <w:r w:rsidR="00176AF5">
        <w:rPr>
          <w:rFonts w:ascii="Soberana Sans Light" w:hAnsi="Soberana Sans Light"/>
          <w:sz w:val="22"/>
          <w:szCs w:val="22"/>
          <w:lang w:val="es-MX"/>
        </w:rPr>
        <w:tab/>
      </w:r>
      <w:r w:rsidRPr="00176AF5">
        <w:rPr>
          <w:rFonts w:ascii="Soberana Sans Light" w:hAnsi="Soberana Sans Light"/>
          <w:sz w:val="22"/>
          <w:szCs w:val="22"/>
          <w:lang w:val="es-MX"/>
        </w:rPr>
        <w:t xml:space="preserve">    </w:t>
      </w:r>
      <w:r w:rsidR="00C245F8" w:rsidRPr="00176AF5">
        <w:rPr>
          <w:rFonts w:ascii="Soberana Sans Light" w:hAnsi="Soberana Sans Light"/>
          <w:sz w:val="22"/>
          <w:szCs w:val="22"/>
          <w:lang w:val="es-MX"/>
        </w:rPr>
        <w:t xml:space="preserve">  </w:t>
      </w:r>
      <w:r w:rsidR="00F15CEE" w:rsidRPr="00176AF5">
        <w:rPr>
          <w:rFonts w:ascii="Soberana Sans Light" w:hAnsi="Soberana Sans Light"/>
          <w:sz w:val="22"/>
          <w:szCs w:val="22"/>
          <w:lang w:val="es-MX"/>
        </w:rPr>
        <w:t xml:space="preserve">   </w:t>
      </w:r>
      <w:r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526A07">
        <w:rPr>
          <w:rFonts w:ascii="Soberana Sans Light" w:hAnsi="Soberana Sans Light"/>
          <w:sz w:val="22"/>
          <w:szCs w:val="22"/>
          <w:lang w:val="es-MX"/>
        </w:rPr>
        <w:t xml:space="preserve">   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características que impacten financieramente</w:t>
      </w:r>
    </w:p>
    <w:p w:rsidR="00A10151" w:rsidRDefault="00A10151" w:rsidP="00A10151">
      <w:pPr>
        <w:pStyle w:val="ROMANOS"/>
        <w:spacing w:after="0" w:line="240" w:lineRule="exact"/>
        <w:ind w:left="648" w:firstLine="0"/>
        <w:rPr>
          <w:rFonts w:ascii="Soberana Sans Light" w:hAnsi="Soberana Sans Light"/>
          <w:sz w:val="22"/>
          <w:szCs w:val="22"/>
          <w:lang w:val="es-MX"/>
        </w:rPr>
      </w:pPr>
    </w:p>
    <w:p w:rsidR="00A61F97" w:rsidRDefault="00A61F97" w:rsidP="00A10151">
      <w:pPr>
        <w:pStyle w:val="ROMANOS"/>
        <w:spacing w:after="0" w:line="240" w:lineRule="exact"/>
        <w:ind w:left="648" w:firstLine="0"/>
        <w:rPr>
          <w:rFonts w:ascii="Soberana Sans Light" w:hAnsi="Soberana Sans Light"/>
          <w:sz w:val="22"/>
          <w:szCs w:val="22"/>
          <w:lang w:val="es-MX"/>
        </w:rPr>
      </w:pPr>
    </w:p>
    <w:p w:rsidR="00A61F97" w:rsidRDefault="00A61F97" w:rsidP="00A10151">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545B42" w:rsidRDefault="00545B42"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A61F97" w:rsidRDefault="00A61F97" w:rsidP="00DA0A99">
      <w:pPr>
        <w:pStyle w:val="INCISO"/>
        <w:spacing w:after="0" w:line="240" w:lineRule="exact"/>
        <w:ind w:left="360"/>
        <w:rPr>
          <w:rFonts w:ascii="Soberana Sans Light" w:hAnsi="Soberana Sans Light"/>
          <w:b/>
          <w:smallCaps/>
          <w:sz w:val="22"/>
          <w:szCs w:val="22"/>
        </w:rPr>
      </w:pPr>
    </w:p>
    <w:p w:rsidR="00A61F97" w:rsidRDefault="00A61F97" w:rsidP="00DA0A99">
      <w:pPr>
        <w:pStyle w:val="INCISO"/>
        <w:spacing w:after="0" w:line="240" w:lineRule="exact"/>
        <w:ind w:left="360"/>
        <w:rPr>
          <w:rFonts w:ascii="Soberana Sans Light" w:hAnsi="Soberana Sans Light"/>
          <w:b/>
          <w:smallCaps/>
          <w:sz w:val="22"/>
          <w:szCs w:val="22"/>
        </w:rPr>
      </w:pPr>
    </w:p>
    <w:p w:rsidR="00A61F97" w:rsidRDefault="00A61F97" w:rsidP="00DA0A99">
      <w:pPr>
        <w:pStyle w:val="INCISO"/>
        <w:spacing w:after="0" w:line="240" w:lineRule="exact"/>
        <w:ind w:left="360"/>
        <w:rPr>
          <w:rFonts w:ascii="Soberana Sans Light" w:hAnsi="Soberana Sans Light"/>
          <w:b/>
          <w:smallCaps/>
          <w:sz w:val="22"/>
          <w:szCs w:val="22"/>
        </w:rPr>
      </w:pPr>
    </w:p>
    <w:p w:rsidR="00A61F97" w:rsidRDefault="00A61F97"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174348" w:rsidRDefault="00174348"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rubros de impuestos</w:t>
      </w:r>
    </w:p>
    <w:p w:rsidR="00A10151" w:rsidRPr="00540418" w:rsidRDefault="00A10151" w:rsidP="00A10151">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w:t>
      </w:r>
      <w:r w:rsidR="00C31A19">
        <w:rPr>
          <w:rFonts w:ascii="Soberana Sans Light" w:hAnsi="Soberana Sans Light"/>
          <w:sz w:val="22"/>
          <w:szCs w:val="22"/>
          <w:lang w:val="es-MX"/>
        </w:rPr>
        <w:t xml:space="preserve"> a productos de tipo corriente e</w:t>
      </w:r>
      <w:r>
        <w:rPr>
          <w:rFonts w:ascii="Soberana Sans Light" w:hAnsi="Soberana Sans Light"/>
          <w:sz w:val="22"/>
          <w:szCs w:val="22"/>
          <w:lang w:val="es-MX"/>
        </w:rPr>
        <w:t xml:space="preserve"> ingresos financieros por </w:t>
      </w:r>
      <w:r w:rsidRPr="003C3559">
        <w:rPr>
          <w:rFonts w:ascii="Soberana Sans Light" w:hAnsi="Soberana Sans Light"/>
          <w:sz w:val="22"/>
          <w:szCs w:val="22"/>
          <w:lang w:val="es-MX"/>
        </w:rPr>
        <w:t>$</w:t>
      </w:r>
      <w:r w:rsidR="00506B33">
        <w:rPr>
          <w:rFonts w:ascii="Soberana Sans Light" w:hAnsi="Soberana Sans Light"/>
          <w:sz w:val="22"/>
          <w:szCs w:val="22"/>
          <w:lang w:val="es-MX"/>
        </w:rPr>
        <w:t>607</w:t>
      </w:r>
      <w:r w:rsidR="003C3559">
        <w:rPr>
          <w:rFonts w:ascii="Soberana Sans Light" w:hAnsi="Soberana Sans Light"/>
          <w:sz w:val="22"/>
          <w:szCs w:val="22"/>
          <w:lang w:val="es-MX"/>
        </w:rPr>
        <w:t>,</w:t>
      </w:r>
      <w:r w:rsidR="00506B33">
        <w:rPr>
          <w:rFonts w:ascii="Soberana Sans Light" w:hAnsi="Soberana Sans Light"/>
          <w:sz w:val="22"/>
          <w:szCs w:val="22"/>
          <w:lang w:val="es-MX"/>
        </w:rPr>
        <w:t>285</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de </w:t>
      </w:r>
      <w:r w:rsidRPr="0070568D">
        <w:rPr>
          <w:rFonts w:ascii="Soberana Sans Light" w:hAnsi="Soberana Sans Light"/>
          <w:sz w:val="22"/>
          <w:szCs w:val="22"/>
          <w:lang w:val="es-MX"/>
        </w:rPr>
        <w:t>$</w:t>
      </w:r>
      <w:r w:rsidR="002E4A8E">
        <w:rPr>
          <w:rFonts w:ascii="Soberana Sans Light" w:hAnsi="Soberana Sans Light"/>
          <w:sz w:val="22"/>
          <w:szCs w:val="22"/>
          <w:lang w:val="es-MX"/>
        </w:rPr>
        <w:t>14,885</w:t>
      </w:r>
      <w:r>
        <w:rPr>
          <w:rFonts w:ascii="Soberana Sans Light" w:hAnsi="Soberana Sans Light"/>
          <w:sz w:val="22"/>
          <w:szCs w:val="22"/>
          <w:lang w:val="es-MX"/>
        </w:rPr>
        <w:t xml:space="preserve"> corresponde a </w:t>
      </w:r>
      <w:r w:rsidR="00E13415">
        <w:rPr>
          <w:rFonts w:ascii="Soberana Sans Light" w:hAnsi="Soberana Sans Light"/>
          <w:sz w:val="22"/>
          <w:szCs w:val="22"/>
          <w:lang w:val="es-MX"/>
        </w:rPr>
        <w:t xml:space="preserve">y </w:t>
      </w:r>
      <w:r>
        <w:rPr>
          <w:rFonts w:ascii="Soberana Sans Light" w:hAnsi="Soberana Sans Light"/>
          <w:sz w:val="22"/>
          <w:szCs w:val="22"/>
          <w:lang w:val="es-MX"/>
        </w:rPr>
        <w:t>servicios generales.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E13415" w:rsidRDefault="00E13415" w:rsidP="00DA0A99">
      <w:pPr>
        <w:pStyle w:val="ROMANOS"/>
        <w:spacing w:after="0" w:line="240" w:lineRule="exact"/>
        <w:ind w:left="723" w:firstLine="0"/>
        <w:rPr>
          <w:rFonts w:ascii="Soberana Sans Light" w:hAnsi="Soberana Sans Light"/>
          <w:sz w:val="22"/>
          <w:szCs w:val="22"/>
          <w:lang w:val="es-MX"/>
        </w:rPr>
      </w:pPr>
    </w:p>
    <w:p w:rsidR="00A10151" w:rsidRDefault="00A10151" w:rsidP="00A10151">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w:t>
      </w:r>
      <w:r w:rsidR="00E80676">
        <w:rPr>
          <w:rFonts w:ascii="Soberana Sans Light" w:hAnsi="Soberana Sans Light"/>
          <w:sz w:val="22"/>
          <w:szCs w:val="22"/>
          <w:lang w:val="es-MX"/>
        </w:rPr>
        <w:t>6</w:t>
      </w:r>
      <w:r>
        <w:rPr>
          <w:rFonts w:ascii="Soberana Sans Light" w:hAnsi="Soberana Sans Light"/>
          <w:sz w:val="22"/>
          <w:szCs w:val="22"/>
          <w:lang w:val="es-MX"/>
        </w:rPr>
        <w:t>.</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7</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6</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3C3559" w:rsidRDefault="007603E6" w:rsidP="008B7943">
            <w:pPr>
              <w:pStyle w:val="Texto"/>
              <w:spacing w:after="0" w:line="240" w:lineRule="exact"/>
              <w:ind w:firstLine="0"/>
              <w:jc w:val="center"/>
              <w:rPr>
                <w:rFonts w:ascii="Soberana Sans Light" w:hAnsi="Soberana Sans Light"/>
                <w:szCs w:val="18"/>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3C3559" w:rsidRDefault="008B7943" w:rsidP="003C3559">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9’801,507</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06B33"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506B33" w:rsidRPr="00540418" w:rsidRDefault="00506B33"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06B33" w:rsidRPr="003C3559" w:rsidRDefault="007603E6" w:rsidP="00DF7578">
            <w:pPr>
              <w:pStyle w:val="Texto"/>
              <w:spacing w:after="0" w:line="240" w:lineRule="exact"/>
              <w:ind w:firstLine="0"/>
              <w:jc w:val="center"/>
              <w:rPr>
                <w:rFonts w:ascii="Soberana Sans Light" w:hAnsi="Soberana Sans Light"/>
                <w:szCs w:val="18"/>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506B33" w:rsidRPr="003C3559" w:rsidRDefault="008B7943" w:rsidP="00DF7578">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9’801,507</w:t>
            </w:r>
          </w:p>
        </w:tc>
      </w:tr>
    </w:tbl>
    <w:p w:rsidR="00DA0A99" w:rsidRDefault="00DA0A99" w:rsidP="00DA0A99">
      <w:pPr>
        <w:pStyle w:val="Texto"/>
        <w:spacing w:after="0" w:line="240" w:lineRule="exact"/>
        <w:rPr>
          <w:rFonts w:ascii="Soberana Sans Light" w:hAnsi="Soberana Sans Light"/>
          <w:sz w:val="22"/>
          <w:szCs w:val="22"/>
          <w:lang w:val="es-MX"/>
        </w:rPr>
      </w:pPr>
    </w:p>
    <w:p w:rsidR="00174348" w:rsidRDefault="00174348" w:rsidP="00DA0A99">
      <w:pPr>
        <w:pStyle w:val="Texto"/>
        <w:spacing w:after="0" w:line="240" w:lineRule="exact"/>
        <w:rPr>
          <w:rFonts w:ascii="Soberana Sans Light" w:hAnsi="Soberana Sans Light"/>
          <w:sz w:val="22"/>
          <w:szCs w:val="22"/>
          <w:lang w:val="es-MX"/>
        </w:rPr>
      </w:pPr>
    </w:p>
    <w:p w:rsidR="00174348" w:rsidRPr="00540418" w:rsidRDefault="00174348"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C13A09" w:rsidRDefault="00C13A09" w:rsidP="00C13A0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subsidios de capital del sector central</w:t>
      </w:r>
    </w:p>
    <w:p w:rsidR="006B20CF" w:rsidRDefault="006B20CF" w:rsidP="00C13A0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8278FE" w:rsidRPr="00540418" w:rsidRDefault="008278FE"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rPr>
          <w:rFonts w:ascii="Soberana Sans Light" w:hAnsi="Soberana Sans Light"/>
          <w:sz w:val="22"/>
          <w:szCs w:val="22"/>
          <w:lang w:val="es-MX"/>
        </w:rPr>
      </w:pPr>
    </w:p>
    <w:p w:rsidR="00DA0A99" w:rsidRDefault="00DA0A99" w:rsidP="00E13415">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 A continuación se presenta un ejemplo de la elaboración de la conciliación.</w:t>
      </w: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C13A09" w:rsidRDefault="00C13A09" w:rsidP="00E13415">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7</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6</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Default="00DA0A99" w:rsidP="00DA0A99">
      <w:pPr>
        <w:pStyle w:val="Texto"/>
        <w:spacing w:after="0" w:line="240" w:lineRule="exact"/>
        <w:rPr>
          <w:rFonts w:ascii="Soberana Sans Light" w:hAnsi="Soberana Sans Light"/>
          <w:sz w:val="22"/>
          <w:szCs w:val="22"/>
          <w:lang w:val="es-MX"/>
        </w:rPr>
      </w:pPr>
    </w:p>
    <w:p w:rsidR="00E13415" w:rsidRDefault="00E13415" w:rsidP="00DA0A99">
      <w:pPr>
        <w:pStyle w:val="Texto"/>
        <w:spacing w:after="0" w:line="240" w:lineRule="exact"/>
        <w:rPr>
          <w:rFonts w:ascii="Soberana Sans Light" w:hAnsi="Soberana Sans Light"/>
          <w:sz w:val="22"/>
          <w:szCs w:val="22"/>
          <w:lang w:val="es-MX"/>
        </w:rPr>
      </w:pPr>
    </w:p>
    <w:p w:rsidR="00C13A09" w:rsidRDefault="00C13A09" w:rsidP="00DA0A99">
      <w:pPr>
        <w:pStyle w:val="Texto"/>
        <w:spacing w:after="0" w:line="240" w:lineRule="exact"/>
        <w:rPr>
          <w:rFonts w:ascii="Soberana Sans Light" w:hAnsi="Soberana Sans Light"/>
          <w:sz w:val="22"/>
          <w:szCs w:val="22"/>
          <w:lang w:val="es-MX"/>
        </w:rPr>
      </w:pPr>
    </w:p>
    <w:p w:rsidR="00E13415" w:rsidRPr="00540418" w:rsidRDefault="00E13415"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C13A09" w:rsidRDefault="00C13A09" w:rsidP="00DA0A99">
      <w:pPr>
        <w:pStyle w:val="Texto"/>
        <w:spacing w:after="0" w:line="240" w:lineRule="exact"/>
        <w:ind w:left="708" w:firstLine="0"/>
        <w:rPr>
          <w:rFonts w:ascii="Soberana Sans Light" w:hAnsi="Soberana Sans Light"/>
          <w:sz w:val="22"/>
          <w:szCs w:val="22"/>
          <w:lang w:val="es-MX"/>
        </w:rPr>
      </w:pPr>
    </w:p>
    <w:p w:rsidR="00C13A09" w:rsidRDefault="00C13A09" w:rsidP="00C13A09">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7603E6" w:rsidRDefault="007603E6" w:rsidP="00DA0A99">
      <w:pPr>
        <w:pStyle w:val="Texto"/>
        <w:spacing w:after="0" w:line="240" w:lineRule="exact"/>
        <w:ind w:firstLine="0"/>
        <w:rPr>
          <w:rFonts w:ascii="Soberana Sans Light" w:hAnsi="Soberana Sans Light"/>
          <w:sz w:val="22"/>
          <w:szCs w:val="22"/>
          <w:lang w:val="es-MX"/>
        </w:rPr>
      </w:pPr>
    </w:p>
    <w:p w:rsidR="00DA0A99" w:rsidRDefault="00A92D6B"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pict>
          <v:shape id="_x0000_s1061" type="#_x0000_t75" style="position:absolute;left:0;text-align:left;margin-left:127.05pt;margin-top:23.85pt;width:550.05pt;height:381.85pt;z-index:251661312">
            <v:imagedata r:id="rId22" o:title=""/>
            <w10:wrap type="topAndBottom"/>
          </v:shape>
          <o:OLEObject Type="Embed" ProgID="Excel.Sheet.12" ShapeID="_x0000_s1061" DrawAspect="Content" ObjectID="_1560836106" r:id="rId23"/>
        </w:pict>
      </w:r>
    </w:p>
    <w:p w:rsidR="00DA0A99" w:rsidRDefault="00DA0A99" w:rsidP="00DA0A99">
      <w:pPr>
        <w:pStyle w:val="Texto"/>
        <w:spacing w:after="0" w:line="240" w:lineRule="exact"/>
        <w:jc w:val="center"/>
        <w:rPr>
          <w:rFonts w:ascii="Soberana Sans Light" w:hAnsi="Soberana Sans Light"/>
          <w:b/>
          <w:smallCaps/>
          <w:sz w:val="16"/>
          <w:szCs w:val="16"/>
          <w:lang w:val="es-MX"/>
        </w:rPr>
      </w:pPr>
    </w:p>
    <w:p w:rsidR="007603E6" w:rsidRDefault="007603E6" w:rsidP="00DA0A99">
      <w:pPr>
        <w:pStyle w:val="Texto"/>
        <w:spacing w:after="0" w:line="240" w:lineRule="exact"/>
        <w:jc w:val="center"/>
        <w:rPr>
          <w:rFonts w:ascii="Soberana Sans Light" w:hAnsi="Soberana Sans Light"/>
          <w:b/>
          <w:smallCaps/>
          <w:sz w:val="16"/>
          <w:szCs w:val="16"/>
          <w:lang w:val="es-MX"/>
        </w:rPr>
      </w:pPr>
    </w:p>
    <w:p w:rsidR="007603E6" w:rsidRDefault="007603E6" w:rsidP="00DA0A99">
      <w:pPr>
        <w:pStyle w:val="Texto"/>
        <w:spacing w:after="0" w:line="240" w:lineRule="exact"/>
        <w:jc w:val="center"/>
        <w:rPr>
          <w:rFonts w:ascii="Soberana Sans Light" w:hAnsi="Soberana Sans Light"/>
          <w:b/>
          <w:smallCaps/>
          <w:sz w:val="16"/>
          <w:szCs w:val="16"/>
          <w:lang w:val="es-MX"/>
        </w:rPr>
      </w:pPr>
    </w:p>
    <w:p w:rsidR="007603E6" w:rsidRPr="005731C8" w:rsidRDefault="007603E6" w:rsidP="00DA0A99">
      <w:pPr>
        <w:pStyle w:val="Texto"/>
        <w:spacing w:after="0" w:line="240" w:lineRule="exact"/>
        <w:jc w:val="center"/>
        <w:rPr>
          <w:rFonts w:ascii="Soberana Sans Light" w:hAnsi="Soberana Sans Light"/>
          <w:b/>
          <w:smallCaps/>
          <w:sz w:val="16"/>
          <w:szCs w:val="16"/>
          <w:lang w:val="es-MX"/>
        </w:rPr>
      </w:pPr>
    </w:p>
    <w:p w:rsidR="005731C8" w:rsidRDefault="005731C8" w:rsidP="00DA0A99">
      <w:pPr>
        <w:pStyle w:val="Texto"/>
        <w:spacing w:after="0" w:line="240" w:lineRule="exact"/>
        <w:ind w:firstLine="0"/>
        <w:rPr>
          <w:rFonts w:ascii="Soberana Sans Light" w:hAnsi="Soberana Sans Light"/>
          <w:b/>
          <w:sz w:val="16"/>
          <w:szCs w:val="16"/>
          <w:lang w:val="es-MX"/>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92D6B" w:rsidP="00542834">
      <w:pPr>
        <w:pStyle w:val="Texto"/>
        <w:spacing w:after="0" w:line="240" w:lineRule="exact"/>
        <w:ind w:firstLine="0"/>
        <w:jc w:val="center"/>
        <w:rPr>
          <w:rFonts w:ascii="Soberana Sans Light" w:hAnsi="Soberana Sans Light"/>
          <w:b/>
          <w:sz w:val="22"/>
          <w:szCs w:val="22"/>
        </w:rPr>
      </w:pPr>
      <w:r w:rsidRPr="00A92D6B">
        <w:rPr>
          <w:noProof/>
        </w:rPr>
        <w:pict>
          <v:shape id="_x0000_s1062" type="#_x0000_t75" style="position:absolute;left:0;text-align:left;margin-left:174.15pt;margin-top:19.1pt;width:435.35pt;height:427.85pt;z-index:251662336">
            <v:imagedata r:id="rId24" o:title=""/>
            <w10:wrap type="topAndBottom"/>
          </v:shape>
          <o:OLEObject Type="Embed" ProgID="Excel.Sheet.12" ShapeID="_x0000_s1062" DrawAspect="Content" ObjectID="_1560836107" r:id="rId25"/>
        </w:pict>
      </w: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5F783E" w:rsidRDefault="005F783E"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542834" w:rsidRDefault="00542834" w:rsidP="0054283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Default="00DA0A99" w:rsidP="00DA0A99">
      <w:pPr>
        <w:pStyle w:val="Texto"/>
        <w:spacing w:after="0" w:line="240" w:lineRule="exact"/>
        <w:rPr>
          <w:rFonts w:ascii="Soberana Sans Light" w:hAnsi="Soberana Sans Light"/>
          <w:sz w:val="22"/>
          <w:szCs w:val="22"/>
          <w:lang w:val="es-MX"/>
        </w:rPr>
      </w:pPr>
    </w:p>
    <w:p w:rsidR="009908EE" w:rsidRPr="00540418" w:rsidRDefault="009908EE"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E364DE" w:rsidRDefault="00E364DE" w:rsidP="00BE6A4D">
      <w:pPr>
        <w:tabs>
          <w:tab w:val="left" w:pos="284"/>
        </w:tabs>
        <w:ind w:left="284"/>
        <w:jc w:val="both"/>
        <w:rPr>
          <w:rFonts w:ascii="Arial" w:hAnsi="Arial" w:cs="Arial"/>
          <w:sz w:val="18"/>
          <w:szCs w:val="18"/>
        </w:rPr>
      </w:pPr>
    </w:p>
    <w:p w:rsidR="00E364DE" w:rsidRDefault="00E364DE" w:rsidP="00BE6A4D">
      <w:pPr>
        <w:tabs>
          <w:tab w:val="left" w:pos="284"/>
        </w:tabs>
        <w:ind w:left="284"/>
        <w:jc w:val="both"/>
        <w:rPr>
          <w:rFonts w:ascii="Arial" w:hAnsi="Arial" w:cs="Arial"/>
          <w:sz w:val="18"/>
          <w:szCs w:val="18"/>
        </w:rPr>
      </w:pPr>
    </w:p>
    <w:p w:rsidR="005F783E" w:rsidRDefault="005F783E" w:rsidP="00BE6A4D">
      <w:pPr>
        <w:tabs>
          <w:tab w:val="left" w:pos="284"/>
        </w:tabs>
        <w:ind w:left="284"/>
        <w:jc w:val="both"/>
        <w:rPr>
          <w:rFonts w:ascii="Arial" w:hAnsi="Arial" w:cs="Arial"/>
          <w:sz w:val="18"/>
          <w:szCs w:val="18"/>
        </w:rPr>
      </w:pPr>
    </w:p>
    <w:p w:rsidR="002204F4" w:rsidRDefault="002204F4" w:rsidP="00BE6A4D">
      <w:pPr>
        <w:tabs>
          <w:tab w:val="left" w:pos="284"/>
        </w:tabs>
        <w:ind w:left="284"/>
        <w:jc w:val="both"/>
        <w:rPr>
          <w:rFonts w:ascii="Arial" w:hAnsi="Arial" w:cs="Arial"/>
          <w:sz w:val="18"/>
          <w:szCs w:val="18"/>
        </w:rPr>
      </w:pPr>
    </w:p>
    <w:p w:rsidR="00174348" w:rsidRDefault="00174348" w:rsidP="00BE6A4D">
      <w:pPr>
        <w:tabs>
          <w:tab w:val="left" w:pos="284"/>
        </w:tabs>
        <w:ind w:left="284"/>
        <w:jc w:val="both"/>
        <w:rPr>
          <w:rFonts w:ascii="Arial" w:hAnsi="Arial" w:cs="Arial"/>
          <w:sz w:val="18"/>
          <w:szCs w:val="18"/>
        </w:rPr>
      </w:pPr>
    </w:p>
    <w:p w:rsidR="00BE6A4D" w:rsidRPr="0073056A" w:rsidRDefault="00A76BF2" w:rsidP="00BE6A4D">
      <w:pPr>
        <w:tabs>
          <w:tab w:val="left" w:pos="284"/>
        </w:tabs>
        <w:ind w:left="284"/>
        <w:jc w:val="both"/>
        <w:rPr>
          <w:rFonts w:ascii="Arial" w:hAnsi="Arial" w:cs="Arial"/>
          <w:sz w:val="18"/>
          <w:szCs w:val="18"/>
        </w:rPr>
      </w:pPr>
      <w:r>
        <w:rPr>
          <w:rFonts w:ascii="Arial" w:hAnsi="Arial" w:cs="Arial"/>
          <w:sz w:val="18"/>
          <w:szCs w:val="18"/>
        </w:rPr>
        <w:t>L</w:t>
      </w:r>
      <w:r w:rsidR="00BE6A4D" w:rsidRPr="0073056A">
        <w:rPr>
          <w:rFonts w:ascii="Arial" w:hAnsi="Arial" w:cs="Arial"/>
          <w:sz w:val="18"/>
          <w:szCs w:val="18"/>
        </w:rPr>
        <w:t>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B20CF" w:rsidRDefault="006B20CF" w:rsidP="00DA0A99">
      <w:pPr>
        <w:pStyle w:val="Texto"/>
        <w:spacing w:after="0" w:line="240" w:lineRule="exact"/>
        <w:ind w:firstLine="0"/>
        <w:jc w:val="center"/>
        <w:rPr>
          <w:rFonts w:ascii="Soberana Sans Light" w:hAnsi="Soberana Sans Light"/>
          <w:b/>
          <w:sz w:val="22"/>
          <w:szCs w:val="22"/>
          <w:lang w:val="es-MX"/>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B039CB" w:rsidRDefault="00B039CB" w:rsidP="00DA0A99">
      <w:pPr>
        <w:pStyle w:val="Texto"/>
        <w:spacing w:after="0" w:line="240" w:lineRule="exact"/>
        <w:ind w:firstLine="0"/>
        <w:jc w:val="center"/>
        <w:rPr>
          <w:rFonts w:ascii="Soberana Sans Light" w:hAnsi="Soberana Sans Light"/>
          <w:b/>
          <w:sz w:val="22"/>
          <w:szCs w:val="22"/>
          <w:lang w:val="es-MX"/>
        </w:rPr>
      </w:pPr>
    </w:p>
    <w:p w:rsidR="00A76BF2" w:rsidRDefault="00A76BF2"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B5683C" w:rsidRDefault="00B5683C" w:rsidP="00DA0A99">
      <w:pPr>
        <w:pStyle w:val="Texto"/>
        <w:spacing w:after="0" w:line="240" w:lineRule="exact"/>
        <w:rPr>
          <w:rFonts w:ascii="Soberana Sans Light" w:hAnsi="Soberana Sans Light"/>
          <w:sz w:val="22"/>
          <w:szCs w:val="22"/>
        </w:rPr>
      </w:pPr>
    </w:p>
    <w:p w:rsidR="00B039CB" w:rsidRPr="00540418" w:rsidRDefault="00B039CB"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Default="00DA0A99"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DA0A99" w:rsidRPr="00B5683C" w:rsidRDefault="00DA0A99" w:rsidP="00DA0A99">
      <w:pPr>
        <w:pStyle w:val="INCISO"/>
        <w:numPr>
          <w:ilvl w:val="0"/>
          <w:numId w:val="21"/>
        </w:numPr>
        <w:spacing w:after="0" w:line="240" w:lineRule="exact"/>
        <w:ind w:firstLine="0"/>
        <w:rPr>
          <w:rFonts w:ascii="Soberana Sans Light" w:hAnsi="Soberana Sans Light"/>
          <w:sz w:val="22"/>
          <w:szCs w:val="22"/>
        </w:rPr>
      </w:pPr>
      <w:r w:rsidRPr="00B5683C">
        <w:rPr>
          <w:rFonts w:ascii="Soberana Sans Light" w:hAnsi="Soberana Sans Light"/>
          <w:sz w:val="22"/>
          <w:szCs w:val="22"/>
        </w:rPr>
        <w:t>Ejercicio fiscal</w:t>
      </w:r>
      <w:r w:rsidR="00B5683C" w:rsidRPr="00B5683C">
        <w:rPr>
          <w:rFonts w:ascii="Soberana Sans Light" w:hAnsi="Soberana Sans Light"/>
          <w:sz w:val="22"/>
          <w:szCs w:val="22"/>
        </w:rPr>
        <w:t xml:space="preserve"> </w:t>
      </w:r>
      <w:r w:rsidRPr="00B5683C">
        <w:rPr>
          <w:rFonts w:ascii="Soberana Sans Light" w:hAnsi="Soberana Sans Light"/>
          <w:sz w:val="22"/>
          <w:szCs w:val="22"/>
        </w:rPr>
        <w:t>201</w:t>
      </w:r>
      <w:r w:rsidR="009B3C52">
        <w:rPr>
          <w:rFonts w:ascii="Soberana Sans Light" w:hAnsi="Soberana Sans Light"/>
          <w:sz w:val="22"/>
          <w:szCs w:val="22"/>
        </w:rPr>
        <w:t>7</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881786" w:rsidRDefault="00881786" w:rsidP="00881786">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881786">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Default="00DA0A99" w:rsidP="00881786">
      <w:pPr>
        <w:pStyle w:val="INCISO"/>
        <w:spacing w:after="0" w:line="240" w:lineRule="exact"/>
        <w:ind w:firstLine="0"/>
        <w:rPr>
          <w:rFonts w:ascii="Soberana Sans Light" w:hAnsi="Soberana Sans Light"/>
          <w:sz w:val="22"/>
          <w:szCs w:val="22"/>
        </w:rPr>
      </w:pPr>
      <w:r w:rsidRPr="00540418">
        <w:rPr>
          <w:rFonts w:ascii="Soberana Sans Light" w:hAnsi="Soberana Sans Light"/>
          <w:sz w:val="22"/>
          <w:szCs w:val="22"/>
        </w:rPr>
        <w:t>Postulados básicos.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A76BF2" w:rsidRDefault="00A76BF2" w:rsidP="00DA0A99">
      <w:pPr>
        <w:pStyle w:val="Texto"/>
        <w:spacing w:after="0" w:line="240" w:lineRule="exact"/>
        <w:ind w:left="1440" w:hanging="360"/>
        <w:rPr>
          <w:rFonts w:ascii="Soberana Sans Light" w:hAnsi="Soberana Sans Light"/>
          <w:sz w:val="22"/>
          <w:szCs w:val="22"/>
        </w:rPr>
      </w:pPr>
    </w:p>
    <w:p w:rsidR="00A76BF2" w:rsidRDefault="00A76BF2" w:rsidP="00DA0A99">
      <w:pPr>
        <w:pStyle w:val="Texto"/>
        <w:spacing w:after="0" w:line="240" w:lineRule="exact"/>
        <w:ind w:left="1440" w:hanging="360"/>
        <w:rPr>
          <w:rFonts w:ascii="Soberana Sans Light" w:hAnsi="Soberana Sans Light"/>
          <w:sz w:val="22"/>
          <w:szCs w:val="22"/>
        </w:rPr>
      </w:pPr>
    </w:p>
    <w:p w:rsidR="00A76BF2" w:rsidRPr="00540418" w:rsidRDefault="00A76BF2"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Default="00DA0A99" w:rsidP="00C44465">
      <w:pPr>
        <w:pStyle w:val="INCISO"/>
        <w:numPr>
          <w:ilvl w:val="0"/>
          <w:numId w:val="24"/>
        </w:numPr>
        <w:spacing w:after="0" w:line="240" w:lineRule="exact"/>
        <w:rPr>
          <w:rFonts w:ascii="Soberana Sans Light" w:hAnsi="Soberana Sans Light"/>
          <w:sz w:val="22"/>
          <w:szCs w:val="22"/>
        </w:rPr>
      </w:pPr>
      <w:r w:rsidRPr="00540418">
        <w:rPr>
          <w:rFonts w:ascii="Soberana Sans Light" w:hAnsi="Soberana Sans Light"/>
          <w:sz w:val="22"/>
          <w:szCs w:val="22"/>
        </w:rPr>
        <w:t>Actualización: se informará del método utilizado para la actualización del valor de los activos, pasivos y Hacienda Pública y/o patrimonio y las razones de dicha elección. Así como informar de la desconexión o reconexión inflacionaria.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BE6A4D" w:rsidP="00BE6A4D">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 no tiene activos ni pasivos en moneda extranjera.</w:t>
      </w:r>
    </w:p>
    <w:p w:rsidR="00BE6A4D" w:rsidRDefault="00BE6A4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020275" w:rsidRDefault="00020275" w:rsidP="00DA0A99">
      <w:pPr>
        <w:pStyle w:val="INCISO"/>
        <w:spacing w:after="0" w:line="240" w:lineRule="exact"/>
        <w:rPr>
          <w:rFonts w:ascii="Soberana Sans Light" w:hAnsi="Soberana Sans Light"/>
          <w:sz w:val="22"/>
          <w:szCs w:val="22"/>
        </w:rPr>
      </w:pPr>
    </w:p>
    <w:p w:rsidR="00020275" w:rsidRDefault="00020275" w:rsidP="00DA0A99">
      <w:pPr>
        <w:pStyle w:val="INCISO"/>
        <w:spacing w:after="0" w:line="240" w:lineRule="exact"/>
        <w:rPr>
          <w:rFonts w:ascii="Soberana Sans Light" w:hAnsi="Soberana Sans Light"/>
          <w:sz w:val="22"/>
          <w:szCs w:val="22"/>
        </w:rPr>
      </w:pPr>
    </w:p>
    <w:p w:rsidR="00A921AD" w:rsidRPr="00540418" w:rsidRDefault="00A921AD"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Los activos fijos del Fideicomiso se encuentran bajo resguardo del personal que los utiliza y son responsables de su buen uso y conservación</w:t>
      </w:r>
    </w:p>
    <w:p w:rsidR="00BE6A4D" w:rsidRPr="00540418" w:rsidRDefault="00BE6A4D" w:rsidP="00BE6A4D">
      <w:pPr>
        <w:pStyle w:val="INCISO"/>
        <w:spacing w:after="0" w:line="240" w:lineRule="exact"/>
        <w:ind w:left="0" w:firstLine="0"/>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No aplica para el Fideicomiso</w:t>
      </w:r>
      <w:r w:rsidR="00160FC0">
        <w:rPr>
          <w:rFonts w:ascii="Soberana Sans Light" w:hAnsi="Soberana Sans Light"/>
          <w:sz w:val="22"/>
          <w:szCs w:val="22"/>
        </w:rPr>
        <w:t>,</w:t>
      </w:r>
      <w:r w:rsidR="00BE6A4D">
        <w:rPr>
          <w:rFonts w:ascii="Soberana Sans Light" w:hAnsi="Soberana Sans Light"/>
          <w:sz w:val="22"/>
          <w:szCs w:val="22"/>
        </w:rPr>
        <w:t xml:space="preserve"> no cuenta con mandatos y análogos</w:t>
      </w:r>
    </w:p>
    <w:p w:rsidR="00BE6A4D" w:rsidRPr="00540418" w:rsidRDefault="00BE6A4D" w:rsidP="00BE6A4D">
      <w:pPr>
        <w:pStyle w:val="INCISO"/>
        <w:spacing w:after="0" w:line="240" w:lineRule="exact"/>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b/>
          <w:sz w:val="22"/>
          <w:szCs w:val="22"/>
          <w:lang w:val="es-MX"/>
        </w:rPr>
      </w:pPr>
      <w:r>
        <w:rPr>
          <w:rFonts w:ascii="Soberana Sans Light" w:hAnsi="Soberana Sans Light"/>
          <w:sz w:val="22"/>
          <w:szCs w:val="22"/>
        </w:rPr>
        <w:tab/>
      </w:r>
      <w:r w:rsidR="00BE6A4D">
        <w:rPr>
          <w:rFonts w:ascii="Soberana Sans Light" w:hAnsi="Soberana Sans Light"/>
          <w:sz w:val="22"/>
          <w:szCs w:val="22"/>
        </w:rPr>
        <w:t>No aplica para el Fideicomiso no realiza la actividad de recaudación de impuestos</w:t>
      </w:r>
      <w:r w:rsidR="00BE6A4D" w:rsidRPr="00540418">
        <w:rPr>
          <w:rFonts w:ascii="Soberana Sans Light" w:hAnsi="Soberana Sans Light"/>
          <w:b/>
          <w:sz w:val="22"/>
          <w:szCs w:val="22"/>
          <w:lang w:val="es-MX"/>
        </w:rPr>
        <w:t xml:space="preserve"> </w:t>
      </w:r>
    </w:p>
    <w:p w:rsidR="00BE6A4D" w:rsidRDefault="00BE6A4D" w:rsidP="00BE6A4D">
      <w:pPr>
        <w:pStyle w:val="INCISO"/>
        <w:spacing w:after="0" w:line="240" w:lineRule="exact"/>
        <w:rPr>
          <w:rFonts w:ascii="Soberana Sans Light" w:hAnsi="Soberana Sans Light"/>
          <w:b/>
          <w:sz w:val="22"/>
          <w:szCs w:val="22"/>
          <w:lang w:val="es-MX"/>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B20CF" w:rsidRDefault="006B20CF"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C50DF2"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sidR="00BE6A4D">
        <w:rPr>
          <w:rFonts w:ascii="Soberana Sans Light" w:hAnsi="Soberana Sans Light"/>
          <w:sz w:val="22"/>
          <w:szCs w:val="22"/>
        </w:rPr>
        <w:t>No aplica para el Fideicomiso no tiene deuda alguna</w:t>
      </w:r>
    </w:p>
    <w:p w:rsidR="00BE6A4D" w:rsidRDefault="00BE6A4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BE6A4D" w:rsidRPr="00540418" w:rsidRDefault="00BE6A4D" w:rsidP="00BE6A4D">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 no cuenta con calificaciones otorgadas</w:t>
      </w:r>
    </w:p>
    <w:p w:rsidR="00BE6A4D" w:rsidRDefault="00BE6A4D" w:rsidP="00BE6A4D">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DD12E4" w:rsidRDefault="00DA0A99" w:rsidP="00DA0A99">
      <w:pPr>
        <w:pStyle w:val="Prrafodelista"/>
        <w:ind w:left="1080"/>
        <w:jc w:val="both"/>
        <w:rPr>
          <w:rFonts w:ascii="Soberana Sans Light" w:eastAsia="Times New Roman" w:hAnsi="Soberana Sans Light" w:cs="Arial"/>
          <w:lang w:val="es-ES" w:eastAsia="es-ES"/>
        </w:rPr>
      </w:pPr>
      <w:r w:rsidRPr="00DD12E4">
        <w:rPr>
          <w:rFonts w:ascii="Soberana Sans Light" w:eastAsia="Times New Roman" w:hAnsi="Soberana Sans Light" w:cs="Arial"/>
          <w:lang w:val="es-ES" w:eastAsia="es-ES"/>
        </w:rPr>
        <w:t xml:space="preserve">Por instrucciones de la Gerencia General del FIDASEM, de manera permanente se han implementado una serie de acciones para la recuperación de la Cartera Vencida del Fondo, entre otras: </w:t>
      </w:r>
    </w:p>
    <w:p w:rsidR="00DA0A99" w:rsidRPr="00DD12E4" w:rsidRDefault="00DA0A99" w:rsidP="00DA0A99">
      <w:pPr>
        <w:pStyle w:val="Prrafodelista"/>
        <w:numPr>
          <w:ilvl w:val="0"/>
          <w:numId w:val="23"/>
        </w:numPr>
        <w:jc w:val="both"/>
        <w:rPr>
          <w:rFonts w:ascii="Soberana Sans Light" w:eastAsia="Times New Roman" w:hAnsi="Soberana Sans Light" w:cs="Arial"/>
          <w:lang w:val="es-ES" w:eastAsia="es-ES"/>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w:t>
      </w:r>
      <w:r w:rsidRPr="00DD12E4">
        <w:rPr>
          <w:rFonts w:ascii="Soberana Sans Light" w:eastAsia="Times New Roman" w:hAnsi="Soberana Sans Light" w:cs="Arial"/>
          <w:lang w:val="es-ES" w:eastAsia="es-ES"/>
        </w:rPr>
        <w:t xml:space="preserve">Se efectúan llamadas telefónicas a los acreditados, previas al vencimiento de sus amortizaciones invitándoles al pago puntual. </w:t>
      </w:r>
    </w:p>
    <w:p w:rsidR="00DA0A99" w:rsidRPr="00DD12E4" w:rsidRDefault="00DA0A99" w:rsidP="00DA0A99">
      <w:pPr>
        <w:pStyle w:val="Prrafodelista"/>
        <w:numPr>
          <w:ilvl w:val="0"/>
          <w:numId w:val="23"/>
        </w:numPr>
        <w:jc w:val="both"/>
        <w:rPr>
          <w:rFonts w:ascii="Soberana Sans Light" w:eastAsia="Times New Roman" w:hAnsi="Soberana Sans Light" w:cs="Arial"/>
          <w:lang w:val="es-ES" w:eastAsia="es-ES"/>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xml:space="preserve">: </w:t>
      </w:r>
      <w:r w:rsidRPr="00DD12E4">
        <w:rPr>
          <w:rFonts w:ascii="Soberana Sans Light" w:eastAsia="Times New Roman" w:hAnsi="Soberana Sans Light" w:cs="Arial"/>
          <w:lang w:val="es-ES" w:eastAsia="es-ES"/>
        </w:rPr>
        <w:t>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xml:space="preserve">: </w:t>
      </w:r>
      <w:r w:rsidRPr="00DD12E4">
        <w:rPr>
          <w:rFonts w:ascii="Soberana Sans Light" w:eastAsia="Times New Roman" w:hAnsi="Soberana Sans Light" w:cs="Arial"/>
          <w:lang w:val="es-ES" w:eastAsia="es-ES"/>
        </w:rPr>
        <w:t>Se suscribió un convenio con BBVA Bancomer para que los acreditados realicen sus pagos en las sucursales de esa Institución</w:t>
      </w:r>
      <w:r w:rsidRPr="00963A2B">
        <w:rPr>
          <w:rFonts w:ascii="Arial" w:hAnsi="Arial" w:cs="Arial"/>
          <w:color w:val="2A2A2A"/>
          <w:sz w:val="20"/>
          <w:szCs w:val="20"/>
        </w:rPr>
        <w:t>.</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w:t>
      </w:r>
      <w:r w:rsidRPr="00DD12E4">
        <w:rPr>
          <w:rFonts w:ascii="Soberana Sans Light" w:eastAsia="Times New Roman" w:hAnsi="Soberana Sans Light" w:cs="Arial"/>
          <w:lang w:val="es-ES" w:eastAsia="es-ES"/>
        </w:rPr>
        <w:t>Diariamente se entregan requerimientos de pago en los domicilios de los acreditados</w:t>
      </w:r>
      <w:r w:rsidRPr="00B0696F">
        <w:rPr>
          <w:rFonts w:ascii="Arial" w:hAnsi="Arial" w:cs="Arial"/>
          <w:color w:val="2A2A2A"/>
          <w:sz w:val="20"/>
          <w:szCs w:val="20"/>
        </w:rPr>
        <w:t xml:space="preserve">. </w:t>
      </w:r>
    </w:p>
    <w:p w:rsidR="00DA0A99" w:rsidRPr="00DD12E4" w:rsidRDefault="00DA0A99" w:rsidP="00DA0A99">
      <w:pPr>
        <w:pStyle w:val="Prrafodelista"/>
        <w:numPr>
          <w:ilvl w:val="0"/>
          <w:numId w:val="23"/>
        </w:numPr>
        <w:jc w:val="both"/>
        <w:rPr>
          <w:rFonts w:ascii="Soberana Sans Light" w:eastAsia="Times New Roman" w:hAnsi="Soberana Sans Light" w:cs="Arial"/>
          <w:lang w:val="es-ES" w:eastAsia="es-ES"/>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xml:space="preserve">: </w:t>
      </w:r>
      <w:r w:rsidRPr="00DD12E4">
        <w:rPr>
          <w:rFonts w:ascii="Soberana Sans Light" w:eastAsia="Times New Roman" w:hAnsi="Soberana Sans Light" w:cs="Arial"/>
          <w:lang w:val="es-ES" w:eastAsia="es-ES"/>
        </w:rPr>
        <w:t>Previo a una posible demanda por incumplimiento u atraso, se envían requerimientos de pago vía Correo Certificado con Acuse de Recibo.</w:t>
      </w:r>
    </w:p>
    <w:p w:rsidR="00DA0A99" w:rsidRPr="00DD12E4" w:rsidRDefault="00DA0A99" w:rsidP="00DA0A99">
      <w:pPr>
        <w:pStyle w:val="Prrafodelista"/>
        <w:numPr>
          <w:ilvl w:val="0"/>
          <w:numId w:val="23"/>
        </w:numPr>
        <w:jc w:val="both"/>
        <w:rPr>
          <w:rFonts w:ascii="Soberana Sans Light" w:eastAsia="Times New Roman" w:hAnsi="Soberana Sans Light" w:cs="Arial"/>
          <w:lang w:val="es-ES" w:eastAsia="es-ES"/>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w:t>
      </w:r>
      <w:r w:rsidRPr="00DD12E4">
        <w:rPr>
          <w:rFonts w:ascii="Soberana Sans Light" w:eastAsia="Times New Roman" w:hAnsi="Soberana Sans Light" w:cs="Arial"/>
          <w:lang w:val="es-ES" w:eastAsia="es-ES"/>
        </w:rPr>
        <w:t>Existen 374 créditos otorgados en los ejercicios 2000 al 2010 los cuales presentan situaciones complicadas, los deudores NO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A921AD" w:rsidRPr="00A921AD" w:rsidRDefault="00A921AD" w:rsidP="00A921AD">
      <w:pPr>
        <w:pStyle w:val="Prrafodelista"/>
        <w:spacing w:after="0" w:line="240" w:lineRule="auto"/>
        <w:ind w:left="1080"/>
        <w:jc w:val="both"/>
        <w:rPr>
          <w:rFonts w:ascii="Arial" w:hAnsi="Arial" w:cs="Arial"/>
          <w:color w:val="2A2A2A"/>
          <w:sz w:val="16"/>
          <w:szCs w:val="16"/>
        </w:rPr>
      </w:pPr>
    </w:p>
    <w:p w:rsidR="00226B54" w:rsidRPr="00A921AD" w:rsidRDefault="00226B54" w:rsidP="00A921AD">
      <w:pPr>
        <w:pStyle w:val="Texto"/>
        <w:spacing w:after="0" w:line="240" w:lineRule="auto"/>
        <w:rPr>
          <w:rFonts w:ascii="Soberana Sans Light" w:hAnsi="Soberana Sans Light"/>
          <w:b/>
          <w:sz w:val="16"/>
          <w:szCs w:val="16"/>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BE6A4D"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 establecida.</w:t>
      </w:r>
    </w:p>
    <w:p w:rsidR="00A921AD" w:rsidRDefault="00A921AD" w:rsidP="00BE6A4D">
      <w:pPr>
        <w:pStyle w:val="Texto"/>
        <w:spacing w:after="0" w:line="240" w:lineRule="exact"/>
        <w:rPr>
          <w:rFonts w:ascii="Soberana Sans Light" w:hAnsi="Soberana Sans Light"/>
          <w:sz w:val="22"/>
          <w:szCs w:val="22"/>
          <w:lang w:val="es-MX"/>
        </w:rPr>
      </w:pPr>
    </w:p>
    <w:p w:rsidR="00A921AD" w:rsidRPr="00540418" w:rsidRDefault="00A921AD" w:rsidP="00BE6A4D">
      <w:pPr>
        <w:pStyle w:val="Texto"/>
        <w:spacing w:after="0" w:line="240" w:lineRule="exact"/>
        <w:rPr>
          <w:rFonts w:ascii="Soberana Sans Light" w:hAnsi="Soberana Sans Light"/>
          <w:sz w:val="22"/>
          <w:szCs w:val="22"/>
          <w:lang w:val="es-MX"/>
        </w:rPr>
      </w:pPr>
    </w:p>
    <w:p w:rsidR="00BE6A4D" w:rsidRPr="00540418" w:rsidRDefault="00BE6A4D" w:rsidP="00BE6A4D">
      <w:pPr>
        <w:pStyle w:val="Texto"/>
        <w:spacing w:after="0" w:line="240" w:lineRule="exact"/>
        <w:rPr>
          <w:rFonts w:ascii="Soberana Sans Light" w:hAnsi="Soberana Sans Light"/>
          <w:sz w:val="22"/>
          <w:szCs w:val="22"/>
          <w:lang w:val="es-MX"/>
        </w:rPr>
      </w:pPr>
    </w:p>
    <w:p w:rsidR="00020275" w:rsidRDefault="00020275" w:rsidP="00DA0A99">
      <w:pPr>
        <w:pStyle w:val="Texto"/>
        <w:spacing w:after="0" w:line="240" w:lineRule="exact"/>
        <w:rPr>
          <w:rFonts w:ascii="Soberana Sans Light" w:hAnsi="Soberana Sans Light"/>
          <w:b/>
          <w:sz w:val="22"/>
          <w:szCs w:val="22"/>
          <w:lang w:val="es-MX"/>
        </w:rPr>
      </w:pPr>
    </w:p>
    <w:p w:rsidR="00A921AD" w:rsidRDefault="00A921AD"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BE6A4D" w:rsidRPr="00540418" w:rsidRDefault="00BE6A4D" w:rsidP="00BE6A4D">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DA0A99" w:rsidRPr="00BE6A4D" w:rsidRDefault="00DA0A99" w:rsidP="00DA0A99">
      <w:pPr>
        <w:pStyle w:val="Texto"/>
        <w:spacing w:after="0" w:line="240" w:lineRule="exact"/>
        <w:rPr>
          <w:rFonts w:ascii="Soberana Sans Light" w:hAnsi="Soberana Sans Light"/>
          <w:sz w:val="22"/>
          <w:szCs w:val="22"/>
          <w:lang w:val="es-MX"/>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881786" w:rsidRDefault="00881786" w:rsidP="00DA0A99">
      <w:pPr>
        <w:pStyle w:val="Texto"/>
        <w:spacing w:after="0" w:line="240" w:lineRule="exact"/>
        <w:rPr>
          <w:rFonts w:ascii="Soberana Sans Light" w:hAnsi="Soberana Sans Light"/>
          <w:sz w:val="22"/>
          <w:szCs w:val="22"/>
        </w:rPr>
      </w:pPr>
    </w:p>
    <w:p w:rsidR="00881786" w:rsidRDefault="001F4551" w:rsidP="00DA0A99">
      <w:pPr>
        <w:pStyle w:val="Texto"/>
        <w:spacing w:after="0" w:line="240" w:lineRule="exact"/>
        <w:rPr>
          <w:rFonts w:ascii="Soberana Sans Light" w:hAnsi="Soberana Sans Light"/>
          <w:sz w:val="22"/>
          <w:szCs w:val="22"/>
        </w:rPr>
      </w:pPr>
      <w:r w:rsidRPr="001F4551">
        <w:rPr>
          <w:rFonts w:ascii="Soberana Sans Light" w:hAnsi="Soberana Sans Light"/>
          <w:sz w:val="22"/>
          <w:szCs w:val="22"/>
        </w:rPr>
        <w:t>Bajo protesta de decir verdad declaramos que los Estados Financieros y sus Notas son razonablemente correctos y responsabilidad del emisor</w:t>
      </w:r>
    </w:p>
    <w:p w:rsidR="00DA0A99" w:rsidRDefault="00A92D6B" w:rsidP="00DA0A99">
      <w:pPr>
        <w:pStyle w:val="Texto"/>
        <w:spacing w:after="0" w:line="240" w:lineRule="exact"/>
        <w:rPr>
          <w:rFonts w:ascii="Soberana Sans Light" w:hAnsi="Soberana Sans Light"/>
          <w:sz w:val="22"/>
          <w:szCs w:val="22"/>
        </w:rPr>
      </w:pPr>
      <w:r w:rsidRPr="00A92D6B">
        <w:rPr>
          <w:rFonts w:ascii="Soberana Sans Light" w:hAnsi="Soberana Sans Light"/>
          <w:noProof/>
        </w:rPr>
        <w:pict>
          <v:shape id="_x0000_s1063" type="#_x0000_t75" style="position:absolute;left:0;text-align:left;margin-left:21.6pt;margin-top:13.2pt;width:721.4pt;height:84.4pt;z-index:251663360">
            <v:imagedata r:id="rId26" o:title=""/>
            <w10:wrap type="topAndBottom"/>
          </v:shape>
          <o:OLEObject Type="Embed" ProgID="Excel.Sheet.12" ShapeID="_x0000_s1063" DrawAspect="Content" ObjectID="_1560836108" r:id="rId27"/>
        </w:pict>
      </w:r>
    </w:p>
    <w:sectPr w:rsidR="00DA0A99" w:rsidSect="00757EEF">
      <w:headerReference w:type="even" r:id="rId28"/>
      <w:headerReference w:type="default" r:id="rId29"/>
      <w:footerReference w:type="even" r:id="rId30"/>
      <w:footerReference w:type="default" r:id="rId31"/>
      <w:pgSz w:w="15840" w:h="12240" w:orient="landscape"/>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282" w:rsidRDefault="00D82282" w:rsidP="00EA5418">
      <w:pPr>
        <w:spacing w:after="0" w:line="240" w:lineRule="auto"/>
      </w:pPr>
      <w:r>
        <w:separator/>
      </w:r>
    </w:p>
  </w:endnote>
  <w:endnote w:type="continuationSeparator" w:id="1">
    <w:p w:rsidR="00D82282" w:rsidRDefault="00D8228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13011C" w:rsidRDefault="00A92D6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30609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06096" w:rsidRPr="0013011C">
          <w:rPr>
            <w:rFonts w:ascii="Soberana Sans Light" w:hAnsi="Soberana Sans Light"/>
          </w:rPr>
          <w:instrText>PAGE   \* MERGEFORMAT</w:instrText>
        </w:r>
        <w:r w:rsidRPr="0013011C">
          <w:rPr>
            <w:rFonts w:ascii="Soberana Sans Light" w:hAnsi="Soberana Sans Light"/>
          </w:rPr>
          <w:fldChar w:fldCharType="separate"/>
        </w:r>
        <w:r w:rsidR="008F7D0C" w:rsidRPr="008F7D0C">
          <w:rPr>
            <w:rFonts w:ascii="Soberana Sans Light" w:hAnsi="Soberana Sans Light"/>
            <w:noProof/>
            <w:lang w:val="es-ES"/>
          </w:rPr>
          <w:t>2</w:t>
        </w:r>
        <w:r w:rsidRPr="0013011C">
          <w:rPr>
            <w:rFonts w:ascii="Soberana Sans Light" w:hAnsi="Soberana Sans Light"/>
          </w:rPr>
          <w:fldChar w:fldCharType="end"/>
        </w:r>
      </w:sdtContent>
    </w:sdt>
  </w:p>
  <w:p w:rsidR="00306096" w:rsidRDefault="0030609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8E3652" w:rsidRDefault="00A92D6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306096" w:rsidRPr="008E3652">
          <w:rPr>
            <w:rFonts w:ascii="Soberana Sans Light" w:hAnsi="Soberana Sans Light"/>
          </w:rPr>
          <w:t xml:space="preserve">Contable / </w:t>
        </w:r>
        <w:r w:rsidRPr="008E3652">
          <w:rPr>
            <w:rFonts w:ascii="Soberana Sans Light" w:hAnsi="Soberana Sans Light"/>
          </w:rPr>
          <w:fldChar w:fldCharType="begin"/>
        </w:r>
        <w:r w:rsidR="00306096" w:rsidRPr="008E3652">
          <w:rPr>
            <w:rFonts w:ascii="Soberana Sans Light" w:hAnsi="Soberana Sans Light"/>
          </w:rPr>
          <w:instrText>PAGE   \* MERGEFORMAT</w:instrText>
        </w:r>
        <w:r w:rsidRPr="008E3652">
          <w:rPr>
            <w:rFonts w:ascii="Soberana Sans Light" w:hAnsi="Soberana Sans Light"/>
          </w:rPr>
          <w:fldChar w:fldCharType="separate"/>
        </w:r>
        <w:r w:rsidR="008F7D0C" w:rsidRPr="008F7D0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282" w:rsidRDefault="00D82282" w:rsidP="00EA5418">
      <w:pPr>
        <w:spacing w:after="0" w:line="240" w:lineRule="auto"/>
      </w:pPr>
      <w:r>
        <w:separator/>
      </w:r>
    </w:p>
  </w:footnote>
  <w:footnote w:type="continuationSeparator" w:id="1">
    <w:p w:rsidR="00D82282" w:rsidRDefault="00D8228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A92D6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06096" w:rsidRDefault="003060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06096" w:rsidRDefault="003060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06096" w:rsidRPr="00275FC6" w:rsidRDefault="0030609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3659">
                      <w:rPr>
                        <w:rFonts w:ascii="Soberana Titular" w:hAnsi="Soberana Titular" w:cs="Arial"/>
                        <w:color w:val="808080" w:themeColor="background1" w:themeShade="80"/>
                        <w:sz w:val="42"/>
                        <w:szCs w:val="42"/>
                      </w:rPr>
                      <w:t>7</w:t>
                    </w:r>
                  </w:p>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06096" w:rsidRPr="00275FC6" w:rsidRDefault="00306096" w:rsidP="00040466">
                    <w:pPr>
                      <w:jc w:val="both"/>
                      <w:rPr>
                        <w:rFonts w:ascii="Soberana Titular" w:hAnsi="Soberana Titular" w:cs="Arial"/>
                        <w:color w:val="808080" w:themeColor="background1" w:themeShade="80"/>
                        <w:sz w:val="42"/>
                        <w:szCs w:val="42"/>
                      </w:rPr>
                    </w:pPr>
                  </w:p>
                </w:txbxContent>
              </v:textbox>
            </v:shape>
          </v:group>
        </v:group>
      </w:pict>
    </w:r>
    <w:r w:rsidRPr="00A92D6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306096" w:rsidP="0013011C">
    <w:pPr>
      <w:pStyle w:val="Encabezado"/>
      <w:jc w:val="center"/>
      <w:rPr>
        <w:rFonts w:ascii="Soberana Sans Light" w:hAnsi="Soberana Sans Light"/>
      </w:rPr>
    </w:pPr>
  </w:p>
  <w:p w:rsidR="00306096" w:rsidRPr="0013011C" w:rsidRDefault="00A92D6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306096">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DBC254F"/>
    <w:multiLevelType w:val="hybridMultilevel"/>
    <w:tmpl w:val="0D889C5C"/>
    <w:lvl w:ilvl="0" w:tplc="395A85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6"/>
  </w:num>
  <w:num w:numId="14">
    <w:abstractNumId w:val="18"/>
  </w:num>
  <w:num w:numId="15">
    <w:abstractNumId w:val="17"/>
  </w:num>
  <w:num w:numId="16">
    <w:abstractNumId w:val="1"/>
  </w:num>
  <w:num w:numId="17">
    <w:abstractNumId w:val="20"/>
  </w:num>
  <w:num w:numId="18">
    <w:abstractNumId w:val="11"/>
  </w:num>
  <w:num w:numId="19">
    <w:abstractNumId w:val="13"/>
  </w:num>
  <w:num w:numId="20">
    <w:abstractNumId w:val="15"/>
  </w:num>
  <w:num w:numId="21">
    <w:abstractNumId w:val="19"/>
  </w:num>
  <w:num w:numId="22">
    <w:abstractNumId w:val="8"/>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10"/>
  <w:displayHorizontalDrawingGridEvery w:val="2"/>
  <w:characterSpacingControl w:val="doNotCompress"/>
  <w:hdrShapeDefaults>
    <o:shapedefaults v:ext="edit" spidmax="108546">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1107"/>
    <w:rsid w:val="0000599A"/>
    <w:rsid w:val="00010F7A"/>
    <w:rsid w:val="00014507"/>
    <w:rsid w:val="000155FD"/>
    <w:rsid w:val="00020275"/>
    <w:rsid w:val="00021023"/>
    <w:rsid w:val="00030F36"/>
    <w:rsid w:val="00036754"/>
    <w:rsid w:val="00037ECA"/>
    <w:rsid w:val="00040466"/>
    <w:rsid w:val="00041DDB"/>
    <w:rsid w:val="00041F24"/>
    <w:rsid w:val="000429CB"/>
    <w:rsid w:val="00045A10"/>
    <w:rsid w:val="000462FB"/>
    <w:rsid w:val="00047EC9"/>
    <w:rsid w:val="00052CDA"/>
    <w:rsid w:val="00056F25"/>
    <w:rsid w:val="000570ED"/>
    <w:rsid w:val="00060DBB"/>
    <w:rsid w:val="00061F88"/>
    <w:rsid w:val="00062A63"/>
    <w:rsid w:val="000631F2"/>
    <w:rsid w:val="00065016"/>
    <w:rsid w:val="000651C4"/>
    <w:rsid w:val="00066852"/>
    <w:rsid w:val="00067F53"/>
    <w:rsid w:val="000714C9"/>
    <w:rsid w:val="00081623"/>
    <w:rsid w:val="00083582"/>
    <w:rsid w:val="00084689"/>
    <w:rsid w:val="00090F81"/>
    <w:rsid w:val="00097C86"/>
    <w:rsid w:val="000A32B6"/>
    <w:rsid w:val="000A3D7E"/>
    <w:rsid w:val="000A72EA"/>
    <w:rsid w:val="000B0743"/>
    <w:rsid w:val="000B0A96"/>
    <w:rsid w:val="000B5E21"/>
    <w:rsid w:val="000C1519"/>
    <w:rsid w:val="000C229D"/>
    <w:rsid w:val="000C4EE8"/>
    <w:rsid w:val="000D4723"/>
    <w:rsid w:val="000D7DD4"/>
    <w:rsid w:val="000E0998"/>
    <w:rsid w:val="000E12AD"/>
    <w:rsid w:val="000E151F"/>
    <w:rsid w:val="000E23D7"/>
    <w:rsid w:val="000F3271"/>
    <w:rsid w:val="00100A69"/>
    <w:rsid w:val="00100F49"/>
    <w:rsid w:val="00100FD9"/>
    <w:rsid w:val="001045B4"/>
    <w:rsid w:val="00106DE0"/>
    <w:rsid w:val="001151B0"/>
    <w:rsid w:val="001170F6"/>
    <w:rsid w:val="001171DE"/>
    <w:rsid w:val="0012007C"/>
    <w:rsid w:val="00121A0D"/>
    <w:rsid w:val="001265C4"/>
    <w:rsid w:val="0013011C"/>
    <w:rsid w:val="00133306"/>
    <w:rsid w:val="00135923"/>
    <w:rsid w:val="00137D08"/>
    <w:rsid w:val="001416D3"/>
    <w:rsid w:val="001425A6"/>
    <w:rsid w:val="001446F5"/>
    <w:rsid w:val="00145DD0"/>
    <w:rsid w:val="001478EC"/>
    <w:rsid w:val="001538AB"/>
    <w:rsid w:val="0015592E"/>
    <w:rsid w:val="00160FC0"/>
    <w:rsid w:val="0016104A"/>
    <w:rsid w:val="00162A4D"/>
    <w:rsid w:val="00165BB4"/>
    <w:rsid w:val="00167798"/>
    <w:rsid w:val="001736F2"/>
    <w:rsid w:val="00174348"/>
    <w:rsid w:val="00174AB4"/>
    <w:rsid w:val="00174B6E"/>
    <w:rsid w:val="0017577C"/>
    <w:rsid w:val="00176AF5"/>
    <w:rsid w:val="00177441"/>
    <w:rsid w:val="0018072D"/>
    <w:rsid w:val="0018146D"/>
    <w:rsid w:val="00182B4E"/>
    <w:rsid w:val="001852BC"/>
    <w:rsid w:val="0018602F"/>
    <w:rsid w:val="001863F7"/>
    <w:rsid w:val="00186812"/>
    <w:rsid w:val="001919C3"/>
    <w:rsid w:val="00192C9F"/>
    <w:rsid w:val="00196497"/>
    <w:rsid w:val="001A3C82"/>
    <w:rsid w:val="001A70A2"/>
    <w:rsid w:val="001B1B72"/>
    <w:rsid w:val="001B5688"/>
    <w:rsid w:val="001B57AE"/>
    <w:rsid w:val="001B6B02"/>
    <w:rsid w:val="001C1EC5"/>
    <w:rsid w:val="001C2123"/>
    <w:rsid w:val="001C2F39"/>
    <w:rsid w:val="001C3BE1"/>
    <w:rsid w:val="001C501D"/>
    <w:rsid w:val="001C5749"/>
    <w:rsid w:val="001C6A20"/>
    <w:rsid w:val="001C6FD8"/>
    <w:rsid w:val="001C73C7"/>
    <w:rsid w:val="001E1CD2"/>
    <w:rsid w:val="001E7072"/>
    <w:rsid w:val="001F04E0"/>
    <w:rsid w:val="001F4551"/>
    <w:rsid w:val="001F5FA2"/>
    <w:rsid w:val="00200B0F"/>
    <w:rsid w:val="00204C86"/>
    <w:rsid w:val="0020621C"/>
    <w:rsid w:val="00206504"/>
    <w:rsid w:val="00207E5D"/>
    <w:rsid w:val="00213EFE"/>
    <w:rsid w:val="00214F24"/>
    <w:rsid w:val="00216340"/>
    <w:rsid w:val="002204F4"/>
    <w:rsid w:val="0022176F"/>
    <w:rsid w:val="002246DF"/>
    <w:rsid w:val="00226141"/>
    <w:rsid w:val="00226B54"/>
    <w:rsid w:val="00231247"/>
    <w:rsid w:val="0023319C"/>
    <w:rsid w:val="002366F8"/>
    <w:rsid w:val="00240372"/>
    <w:rsid w:val="00240E3B"/>
    <w:rsid w:val="002451DB"/>
    <w:rsid w:val="0024645F"/>
    <w:rsid w:val="00246AE2"/>
    <w:rsid w:val="00252079"/>
    <w:rsid w:val="0025249F"/>
    <w:rsid w:val="0025716F"/>
    <w:rsid w:val="00257EA2"/>
    <w:rsid w:val="00264426"/>
    <w:rsid w:val="00270755"/>
    <w:rsid w:val="00274540"/>
    <w:rsid w:val="0028243E"/>
    <w:rsid w:val="0028630A"/>
    <w:rsid w:val="00286D5F"/>
    <w:rsid w:val="00291F40"/>
    <w:rsid w:val="002A0811"/>
    <w:rsid w:val="002A1124"/>
    <w:rsid w:val="002A4830"/>
    <w:rsid w:val="002A70B3"/>
    <w:rsid w:val="002B14E0"/>
    <w:rsid w:val="002B1B2A"/>
    <w:rsid w:val="002B6663"/>
    <w:rsid w:val="002B674D"/>
    <w:rsid w:val="002C55DB"/>
    <w:rsid w:val="002D3C1F"/>
    <w:rsid w:val="002D69F4"/>
    <w:rsid w:val="002E1032"/>
    <w:rsid w:val="002E1D7D"/>
    <w:rsid w:val="002E4A8E"/>
    <w:rsid w:val="002E51D5"/>
    <w:rsid w:val="002F198E"/>
    <w:rsid w:val="002F39F5"/>
    <w:rsid w:val="002F5554"/>
    <w:rsid w:val="002F5AE6"/>
    <w:rsid w:val="003057BE"/>
    <w:rsid w:val="00306096"/>
    <w:rsid w:val="003121E3"/>
    <w:rsid w:val="00312247"/>
    <w:rsid w:val="003143C0"/>
    <w:rsid w:val="0031714C"/>
    <w:rsid w:val="00320987"/>
    <w:rsid w:val="00324025"/>
    <w:rsid w:val="00324DC0"/>
    <w:rsid w:val="00332335"/>
    <w:rsid w:val="00336DE2"/>
    <w:rsid w:val="00337DF7"/>
    <w:rsid w:val="00340067"/>
    <w:rsid w:val="0034199F"/>
    <w:rsid w:val="0034766B"/>
    <w:rsid w:val="00347B7D"/>
    <w:rsid w:val="00357061"/>
    <w:rsid w:val="00361C37"/>
    <w:rsid w:val="00362866"/>
    <w:rsid w:val="00365865"/>
    <w:rsid w:val="00367428"/>
    <w:rsid w:val="0036769B"/>
    <w:rsid w:val="00372877"/>
    <w:rsid w:val="00372F40"/>
    <w:rsid w:val="00377936"/>
    <w:rsid w:val="003814F6"/>
    <w:rsid w:val="00381D49"/>
    <w:rsid w:val="0038370C"/>
    <w:rsid w:val="003842B8"/>
    <w:rsid w:val="00396C2B"/>
    <w:rsid w:val="003A0303"/>
    <w:rsid w:val="003A08A1"/>
    <w:rsid w:val="003A0AF1"/>
    <w:rsid w:val="003A1D3E"/>
    <w:rsid w:val="003A3D34"/>
    <w:rsid w:val="003B28BE"/>
    <w:rsid w:val="003B4961"/>
    <w:rsid w:val="003B51BC"/>
    <w:rsid w:val="003B72FC"/>
    <w:rsid w:val="003B7BC0"/>
    <w:rsid w:val="003C2322"/>
    <w:rsid w:val="003C2734"/>
    <w:rsid w:val="003C33EA"/>
    <w:rsid w:val="003C3559"/>
    <w:rsid w:val="003C3B88"/>
    <w:rsid w:val="003D3109"/>
    <w:rsid w:val="003D3D88"/>
    <w:rsid w:val="003D5DBF"/>
    <w:rsid w:val="003D6C1E"/>
    <w:rsid w:val="003D6F9A"/>
    <w:rsid w:val="003D7C6B"/>
    <w:rsid w:val="003E0E26"/>
    <w:rsid w:val="003E4724"/>
    <w:rsid w:val="003E7FD0"/>
    <w:rsid w:val="003F0EA4"/>
    <w:rsid w:val="003F32BD"/>
    <w:rsid w:val="003F4411"/>
    <w:rsid w:val="00400109"/>
    <w:rsid w:val="00402A64"/>
    <w:rsid w:val="00402B12"/>
    <w:rsid w:val="00404541"/>
    <w:rsid w:val="00405D43"/>
    <w:rsid w:val="00407F9A"/>
    <w:rsid w:val="00417445"/>
    <w:rsid w:val="00424C44"/>
    <w:rsid w:val="00430901"/>
    <w:rsid w:val="004311BE"/>
    <w:rsid w:val="0043490D"/>
    <w:rsid w:val="00437E7E"/>
    <w:rsid w:val="0044253C"/>
    <w:rsid w:val="004438ED"/>
    <w:rsid w:val="00450AA7"/>
    <w:rsid w:val="00451708"/>
    <w:rsid w:val="004537CE"/>
    <w:rsid w:val="00453F83"/>
    <w:rsid w:val="00456B41"/>
    <w:rsid w:val="004644CE"/>
    <w:rsid w:val="004714CF"/>
    <w:rsid w:val="00472CF4"/>
    <w:rsid w:val="004738FC"/>
    <w:rsid w:val="00473A4A"/>
    <w:rsid w:val="00474669"/>
    <w:rsid w:val="00480941"/>
    <w:rsid w:val="00480F29"/>
    <w:rsid w:val="0048191E"/>
    <w:rsid w:val="0048255E"/>
    <w:rsid w:val="00484C0D"/>
    <w:rsid w:val="00485846"/>
    <w:rsid w:val="004859A7"/>
    <w:rsid w:val="0049374E"/>
    <w:rsid w:val="00494E94"/>
    <w:rsid w:val="00497D8B"/>
    <w:rsid w:val="004A2539"/>
    <w:rsid w:val="004A4777"/>
    <w:rsid w:val="004A4C71"/>
    <w:rsid w:val="004A7BBC"/>
    <w:rsid w:val="004A7BBD"/>
    <w:rsid w:val="004B1EE7"/>
    <w:rsid w:val="004C4002"/>
    <w:rsid w:val="004D1698"/>
    <w:rsid w:val="004D3013"/>
    <w:rsid w:val="004D41B8"/>
    <w:rsid w:val="004D541F"/>
    <w:rsid w:val="004E3305"/>
    <w:rsid w:val="004F5641"/>
    <w:rsid w:val="004F70C7"/>
    <w:rsid w:val="0050184D"/>
    <w:rsid w:val="00505070"/>
    <w:rsid w:val="00505797"/>
    <w:rsid w:val="00506B33"/>
    <w:rsid w:val="005076D3"/>
    <w:rsid w:val="0051070C"/>
    <w:rsid w:val="00512AFA"/>
    <w:rsid w:val="00514297"/>
    <w:rsid w:val="0051434D"/>
    <w:rsid w:val="005144AC"/>
    <w:rsid w:val="00515971"/>
    <w:rsid w:val="00515B18"/>
    <w:rsid w:val="00515CF6"/>
    <w:rsid w:val="00522632"/>
    <w:rsid w:val="00522EF3"/>
    <w:rsid w:val="00522F51"/>
    <w:rsid w:val="00526A07"/>
    <w:rsid w:val="00530CD3"/>
    <w:rsid w:val="00531883"/>
    <w:rsid w:val="0053591F"/>
    <w:rsid w:val="00540418"/>
    <w:rsid w:val="00540ACE"/>
    <w:rsid w:val="00540FF1"/>
    <w:rsid w:val="00541A82"/>
    <w:rsid w:val="00542834"/>
    <w:rsid w:val="00544AAE"/>
    <w:rsid w:val="005456F0"/>
    <w:rsid w:val="00545B42"/>
    <w:rsid w:val="005617B7"/>
    <w:rsid w:val="005624B9"/>
    <w:rsid w:val="00564091"/>
    <w:rsid w:val="00565ACA"/>
    <w:rsid w:val="0057213A"/>
    <w:rsid w:val="005731C8"/>
    <w:rsid w:val="00574266"/>
    <w:rsid w:val="00575444"/>
    <w:rsid w:val="00575AFF"/>
    <w:rsid w:val="0058009D"/>
    <w:rsid w:val="0058073A"/>
    <w:rsid w:val="00591C21"/>
    <w:rsid w:val="005920F4"/>
    <w:rsid w:val="005935C1"/>
    <w:rsid w:val="005A00D6"/>
    <w:rsid w:val="005A55B2"/>
    <w:rsid w:val="005B4D6D"/>
    <w:rsid w:val="005B506D"/>
    <w:rsid w:val="005C10FE"/>
    <w:rsid w:val="005C6454"/>
    <w:rsid w:val="005D25F9"/>
    <w:rsid w:val="005D3D25"/>
    <w:rsid w:val="005D5484"/>
    <w:rsid w:val="005D7945"/>
    <w:rsid w:val="005E17EB"/>
    <w:rsid w:val="005E4BD7"/>
    <w:rsid w:val="005E7699"/>
    <w:rsid w:val="005F129D"/>
    <w:rsid w:val="005F19AE"/>
    <w:rsid w:val="005F27BB"/>
    <w:rsid w:val="005F2B7C"/>
    <w:rsid w:val="005F6823"/>
    <w:rsid w:val="005F783E"/>
    <w:rsid w:val="0060505A"/>
    <w:rsid w:val="00606835"/>
    <w:rsid w:val="00610590"/>
    <w:rsid w:val="0062268E"/>
    <w:rsid w:val="00622B3B"/>
    <w:rsid w:val="00622FAF"/>
    <w:rsid w:val="00624E0C"/>
    <w:rsid w:val="00625EFC"/>
    <w:rsid w:val="00627055"/>
    <w:rsid w:val="00627CA4"/>
    <w:rsid w:val="0063042F"/>
    <w:rsid w:val="00641EF4"/>
    <w:rsid w:val="00643BF2"/>
    <w:rsid w:val="00643FD4"/>
    <w:rsid w:val="00644CC4"/>
    <w:rsid w:val="0064775F"/>
    <w:rsid w:val="00647C7E"/>
    <w:rsid w:val="00650F5F"/>
    <w:rsid w:val="00652325"/>
    <w:rsid w:val="00665307"/>
    <w:rsid w:val="00665BA6"/>
    <w:rsid w:val="00667EA6"/>
    <w:rsid w:val="0067475C"/>
    <w:rsid w:val="00682978"/>
    <w:rsid w:val="006842EB"/>
    <w:rsid w:val="00685DDD"/>
    <w:rsid w:val="006909E6"/>
    <w:rsid w:val="00695BCD"/>
    <w:rsid w:val="006A08DB"/>
    <w:rsid w:val="006A1EBE"/>
    <w:rsid w:val="006A5025"/>
    <w:rsid w:val="006A5ACA"/>
    <w:rsid w:val="006A747A"/>
    <w:rsid w:val="006A7A11"/>
    <w:rsid w:val="006B1FE7"/>
    <w:rsid w:val="006B20CF"/>
    <w:rsid w:val="006B393D"/>
    <w:rsid w:val="006C67F0"/>
    <w:rsid w:val="006D2DCC"/>
    <w:rsid w:val="006E3659"/>
    <w:rsid w:val="006E4A16"/>
    <w:rsid w:val="006E765E"/>
    <w:rsid w:val="006E77DD"/>
    <w:rsid w:val="006F1D50"/>
    <w:rsid w:val="006F1EAB"/>
    <w:rsid w:val="006F64EC"/>
    <w:rsid w:val="00702338"/>
    <w:rsid w:val="0070309C"/>
    <w:rsid w:val="0070568D"/>
    <w:rsid w:val="00706E41"/>
    <w:rsid w:val="007133BA"/>
    <w:rsid w:val="007140B5"/>
    <w:rsid w:val="0071764B"/>
    <w:rsid w:val="0072040D"/>
    <w:rsid w:val="007345B0"/>
    <w:rsid w:val="00735643"/>
    <w:rsid w:val="00735EBE"/>
    <w:rsid w:val="00755216"/>
    <w:rsid w:val="00755416"/>
    <w:rsid w:val="00756051"/>
    <w:rsid w:val="00756D6D"/>
    <w:rsid w:val="00757EEF"/>
    <w:rsid w:val="007603E6"/>
    <w:rsid w:val="00765956"/>
    <w:rsid w:val="00765B4E"/>
    <w:rsid w:val="007663F6"/>
    <w:rsid w:val="007721DD"/>
    <w:rsid w:val="00780760"/>
    <w:rsid w:val="00782E48"/>
    <w:rsid w:val="00784EDF"/>
    <w:rsid w:val="00785568"/>
    <w:rsid w:val="0079582C"/>
    <w:rsid w:val="00795F2D"/>
    <w:rsid w:val="0079707E"/>
    <w:rsid w:val="007A0992"/>
    <w:rsid w:val="007A596B"/>
    <w:rsid w:val="007A60BA"/>
    <w:rsid w:val="007B26C9"/>
    <w:rsid w:val="007B65EF"/>
    <w:rsid w:val="007B7356"/>
    <w:rsid w:val="007C2ED1"/>
    <w:rsid w:val="007C3112"/>
    <w:rsid w:val="007C6A7C"/>
    <w:rsid w:val="007D097B"/>
    <w:rsid w:val="007D16B2"/>
    <w:rsid w:val="007D6E9A"/>
    <w:rsid w:val="007D780C"/>
    <w:rsid w:val="007E2A4B"/>
    <w:rsid w:val="007F3AE0"/>
    <w:rsid w:val="007F7289"/>
    <w:rsid w:val="00801BB9"/>
    <w:rsid w:val="00811DAC"/>
    <w:rsid w:val="008126BB"/>
    <w:rsid w:val="008127DC"/>
    <w:rsid w:val="008145E9"/>
    <w:rsid w:val="00815AF7"/>
    <w:rsid w:val="008166D1"/>
    <w:rsid w:val="00820846"/>
    <w:rsid w:val="008211A1"/>
    <w:rsid w:val="008278FE"/>
    <w:rsid w:val="008433A6"/>
    <w:rsid w:val="00851077"/>
    <w:rsid w:val="00851C2F"/>
    <w:rsid w:val="008540CB"/>
    <w:rsid w:val="00861219"/>
    <w:rsid w:val="00862E19"/>
    <w:rsid w:val="00862EC0"/>
    <w:rsid w:val="00865B78"/>
    <w:rsid w:val="00870CE1"/>
    <w:rsid w:val="008719BE"/>
    <w:rsid w:val="00875ADB"/>
    <w:rsid w:val="00881786"/>
    <w:rsid w:val="00885246"/>
    <w:rsid w:val="0089054E"/>
    <w:rsid w:val="00894826"/>
    <w:rsid w:val="008A08F3"/>
    <w:rsid w:val="008A4FD0"/>
    <w:rsid w:val="008A53EF"/>
    <w:rsid w:val="008A6E4D"/>
    <w:rsid w:val="008A793D"/>
    <w:rsid w:val="008B0017"/>
    <w:rsid w:val="008B0B76"/>
    <w:rsid w:val="008B14CC"/>
    <w:rsid w:val="008B3B36"/>
    <w:rsid w:val="008B6FC3"/>
    <w:rsid w:val="008B7943"/>
    <w:rsid w:val="008C0BF4"/>
    <w:rsid w:val="008C4B74"/>
    <w:rsid w:val="008C5826"/>
    <w:rsid w:val="008C773E"/>
    <w:rsid w:val="008D1189"/>
    <w:rsid w:val="008D31D5"/>
    <w:rsid w:val="008E2E1E"/>
    <w:rsid w:val="008E3652"/>
    <w:rsid w:val="008E4520"/>
    <w:rsid w:val="008E781F"/>
    <w:rsid w:val="008F6D58"/>
    <w:rsid w:val="008F6EB6"/>
    <w:rsid w:val="008F7D0C"/>
    <w:rsid w:val="00900507"/>
    <w:rsid w:val="00906758"/>
    <w:rsid w:val="00910F99"/>
    <w:rsid w:val="009126CD"/>
    <w:rsid w:val="00912B70"/>
    <w:rsid w:val="00912D43"/>
    <w:rsid w:val="00924BDB"/>
    <w:rsid w:val="009265ED"/>
    <w:rsid w:val="009306C0"/>
    <w:rsid w:val="00930930"/>
    <w:rsid w:val="0093492C"/>
    <w:rsid w:val="00935293"/>
    <w:rsid w:val="009362EB"/>
    <w:rsid w:val="00943F49"/>
    <w:rsid w:val="00945549"/>
    <w:rsid w:val="00951B03"/>
    <w:rsid w:val="0095308E"/>
    <w:rsid w:val="00955DE1"/>
    <w:rsid w:val="00957043"/>
    <w:rsid w:val="00963998"/>
    <w:rsid w:val="009677D9"/>
    <w:rsid w:val="009721EF"/>
    <w:rsid w:val="009800B5"/>
    <w:rsid w:val="0098089A"/>
    <w:rsid w:val="00980BD4"/>
    <w:rsid w:val="009860D8"/>
    <w:rsid w:val="00986636"/>
    <w:rsid w:val="00987753"/>
    <w:rsid w:val="00987B54"/>
    <w:rsid w:val="00990653"/>
    <w:rsid w:val="009908EE"/>
    <w:rsid w:val="00990CEB"/>
    <w:rsid w:val="0099293C"/>
    <w:rsid w:val="009932AC"/>
    <w:rsid w:val="00996834"/>
    <w:rsid w:val="009A1168"/>
    <w:rsid w:val="009A1CDA"/>
    <w:rsid w:val="009A7F77"/>
    <w:rsid w:val="009B3C52"/>
    <w:rsid w:val="009B4FE9"/>
    <w:rsid w:val="009C2629"/>
    <w:rsid w:val="009C6BD0"/>
    <w:rsid w:val="009C6E36"/>
    <w:rsid w:val="009D255F"/>
    <w:rsid w:val="009D33AA"/>
    <w:rsid w:val="009D34A3"/>
    <w:rsid w:val="009D5D4C"/>
    <w:rsid w:val="009D5F30"/>
    <w:rsid w:val="009D6128"/>
    <w:rsid w:val="009D6E81"/>
    <w:rsid w:val="009E2D5A"/>
    <w:rsid w:val="009E35AD"/>
    <w:rsid w:val="009E53D2"/>
    <w:rsid w:val="009E712A"/>
    <w:rsid w:val="009F23C4"/>
    <w:rsid w:val="009F3369"/>
    <w:rsid w:val="00A00F93"/>
    <w:rsid w:val="00A02785"/>
    <w:rsid w:val="00A03791"/>
    <w:rsid w:val="00A04E3E"/>
    <w:rsid w:val="00A06020"/>
    <w:rsid w:val="00A10151"/>
    <w:rsid w:val="00A11057"/>
    <w:rsid w:val="00A16426"/>
    <w:rsid w:val="00A233EC"/>
    <w:rsid w:val="00A25FE2"/>
    <w:rsid w:val="00A26BB4"/>
    <w:rsid w:val="00A30C1C"/>
    <w:rsid w:val="00A337EF"/>
    <w:rsid w:val="00A363B6"/>
    <w:rsid w:val="00A44853"/>
    <w:rsid w:val="00A44F3E"/>
    <w:rsid w:val="00A4645F"/>
    <w:rsid w:val="00A465F6"/>
    <w:rsid w:val="00A46BF5"/>
    <w:rsid w:val="00A47C87"/>
    <w:rsid w:val="00A5419B"/>
    <w:rsid w:val="00A559C1"/>
    <w:rsid w:val="00A61F97"/>
    <w:rsid w:val="00A641DF"/>
    <w:rsid w:val="00A658EE"/>
    <w:rsid w:val="00A706B3"/>
    <w:rsid w:val="00A7292F"/>
    <w:rsid w:val="00A73CB2"/>
    <w:rsid w:val="00A76BF2"/>
    <w:rsid w:val="00A827CC"/>
    <w:rsid w:val="00A83712"/>
    <w:rsid w:val="00A921AD"/>
    <w:rsid w:val="00A9298C"/>
    <w:rsid w:val="00A9299C"/>
    <w:rsid w:val="00A92D6B"/>
    <w:rsid w:val="00A94B42"/>
    <w:rsid w:val="00AA1017"/>
    <w:rsid w:val="00AA6BB8"/>
    <w:rsid w:val="00AB0128"/>
    <w:rsid w:val="00AB13CE"/>
    <w:rsid w:val="00AB2E9C"/>
    <w:rsid w:val="00AB45BB"/>
    <w:rsid w:val="00AB4B1A"/>
    <w:rsid w:val="00AB695C"/>
    <w:rsid w:val="00AB6CDD"/>
    <w:rsid w:val="00AC1316"/>
    <w:rsid w:val="00AC37AB"/>
    <w:rsid w:val="00AC47BB"/>
    <w:rsid w:val="00AD14D4"/>
    <w:rsid w:val="00AD2BEC"/>
    <w:rsid w:val="00AD3A68"/>
    <w:rsid w:val="00AD3A9B"/>
    <w:rsid w:val="00AD4FAD"/>
    <w:rsid w:val="00AD5B5C"/>
    <w:rsid w:val="00AE75C0"/>
    <w:rsid w:val="00AF0B51"/>
    <w:rsid w:val="00AF41E6"/>
    <w:rsid w:val="00AF5C3C"/>
    <w:rsid w:val="00AF6EAF"/>
    <w:rsid w:val="00B039CB"/>
    <w:rsid w:val="00B12F74"/>
    <w:rsid w:val="00B13B16"/>
    <w:rsid w:val="00B146E2"/>
    <w:rsid w:val="00B2284F"/>
    <w:rsid w:val="00B25867"/>
    <w:rsid w:val="00B374DF"/>
    <w:rsid w:val="00B3788B"/>
    <w:rsid w:val="00B40913"/>
    <w:rsid w:val="00B438FE"/>
    <w:rsid w:val="00B46ECF"/>
    <w:rsid w:val="00B47E17"/>
    <w:rsid w:val="00B53523"/>
    <w:rsid w:val="00B55F45"/>
    <w:rsid w:val="00B55FB5"/>
    <w:rsid w:val="00B5683C"/>
    <w:rsid w:val="00B66400"/>
    <w:rsid w:val="00B66A12"/>
    <w:rsid w:val="00B74867"/>
    <w:rsid w:val="00B74D22"/>
    <w:rsid w:val="00B80B49"/>
    <w:rsid w:val="00B83040"/>
    <w:rsid w:val="00B849EE"/>
    <w:rsid w:val="00B84D02"/>
    <w:rsid w:val="00B86022"/>
    <w:rsid w:val="00B86FE3"/>
    <w:rsid w:val="00B91408"/>
    <w:rsid w:val="00B915AC"/>
    <w:rsid w:val="00B91A7D"/>
    <w:rsid w:val="00B94AE9"/>
    <w:rsid w:val="00B95530"/>
    <w:rsid w:val="00B95954"/>
    <w:rsid w:val="00B95C9F"/>
    <w:rsid w:val="00B96136"/>
    <w:rsid w:val="00BA2940"/>
    <w:rsid w:val="00BC2606"/>
    <w:rsid w:val="00BD55AB"/>
    <w:rsid w:val="00BD5D7F"/>
    <w:rsid w:val="00BD7FCC"/>
    <w:rsid w:val="00BE0047"/>
    <w:rsid w:val="00BE0198"/>
    <w:rsid w:val="00BE2380"/>
    <w:rsid w:val="00BE6A4D"/>
    <w:rsid w:val="00BE7ABB"/>
    <w:rsid w:val="00BF1061"/>
    <w:rsid w:val="00BF3731"/>
    <w:rsid w:val="00BF3E3E"/>
    <w:rsid w:val="00BF4D3F"/>
    <w:rsid w:val="00C13A09"/>
    <w:rsid w:val="00C14997"/>
    <w:rsid w:val="00C1560B"/>
    <w:rsid w:val="00C16E53"/>
    <w:rsid w:val="00C2062B"/>
    <w:rsid w:val="00C215F4"/>
    <w:rsid w:val="00C22E12"/>
    <w:rsid w:val="00C245F8"/>
    <w:rsid w:val="00C31A19"/>
    <w:rsid w:val="00C34388"/>
    <w:rsid w:val="00C431B4"/>
    <w:rsid w:val="00C44465"/>
    <w:rsid w:val="00C501A0"/>
    <w:rsid w:val="00C50DF2"/>
    <w:rsid w:val="00C524A6"/>
    <w:rsid w:val="00C61A32"/>
    <w:rsid w:val="00C62936"/>
    <w:rsid w:val="00C65FFE"/>
    <w:rsid w:val="00C669D9"/>
    <w:rsid w:val="00C737F3"/>
    <w:rsid w:val="00C74D27"/>
    <w:rsid w:val="00C7534D"/>
    <w:rsid w:val="00C7729D"/>
    <w:rsid w:val="00C82009"/>
    <w:rsid w:val="00C86C59"/>
    <w:rsid w:val="00C91B29"/>
    <w:rsid w:val="00C91C5A"/>
    <w:rsid w:val="00C93EF7"/>
    <w:rsid w:val="00C94DFE"/>
    <w:rsid w:val="00C94FBA"/>
    <w:rsid w:val="00CA474A"/>
    <w:rsid w:val="00CB2487"/>
    <w:rsid w:val="00CB6D70"/>
    <w:rsid w:val="00CC3B02"/>
    <w:rsid w:val="00CC5ED2"/>
    <w:rsid w:val="00CC6E93"/>
    <w:rsid w:val="00CD4C53"/>
    <w:rsid w:val="00CD6678"/>
    <w:rsid w:val="00CD6D9A"/>
    <w:rsid w:val="00CE3153"/>
    <w:rsid w:val="00CE651F"/>
    <w:rsid w:val="00CF0BA7"/>
    <w:rsid w:val="00CF10C2"/>
    <w:rsid w:val="00CF33E3"/>
    <w:rsid w:val="00CF4B64"/>
    <w:rsid w:val="00CF579F"/>
    <w:rsid w:val="00D00683"/>
    <w:rsid w:val="00D00E92"/>
    <w:rsid w:val="00D03426"/>
    <w:rsid w:val="00D049E7"/>
    <w:rsid w:val="00D055EC"/>
    <w:rsid w:val="00D06C11"/>
    <w:rsid w:val="00D107EA"/>
    <w:rsid w:val="00D1138C"/>
    <w:rsid w:val="00D11C27"/>
    <w:rsid w:val="00D13290"/>
    <w:rsid w:val="00D315BF"/>
    <w:rsid w:val="00D37324"/>
    <w:rsid w:val="00D435E1"/>
    <w:rsid w:val="00D44728"/>
    <w:rsid w:val="00D51068"/>
    <w:rsid w:val="00D55983"/>
    <w:rsid w:val="00D562FF"/>
    <w:rsid w:val="00D6200F"/>
    <w:rsid w:val="00D664F2"/>
    <w:rsid w:val="00D66BB1"/>
    <w:rsid w:val="00D67552"/>
    <w:rsid w:val="00D7130C"/>
    <w:rsid w:val="00D7218D"/>
    <w:rsid w:val="00D82282"/>
    <w:rsid w:val="00D82C1A"/>
    <w:rsid w:val="00D86DFE"/>
    <w:rsid w:val="00D87DD9"/>
    <w:rsid w:val="00D905A1"/>
    <w:rsid w:val="00D92E3F"/>
    <w:rsid w:val="00D94752"/>
    <w:rsid w:val="00D949C5"/>
    <w:rsid w:val="00D9674D"/>
    <w:rsid w:val="00D971C7"/>
    <w:rsid w:val="00D97B62"/>
    <w:rsid w:val="00DA0A99"/>
    <w:rsid w:val="00DA3C7A"/>
    <w:rsid w:val="00DA7CA2"/>
    <w:rsid w:val="00DB2B2B"/>
    <w:rsid w:val="00DB65F9"/>
    <w:rsid w:val="00DC1E11"/>
    <w:rsid w:val="00DC2C09"/>
    <w:rsid w:val="00DC69F7"/>
    <w:rsid w:val="00DC793E"/>
    <w:rsid w:val="00DD12E4"/>
    <w:rsid w:val="00DD43D0"/>
    <w:rsid w:val="00DD4F85"/>
    <w:rsid w:val="00DE0045"/>
    <w:rsid w:val="00DE061C"/>
    <w:rsid w:val="00DE6C40"/>
    <w:rsid w:val="00DF0FEE"/>
    <w:rsid w:val="00DF56C9"/>
    <w:rsid w:val="00DF73EE"/>
    <w:rsid w:val="00DF7578"/>
    <w:rsid w:val="00DF79B6"/>
    <w:rsid w:val="00E01A09"/>
    <w:rsid w:val="00E0392D"/>
    <w:rsid w:val="00E03FE8"/>
    <w:rsid w:val="00E05919"/>
    <w:rsid w:val="00E062FF"/>
    <w:rsid w:val="00E06393"/>
    <w:rsid w:val="00E13415"/>
    <w:rsid w:val="00E13695"/>
    <w:rsid w:val="00E249E1"/>
    <w:rsid w:val="00E262CE"/>
    <w:rsid w:val="00E30318"/>
    <w:rsid w:val="00E32708"/>
    <w:rsid w:val="00E34724"/>
    <w:rsid w:val="00E356DE"/>
    <w:rsid w:val="00E364DE"/>
    <w:rsid w:val="00E42458"/>
    <w:rsid w:val="00E42B2A"/>
    <w:rsid w:val="00E472DA"/>
    <w:rsid w:val="00E5365F"/>
    <w:rsid w:val="00E55BE4"/>
    <w:rsid w:val="00E57794"/>
    <w:rsid w:val="00E63842"/>
    <w:rsid w:val="00E64166"/>
    <w:rsid w:val="00E70152"/>
    <w:rsid w:val="00E7067D"/>
    <w:rsid w:val="00E767C4"/>
    <w:rsid w:val="00E80676"/>
    <w:rsid w:val="00E90DE1"/>
    <w:rsid w:val="00E91D9F"/>
    <w:rsid w:val="00E91F3D"/>
    <w:rsid w:val="00E93AF3"/>
    <w:rsid w:val="00E966FB"/>
    <w:rsid w:val="00EA04AC"/>
    <w:rsid w:val="00EA5418"/>
    <w:rsid w:val="00EB1429"/>
    <w:rsid w:val="00EB6F74"/>
    <w:rsid w:val="00EC14A1"/>
    <w:rsid w:val="00EC1FFF"/>
    <w:rsid w:val="00EC41A5"/>
    <w:rsid w:val="00EC647E"/>
    <w:rsid w:val="00ED1B08"/>
    <w:rsid w:val="00ED3251"/>
    <w:rsid w:val="00EE46DB"/>
    <w:rsid w:val="00EE46FB"/>
    <w:rsid w:val="00EE6962"/>
    <w:rsid w:val="00EF058B"/>
    <w:rsid w:val="00F036E8"/>
    <w:rsid w:val="00F0548F"/>
    <w:rsid w:val="00F11966"/>
    <w:rsid w:val="00F1271B"/>
    <w:rsid w:val="00F14C17"/>
    <w:rsid w:val="00F15BE3"/>
    <w:rsid w:val="00F15CEE"/>
    <w:rsid w:val="00F17C0D"/>
    <w:rsid w:val="00F220E6"/>
    <w:rsid w:val="00F262AB"/>
    <w:rsid w:val="00F309FA"/>
    <w:rsid w:val="00F32A66"/>
    <w:rsid w:val="00F33EC7"/>
    <w:rsid w:val="00F52D87"/>
    <w:rsid w:val="00F53A89"/>
    <w:rsid w:val="00F641A4"/>
    <w:rsid w:val="00F64F3B"/>
    <w:rsid w:val="00F674C4"/>
    <w:rsid w:val="00F704C5"/>
    <w:rsid w:val="00F755D0"/>
    <w:rsid w:val="00F77B8B"/>
    <w:rsid w:val="00F871A8"/>
    <w:rsid w:val="00F93391"/>
    <w:rsid w:val="00F9669B"/>
    <w:rsid w:val="00FA5827"/>
    <w:rsid w:val="00FA7C79"/>
    <w:rsid w:val="00FB1010"/>
    <w:rsid w:val="00FB1CAF"/>
    <w:rsid w:val="00FB564F"/>
    <w:rsid w:val="00FB60D0"/>
    <w:rsid w:val="00FB6C3E"/>
    <w:rsid w:val="00FC2836"/>
    <w:rsid w:val="00FC507D"/>
    <w:rsid w:val="00FD158B"/>
    <w:rsid w:val="00FD5A63"/>
    <w:rsid w:val="00FD6188"/>
    <w:rsid w:val="00FF4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6">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37037">
      <w:bodyDiv w:val="1"/>
      <w:marLeft w:val="0"/>
      <w:marRight w:val="0"/>
      <w:marTop w:val="0"/>
      <w:marBottom w:val="0"/>
      <w:divBdr>
        <w:top w:val="none" w:sz="0" w:space="0" w:color="auto"/>
        <w:left w:val="none" w:sz="0" w:space="0" w:color="auto"/>
        <w:bottom w:val="none" w:sz="0" w:space="0" w:color="auto"/>
        <w:right w:val="none" w:sz="0" w:space="0" w:color="auto"/>
      </w:divBdr>
    </w:div>
    <w:div w:id="191265019">
      <w:bodyDiv w:val="1"/>
      <w:marLeft w:val="0"/>
      <w:marRight w:val="0"/>
      <w:marTop w:val="0"/>
      <w:marBottom w:val="0"/>
      <w:divBdr>
        <w:top w:val="none" w:sz="0" w:space="0" w:color="auto"/>
        <w:left w:val="none" w:sz="0" w:space="0" w:color="auto"/>
        <w:bottom w:val="none" w:sz="0" w:space="0" w:color="auto"/>
        <w:right w:val="none" w:sz="0" w:space="0" w:color="auto"/>
      </w:divBdr>
    </w:div>
    <w:div w:id="295718667">
      <w:bodyDiv w:val="1"/>
      <w:marLeft w:val="0"/>
      <w:marRight w:val="0"/>
      <w:marTop w:val="0"/>
      <w:marBottom w:val="0"/>
      <w:divBdr>
        <w:top w:val="none" w:sz="0" w:space="0" w:color="auto"/>
        <w:left w:val="none" w:sz="0" w:space="0" w:color="auto"/>
        <w:bottom w:val="none" w:sz="0" w:space="0" w:color="auto"/>
        <w:right w:val="none" w:sz="0" w:space="0" w:color="auto"/>
      </w:divBdr>
    </w:div>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38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386D-FCBA-4B9F-805E-A4B01AD5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22</Pages>
  <Words>3898</Words>
  <Characters>21443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448</cp:revision>
  <cp:lastPrinted>2017-07-05T23:51:00Z</cp:lastPrinted>
  <dcterms:created xsi:type="dcterms:W3CDTF">2014-08-29T13:13:00Z</dcterms:created>
  <dcterms:modified xsi:type="dcterms:W3CDTF">2017-07-06T13:48:00Z</dcterms:modified>
</cp:coreProperties>
</file>