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06605"/>
    <w:bookmarkEnd w:id="0"/>
    <w:p w:rsidR="007D6E9A" w:rsidRDefault="008C02BE" w:rsidP="003D5DBF">
      <w:pPr>
        <w:jc w:val="center"/>
      </w:pPr>
      <w:r w:rsidRPr="00A4584E">
        <w:rPr>
          <w:sz w:val="24"/>
        </w:rPr>
        <w:object w:dxaOrig="23636" w:dyaOrig="15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8.4pt;height:425.4pt" o:ole="">
            <v:imagedata r:id="rId8" o:title=""/>
          </v:shape>
          <o:OLEObject Type="Embed" ProgID="Excel.Sheet.12" ShapeID="_x0000_i1025" DrawAspect="Content" ObjectID="_1561300964" r:id="rId9"/>
        </w:object>
      </w:r>
    </w:p>
    <w:p w:rsidR="00EA5418" w:rsidRDefault="00EA5418" w:rsidP="00372F40">
      <w:pPr>
        <w:jc w:val="center"/>
      </w:pPr>
    </w:p>
    <w:bookmarkStart w:id="1" w:name="_MON_1470805999"/>
    <w:bookmarkEnd w:id="1"/>
    <w:p w:rsidR="00EA5418" w:rsidRDefault="00676F3C" w:rsidP="0044253C">
      <w:pPr>
        <w:jc w:val="center"/>
      </w:pPr>
      <w:r>
        <w:object w:dxaOrig="25267" w:dyaOrig="18954">
          <v:shape id="_x0000_i1026" type="#_x0000_t75" style="width:587.4pt;height:439.8pt" o:ole="">
            <v:imagedata r:id="rId10" o:title=""/>
          </v:shape>
          <o:OLEObject Type="Embed" ProgID="Excel.Sheet.12" ShapeID="_x0000_i1026" DrawAspect="Content" ObjectID="_1561300965" r:id="rId11"/>
        </w:object>
      </w:r>
    </w:p>
    <w:bookmarkStart w:id="2" w:name="_MON_1470806992"/>
    <w:bookmarkEnd w:id="2"/>
    <w:p w:rsidR="00372F40" w:rsidRDefault="00676F3C" w:rsidP="003E7FD0">
      <w:pPr>
        <w:jc w:val="center"/>
      </w:pPr>
      <w:r>
        <w:object w:dxaOrig="22094" w:dyaOrig="15404">
          <v:shape id="_x0000_i1027" type="#_x0000_t75" style="width:651.6pt;height:454.2pt" o:ole="">
            <v:imagedata r:id="rId12" o:title=""/>
          </v:shape>
          <o:OLEObject Type="Embed" ProgID="Excel.Sheet.12" ShapeID="_x0000_i1027" DrawAspect="Content" ObjectID="_1561300966" r:id="rId13"/>
        </w:object>
      </w:r>
    </w:p>
    <w:bookmarkStart w:id="3" w:name="_MON_1470807348"/>
    <w:bookmarkEnd w:id="3"/>
    <w:p w:rsidR="00372F40" w:rsidRDefault="00CE6A55" w:rsidP="008E3652">
      <w:pPr>
        <w:jc w:val="center"/>
      </w:pPr>
      <w:r>
        <w:object w:dxaOrig="17792" w:dyaOrig="12419">
          <v:shape id="_x0000_i1028" type="#_x0000_t75" style="width:647.4pt;height:451.8pt" o:ole="">
            <v:imagedata r:id="rId14" o:title=""/>
          </v:shape>
          <o:OLEObject Type="Embed" ProgID="Excel.Sheet.12" ShapeID="_x0000_i1028" DrawAspect="Content" ObjectID="_1561300967" r:id="rId15"/>
        </w:object>
      </w:r>
    </w:p>
    <w:bookmarkStart w:id="4" w:name="_MON_1470809138"/>
    <w:bookmarkEnd w:id="4"/>
    <w:p w:rsidR="00372F40" w:rsidRDefault="00676F3C" w:rsidP="00522632">
      <w:pPr>
        <w:jc w:val="center"/>
      </w:pPr>
      <w:r>
        <w:object w:dxaOrig="17886" w:dyaOrig="12266">
          <v:shape id="_x0000_i1029" type="#_x0000_t75" style="width:634.8pt;height:434.4pt" o:ole="">
            <v:imagedata r:id="rId16" o:title=""/>
          </v:shape>
          <o:OLEObject Type="Embed" ProgID="Excel.Sheet.12" ShapeID="_x0000_i1029" DrawAspect="Content" ObjectID="_1561300968" r:id="rId17"/>
        </w:object>
      </w:r>
    </w:p>
    <w:p w:rsidR="00372F40" w:rsidRDefault="00372F40" w:rsidP="002A70B3">
      <w:pPr>
        <w:tabs>
          <w:tab w:val="left" w:pos="2430"/>
        </w:tabs>
      </w:pPr>
    </w:p>
    <w:bookmarkStart w:id="5" w:name="_MON_1470814596"/>
    <w:bookmarkEnd w:id="5"/>
    <w:p w:rsidR="00E32708" w:rsidRDefault="00CE6A55" w:rsidP="00E32708">
      <w:pPr>
        <w:tabs>
          <w:tab w:val="left" w:pos="2430"/>
        </w:tabs>
        <w:jc w:val="center"/>
      </w:pPr>
      <w:r>
        <w:object w:dxaOrig="18312" w:dyaOrig="11215">
          <v:shape id="_x0000_i1030" type="#_x0000_t75" style="width:638.4pt;height:390pt" o:ole="">
            <v:imagedata r:id="rId18" o:title=""/>
          </v:shape>
          <o:OLEObject Type="Embed" ProgID="Excel.Sheet.12" ShapeID="_x0000_i1030" DrawAspect="Content" ObjectID="_1561300969" r:id="rId19"/>
        </w:object>
      </w:r>
    </w:p>
    <w:bookmarkStart w:id="6" w:name="_MON_1470810366"/>
    <w:bookmarkEnd w:id="6"/>
    <w:p w:rsidR="004311BE" w:rsidRDefault="007D080B" w:rsidP="00B366C2">
      <w:pPr>
        <w:tabs>
          <w:tab w:val="left" w:pos="2430"/>
        </w:tabs>
        <w:jc w:val="center"/>
      </w:pPr>
      <w:r>
        <w:object w:dxaOrig="26004" w:dyaOrig="16750">
          <v:shape id="_x0000_i1031" type="#_x0000_t75" style="width:693pt;height:447pt" o:ole="">
            <v:imagedata r:id="rId20" o:title=""/>
          </v:shape>
          <o:OLEObject Type="Embed" ProgID="Excel.Sheet.12" ShapeID="_x0000_i1031" DrawAspect="Content" ObjectID="_1561300970" r:id="rId21"/>
        </w:object>
      </w:r>
    </w:p>
    <w:p w:rsidR="00E578DA" w:rsidRDefault="00E578DA" w:rsidP="00E578D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 xml:space="preserve">INFORME DE </w:t>
      </w:r>
      <w:r w:rsidRPr="004C5C47">
        <w:rPr>
          <w:rFonts w:ascii="Arial" w:hAnsi="Arial" w:cs="Arial"/>
          <w:b/>
          <w:sz w:val="18"/>
          <w:szCs w:val="18"/>
        </w:rPr>
        <w:t>P</w:t>
      </w:r>
      <w:r>
        <w:rPr>
          <w:rFonts w:ascii="Arial" w:hAnsi="Arial" w:cs="Arial"/>
          <w:b/>
          <w:sz w:val="18"/>
          <w:szCs w:val="18"/>
        </w:rPr>
        <w:t>ASIVOS CONTINGENTES</w:t>
      </w:r>
    </w:p>
    <w:p w:rsidR="00E578DA" w:rsidRDefault="00E578DA" w:rsidP="00E578D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Esta Coordinación, no tiene pasivos contingentes por tal razón no se cuenta con este informe. </w:t>
      </w: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Bajo protesta de decir verdad declaramos que los Estados Financieros y sus Notas son razonablemente correctos y responsabilidad del emisor.</w:t>
      </w:r>
    </w:p>
    <w:p w:rsidR="00E578DA" w:rsidRDefault="00E578DA" w:rsidP="00E578D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655" w:dyaOrig="2056">
          <v:shape id="_x0000_s1033" type="#_x0000_t75" style="position:absolute;margin-left:22.05pt;margin-top:53.55pt;width:632.35pt;height:97.35pt;z-index:251659264">
            <v:imagedata r:id="rId22" o:title=""/>
            <w10:wrap type="topAndBottom"/>
          </v:shape>
          <o:OLEObject Type="Embed" ProgID="Excel.Sheet.12" ShapeID="_x0000_s1033" DrawAspect="Content" ObjectID="_1561300971" r:id="rId23"/>
        </w:object>
      </w:r>
    </w:p>
    <w:p w:rsidR="00E578DA" w:rsidRDefault="00E578DA" w:rsidP="00B366C2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578DA" w:rsidRPr="00163D6C" w:rsidRDefault="00E578DA" w:rsidP="00E578DA">
      <w:pPr>
        <w:pStyle w:val="Texto"/>
        <w:spacing w:after="0" w:line="240" w:lineRule="exact"/>
        <w:jc w:val="center"/>
        <w:rPr>
          <w:b/>
          <w:szCs w:val="18"/>
        </w:rPr>
      </w:pPr>
      <w:r w:rsidRPr="00163D6C">
        <w:rPr>
          <w:b/>
          <w:szCs w:val="18"/>
        </w:rPr>
        <w:lastRenderedPageBreak/>
        <w:t>NOTAS A LOS ESTADOS FINANCIEROS</w:t>
      </w:r>
    </w:p>
    <w:p w:rsidR="00E578DA" w:rsidRPr="00163D6C" w:rsidRDefault="00E578DA" w:rsidP="00E578DA">
      <w:pPr>
        <w:pStyle w:val="Texto"/>
        <w:spacing w:after="0" w:line="240" w:lineRule="exact"/>
        <w:jc w:val="center"/>
        <w:rPr>
          <w:b/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jc w:val="center"/>
        <w:rPr>
          <w:szCs w:val="18"/>
        </w:rPr>
      </w:pPr>
      <w:r w:rsidRPr="00163D6C">
        <w:rPr>
          <w:b/>
          <w:szCs w:val="18"/>
        </w:rPr>
        <w:t>a) NOTAS DE DESGLOSE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  <w:lang w:val="es-MX"/>
        </w:rPr>
      </w:pPr>
    </w:p>
    <w:p w:rsidR="00E578DA" w:rsidRPr="00163D6C" w:rsidRDefault="00E578DA" w:rsidP="00E578DA">
      <w:pPr>
        <w:pStyle w:val="INCISO"/>
        <w:spacing w:after="0" w:line="240" w:lineRule="exact"/>
        <w:ind w:left="648"/>
        <w:rPr>
          <w:b/>
          <w:smallCaps/>
        </w:rPr>
      </w:pPr>
      <w:r w:rsidRPr="00163D6C">
        <w:rPr>
          <w:b/>
          <w:smallCaps/>
        </w:rPr>
        <w:t>I)</w:t>
      </w:r>
      <w:r w:rsidRPr="00163D6C">
        <w:rPr>
          <w:b/>
          <w:smallCaps/>
        </w:rPr>
        <w:tab/>
        <w:t>Notas al Estado de Situación Financiera</w:t>
      </w: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Activo</w:t>
      </w:r>
    </w:p>
    <w:p w:rsidR="00E578DA" w:rsidRPr="00163D6C" w:rsidRDefault="00E578DA" w:rsidP="00E578DA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Efectivo y Equivalentes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Se obtuvo un superávit por ahorros a través de la racionalidad y austeridad principalmente.</w:t>
      </w:r>
    </w:p>
    <w:p w:rsidR="00E578DA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</w: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>
        <w:rPr>
          <w:b/>
          <w:lang w:val="es-MX"/>
        </w:rPr>
        <w:tab/>
      </w:r>
      <w:r w:rsidRPr="00163D6C">
        <w:rPr>
          <w:b/>
          <w:lang w:val="es-MX"/>
        </w:rPr>
        <w:t>Derechos a recibir Efectivo y Equivalentes y Bienes o Servicios a Recibir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Coordinación, no tiene derecho a recibir efectivo y Equivalentes y Bienes o Servicios.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Disponibles para su Transformación o Consumo (inventarios)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Coordinación, no cuenta con bienes disponibles para su transformación o consumo.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Inversiones Financieras</w:t>
      </w:r>
    </w:p>
    <w:p w:rsidR="00E578DA" w:rsidRPr="00267327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b/>
          <w:lang w:val="es-MX"/>
        </w:rPr>
        <w:tab/>
        <w:t>Esta Coordinación, no cuenta con Inversiones financieras.</w:t>
      </w:r>
    </w:p>
    <w:p w:rsidR="00E578DA" w:rsidRDefault="00E578DA" w:rsidP="00E578DA">
      <w:pPr>
        <w:pStyle w:val="ROMANOS"/>
        <w:spacing w:after="0" w:line="240" w:lineRule="exact"/>
        <w:rPr>
          <w:b/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Bienes Muebles, Inmuebles e Intangibles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No se han aplicado recursos a este capítulo.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Estimaciones y Deterioros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 xml:space="preserve">         Esta Coordinación no cuenta con estimaciones y deteriores.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ab/>
        <w:t>Otros Activos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 no cuenta con otros activos.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ind w:left="432"/>
        <w:rPr>
          <w:b/>
          <w:lang w:val="es-MX"/>
        </w:rPr>
      </w:pPr>
      <w:r w:rsidRPr="00163D6C">
        <w:rPr>
          <w:b/>
          <w:lang w:val="es-MX"/>
        </w:rPr>
        <w:t>Pasivo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tab/>
        <w:t>Esta coordinación no cuenta con Pasivos.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II)</w:t>
      </w:r>
      <w:r w:rsidRPr="00163D6C">
        <w:rPr>
          <w:b/>
          <w:smallCaps/>
        </w:rPr>
        <w:tab/>
        <w:t>Notas al Estado de Actividades</w:t>
      </w:r>
    </w:p>
    <w:p w:rsidR="00E578DA" w:rsidRPr="00163D6C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Ingresos de Gestión</w:t>
      </w:r>
    </w:p>
    <w:p w:rsidR="00E578DA" w:rsidRPr="00615C53" w:rsidRDefault="00E578DA" w:rsidP="00E578DA">
      <w:pPr>
        <w:pStyle w:val="ROMANOS"/>
        <w:spacing w:after="0" w:line="240" w:lineRule="exact"/>
        <w:rPr>
          <w:lang w:val="es-MX"/>
        </w:rPr>
      </w:pPr>
      <w:r w:rsidRPr="00615C53">
        <w:rPr>
          <w:lang w:val="es-MX"/>
        </w:rPr>
        <w:t xml:space="preserve">Solo se obtienen ingresos por medio de las participaciones que el Gobierno del Estado </w:t>
      </w:r>
    </w:p>
    <w:p w:rsidR="00E578DA" w:rsidRDefault="00E578DA" w:rsidP="00E578DA">
      <w:pPr>
        <w:pStyle w:val="ROMANOS"/>
        <w:spacing w:after="0" w:line="240" w:lineRule="exact"/>
        <w:rPr>
          <w:b/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Gastos y Otras Pérdidas:</w:t>
      </w:r>
    </w:p>
    <w:p w:rsidR="00E578DA" w:rsidRPr="00163D6C" w:rsidRDefault="00E578DA" w:rsidP="00E578DA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>
        <w:rPr>
          <w:lang w:val="es-MX"/>
        </w:rPr>
        <w:t>Solo se utilizan cuentas</w:t>
      </w:r>
      <w:r w:rsidRPr="00163D6C">
        <w:rPr>
          <w:lang w:val="es-MX"/>
        </w:rPr>
        <w:t xml:space="preserve"> de gastos de funcionamiento,</w:t>
      </w:r>
      <w:r>
        <w:rPr>
          <w:lang w:val="es-MX"/>
        </w:rPr>
        <w:t xml:space="preserve"> como el capítulo 1000, 2000 y 3000.</w:t>
      </w:r>
    </w:p>
    <w:p w:rsidR="00E578DA" w:rsidRPr="00163D6C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6.75pt;margin-top:33.75pt;width:75.75pt;height:18pt;z-index:251662336" filled="f" stroked="f">
            <v:textbox>
              <w:txbxContent>
                <w:p w:rsidR="00E578DA" w:rsidRPr="00D00A80" w:rsidRDefault="00E578DA" w:rsidP="00E578DA">
                  <w:pPr>
                    <w:rPr>
                      <w:rFonts w:ascii="Arial" w:hAnsi="Arial" w:cs="Arial"/>
                    </w:rPr>
                  </w:pPr>
                  <w:r w:rsidRPr="00D00A80">
                    <w:rPr>
                      <w:rFonts w:ascii="Arial" w:hAnsi="Arial" w:cs="Arial"/>
                    </w:rPr>
                    <w:t>Contable / 9</w:t>
                  </w:r>
                </w:p>
              </w:txbxContent>
            </v:textbox>
          </v:shape>
        </w:pict>
      </w:r>
      <w:r w:rsidRPr="00163D6C">
        <w:rPr>
          <w:b/>
          <w:smallCaps/>
        </w:rPr>
        <w:t>III)</w:t>
      </w:r>
      <w:r w:rsidRPr="00163D6C">
        <w:rPr>
          <w:b/>
          <w:smallCaps/>
        </w:rPr>
        <w:tab/>
        <w:t>Notas al Estado de Variación en la Hacienda Pública</w:t>
      </w: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  <w:r>
        <w:rPr>
          <w:lang w:val="es-MX"/>
        </w:rPr>
        <w:lastRenderedPageBreak/>
        <w:t>No se observa cambios en el estado de variación en la hacienda pública.</w:t>
      </w:r>
    </w:p>
    <w:p w:rsidR="00E578DA" w:rsidRPr="00163D6C" w:rsidRDefault="00E578DA" w:rsidP="00E578DA">
      <w:pPr>
        <w:pStyle w:val="ROMANOS"/>
        <w:spacing w:after="0" w:line="240" w:lineRule="exact"/>
        <w:ind w:left="1008" w:firstLine="0"/>
        <w:rPr>
          <w:lang w:val="es-MX"/>
        </w:rPr>
      </w:pPr>
    </w:p>
    <w:p w:rsidR="00E578DA" w:rsidRPr="00163D6C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IV)</w:t>
      </w:r>
      <w:r w:rsidRPr="00163D6C">
        <w:rPr>
          <w:b/>
          <w:smallCaps/>
        </w:rPr>
        <w:tab/>
        <w:t xml:space="preserve">Notas al Estado de Flujos de Efectivo </w:t>
      </w:r>
    </w:p>
    <w:p w:rsidR="00E578DA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b/>
          <w:lang w:val="es-MX"/>
        </w:rPr>
      </w:pPr>
      <w:r w:rsidRPr="00163D6C">
        <w:rPr>
          <w:b/>
          <w:lang w:val="es-MX"/>
        </w:rPr>
        <w:t>Efectivo y equivalentes</w:t>
      </w:r>
    </w:p>
    <w:p w:rsidR="00E578DA" w:rsidRDefault="00E578DA" w:rsidP="00E578DA">
      <w:pPr>
        <w:pStyle w:val="ROMANOS"/>
        <w:numPr>
          <w:ilvl w:val="0"/>
          <w:numId w:val="3"/>
        </w:numPr>
        <w:spacing w:after="0" w:line="240" w:lineRule="exact"/>
        <w:rPr>
          <w:lang w:val="es-MX"/>
        </w:rPr>
      </w:pPr>
      <w:r w:rsidRPr="00163D6C">
        <w:rPr>
          <w:lang w:val="es-MX"/>
        </w:rPr>
        <w:t>El análisis de los saldos inicial y final que figuran en la última parte del Estado de Flujo de Efectivo en la cuenta de efectivo y equivalentes es como sigue:</w:t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</w:p>
    <w:tbl>
      <w:tblPr>
        <w:tblpPr w:leftFromText="141" w:rightFromText="141" w:vertAnchor="text" w:horzAnchor="margin" w:tblpXSpec="center" w:tblpY="168"/>
        <w:tblOverlap w:val="never"/>
        <w:tblW w:w="9039" w:type="dxa"/>
        <w:tblLayout w:type="fixed"/>
        <w:tblLook w:val="0000" w:firstRow="0" w:lastRow="0" w:firstColumn="0" w:lastColumn="0" w:noHBand="0" w:noVBand="0"/>
      </w:tblPr>
      <w:tblGrid>
        <w:gridCol w:w="6771"/>
        <w:gridCol w:w="1134"/>
        <w:gridCol w:w="1134"/>
      </w:tblGrid>
      <w:tr w:rsidR="00E578DA" w:rsidRPr="004D0B96" w:rsidTr="00D90BDA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>
              <w:rPr>
                <w:b/>
                <w:szCs w:val="18"/>
                <w:lang w:val="es-MX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b/>
                <w:szCs w:val="18"/>
                <w:lang w:val="es-MX"/>
              </w:rPr>
            </w:pPr>
            <w:r w:rsidRPr="00615C53">
              <w:rPr>
                <w:b/>
                <w:szCs w:val="18"/>
                <w:lang w:val="es-MX"/>
              </w:rPr>
              <w:t>201</w:t>
            </w:r>
            <w:r>
              <w:rPr>
                <w:b/>
                <w:szCs w:val="18"/>
                <w:lang w:val="es-MX"/>
              </w:rPr>
              <w:t>6</w:t>
            </w:r>
          </w:p>
        </w:tc>
      </w:tr>
      <w:tr w:rsidR="00E578DA" w:rsidRPr="004D0B96" w:rsidTr="00D90BDA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Efectivo en Bancos –Tesorería al final del ejercicio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$ 25,780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>
              <w:rPr>
                <w:szCs w:val="18"/>
                <w:lang w:val="es-MX"/>
              </w:rPr>
              <w:t>14,984</w:t>
            </w:r>
          </w:p>
        </w:tc>
      </w:tr>
      <w:tr w:rsidR="00E578DA" w:rsidRPr="004D0B96" w:rsidTr="00D90BDA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</w:p>
        </w:tc>
      </w:tr>
      <w:tr w:rsidR="00E578DA" w:rsidRPr="00B368BA" w:rsidTr="00D90BDA">
        <w:trPr>
          <w:cantSplit/>
        </w:trPr>
        <w:tc>
          <w:tcPr>
            <w:tcW w:w="67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>Total de Efectivo y Equivalentes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>
              <w:rPr>
                <w:szCs w:val="18"/>
                <w:lang w:val="es-MX"/>
              </w:rPr>
              <w:t>$25,780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78DA" w:rsidRPr="00615C53" w:rsidRDefault="00E578DA" w:rsidP="00D90BDA">
            <w:pPr>
              <w:pStyle w:val="Texto"/>
              <w:spacing w:after="0" w:line="240" w:lineRule="exact"/>
              <w:ind w:firstLine="0"/>
              <w:jc w:val="center"/>
              <w:rPr>
                <w:szCs w:val="18"/>
                <w:lang w:val="es-MX"/>
              </w:rPr>
            </w:pPr>
            <w:r w:rsidRPr="00615C53">
              <w:rPr>
                <w:szCs w:val="18"/>
                <w:lang w:val="es-MX"/>
              </w:rPr>
              <w:t xml:space="preserve">$ </w:t>
            </w:r>
            <w:r>
              <w:rPr>
                <w:szCs w:val="18"/>
                <w:lang w:val="es-MX"/>
              </w:rPr>
              <w:t>14,984</w:t>
            </w:r>
          </w:p>
        </w:tc>
      </w:tr>
    </w:tbl>
    <w:p w:rsidR="00E578DA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ROMANOS"/>
        <w:spacing w:after="0" w:line="240" w:lineRule="exact"/>
        <w:ind w:left="648" w:firstLine="0"/>
        <w:rPr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szCs w:val="18"/>
          <w:lang w:val="es-MX"/>
        </w:rPr>
      </w:pPr>
      <w:r>
        <w:rPr>
          <w:szCs w:val="18"/>
          <w:lang w:val="es-MX"/>
        </w:rPr>
        <w:br w:type="textWrapping" w:clear="all"/>
      </w:r>
    </w:p>
    <w:p w:rsidR="00E578DA" w:rsidRDefault="00E578DA" w:rsidP="00E578DA">
      <w:pPr>
        <w:pStyle w:val="ROMANOS"/>
        <w:spacing w:after="0" w:line="240" w:lineRule="exact"/>
        <w:rPr>
          <w:lang w:val="es-MX"/>
        </w:rPr>
      </w:pPr>
      <w:r w:rsidRPr="00163D6C">
        <w:rPr>
          <w:lang w:val="es-MX"/>
        </w:rPr>
        <w:t>3.</w:t>
      </w:r>
      <w:r w:rsidRPr="00163D6C">
        <w:rPr>
          <w:lang w:val="es-MX"/>
        </w:rPr>
        <w:tab/>
      </w:r>
      <w:r w:rsidRPr="00615C53">
        <w:rPr>
          <w:lang w:val="es-MX"/>
        </w:rPr>
        <w:t>Conciliación de los Flujos de Efectivo Netos de las Actividades de Operación y la cuenta de Ahorro/Desahorro antes de Rubros Extraordinarios.  No se presenta esta conciliación debido a que durante el ejercicio a informar no existieron movimientos de partidas que no afectaran al efectivo.</w:t>
      </w:r>
      <w:r>
        <w:rPr>
          <w:lang w:val="es-MX"/>
        </w:rPr>
        <w:t xml:space="preserve"> 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  <w:lang w:val="es-MX"/>
        </w:rPr>
      </w:pPr>
    </w:p>
    <w:p w:rsidR="00E578DA" w:rsidRPr="00163D6C" w:rsidRDefault="00E578DA" w:rsidP="00E578DA">
      <w:pPr>
        <w:pStyle w:val="INCISO"/>
        <w:spacing w:after="0" w:line="240" w:lineRule="exact"/>
        <w:ind w:left="360"/>
        <w:rPr>
          <w:b/>
          <w:smallCaps/>
        </w:rPr>
      </w:pPr>
      <w:r w:rsidRPr="00163D6C">
        <w:rPr>
          <w:b/>
          <w:smallCaps/>
        </w:rPr>
        <w:t>V) Conciliación entre los ingresos presupuestarios y contables, así como entre los egresos presupuestarios y los gastos contables</w:t>
      </w:r>
    </w:p>
    <w:p w:rsidR="00E578DA" w:rsidRPr="00163D6C" w:rsidRDefault="00E578DA" w:rsidP="00E578DA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:rsidR="00E578DA" w:rsidRDefault="00E578DA" w:rsidP="00E578DA">
      <w:pPr>
        <w:pStyle w:val="Texto"/>
        <w:spacing w:after="0" w:line="240" w:lineRule="exact"/>
        <w:rPr>
          <w:szCs w:val="18"/>
          <w:lang w:val="es-MX"/>
        </w:rPr>
      </w:pPr>
      <w:r w:rsidRPr="00163D6C">
        <w:rPr>
          <w:szCs w:val="18"/>
          <w:lang w:val="es-MX"/>
        </w:rPr>
        <w:t>La conciliación se presentará atendiendo a lo dispuesto por la Acuerdo por el que se emite el formato de conciliación entre los ingresos presupuestarios y contables, así como entre los egresos presupuestarios y los gastos contables.</w:t>
      </w:r>
    </w:p>
    <w:p w:rsidR="00E578DA" w:rsidRDefault="00E578DA" w:rsidP="00E578DA">
      <w:pPr>
        <w:pStyle w:val="Texto"/>
        <w:spacing w:after="0" w:line="240" w:lineRule="exact"/>
        <w:rPr>
          <w:szCs w:val="18"/>
          <w:lang w:val="es-MX"/>
        </w:rPr>
      </w:pPr>
    </w:p>
    <w:tbl>
      <w:tblPr>
        <w:tblW w:w="84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4"/>
        <w:gridCol w:w="2280"/>
        <w:gridCol w:w="2280"/>
      </w:tblGrid>
      <w:tr w:rsidR="00E578DA" w:rsidRPr="00041486" w:rsidTr="00D90BDA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Cuenta Pública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Ingresos Presupuestarios y Contables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30 de junio de 2017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$598,600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Ingresos contables (4=1+2-3)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$598,600</w:t>
            </w:r>
          </w:p>
        </w:tc>
      </w:tr>
    </w:tbl>
    <w:p w:rsidR="00E578DA" w:rsidRPr="00163D6C" w:rsidRDefault="00E578DA" w:rsidP="00E578DA">
      <w:pPr>
        <w:pStyle w:val="Texto"/>
        <w:spacing w:after="0" w:line="240" w:lineRule="exact"/>
        <w:rPr>
          <w:szCs w:val="18"/>
          <w:lang w:val="es-MX"/>
        </w:rPr>
      </w:pPr>
      <w:r>
        <w:rPr>
          <w:noProof/>
          <w:szCs w:val="18"/>
          <w:lang w:val="es-MX" w:eastAsia="es-MX"/>
        </w:rPr>
        <w:pict>
          <v:shape id="_x0000_s1036" type="#_x0000_t202" style="position:absolute;left:0;text-align:left;margin-left:303pt;margin-top:34.4pt;width:84pt;height:17.25pt;z-index:251663360;mso-position-horizontal-relative:text;mso-position-vertical-relative:text" filled="f" stroked="f">
            <v:textbox>
              <w:txbxContent>
                <w:p w:rsidR="00E578DA" w:rsidRPr="00D00A80" w:rsidRDefault="00E578DA" w:rsidP="00E578D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 10</w:t>
                  </w:r>
                </w:p>
              </w:txbxContent>
            </v:textbox>
          </v:shape>
        </w:pict>
      </w:r>
    </w:p>
    <w:tbl>
      <w:tblPr>
        <w:tblW w:w="84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1932"/>
        <w:gridCol w:w="1140"/>
        <w:gridCol w:w="1140"/>
        <w:gridCol w:w="1140"/>
        <w:gridCol w:w="1140"/>
      </w:tblGrid>
      <w:tr w:rsidR="00E578DA" w:rsidRPr="00041486" w:rsidTr="00D90BDA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lastRenderedPageBreak/>
              <w:t>Cuenta Pública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Poder Ejecutivo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Coordinación de Servicio Social de Estudiantes de Educación Superior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Conciliación entre los Egresos Presupuestarios y los Gastos Contables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8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943634" w:themeFill="accent2" w:themeFillShade="BF"/>
            <w:noWrap/>
            <w:vAlign w:val="center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Del 1 de enero al 30</w:t>
            </w: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de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 xml:space="preserve"> junio </w:t>
            </w:r>
            <w:r w:rsidRPr="0004148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 201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7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1. Total de egresos (presupuestarios)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$587,804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2. Menos egresos presupuestarios no contables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   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3. Más gastos contables no presupuestales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0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578DA" w:rsidRPr="00041486" w:rsidTr="00D90BDA">
        <w:trPr>
          <w:trHeight w:val="300"/>
          <w:jc w:val="center"/>
        </w:trPr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4. Total de Gasto Contable (4=1-2+3)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4148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78DA" w:rsidRPr="00041486" w:rsidRDefault="00E578DA" w:rsidP="00D90BD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$587,804</w:t>
            </w:r>
          </w:p>
        </w:tc>
      </w:tr>
    </w:tbl>
    <w:p w:rsidR="00E578DA" w:rsidRDefault="00E578DA" w:rsidP="00E578DA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E578DA" w:rsidRDefault="00E578DA" w:rsidP="00E578DA">
      <w:pPr>
        <w:pStyle w:val="Texto"/>
        <w:spacing w:after="0" w:line="240" w:lineRule="exact"/>
        <w:ind w:firstLine="0"/>
        <w:rPr>
          <w:szCs w:val="18"/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szCs w:val="18"/>
        </w:rPr>
        <w:t xml:space="preserve"> </w:t>
      </w:r>
      <w:r w:rsidRPr="00163D6C">
        <w:rPr>
          <w:b/>
          <w:szCs w:val="18"/>
        </w:rPr>
        <w:t>b)</w:t>
      </w:r>
      <w:r w:rsidRPr="00163D6C">
        <w:rPr>
          <w:szCs w:val="18"/>
        </w:rPr>
        <w:t xml:space="preserve"> </w:t>
      </w:r>
      <w:r w:rsidRPr="00163D6C">
        <w:rPr>
          <w:b/>
          <w:szCs w:val="18"/>
          <w:lang w:val="es-MX"/>
        </w:rPr>
        <w:t>NOTAS DE MEMORIA (CUENTAS DE ORDEN)</w:t>
      </w:r>
    </w:p>
    <w:p w:rsidR="00E578DA" w:rsidRPr="00163D6C" w:rsidRDefault="00E578DA" w:rsidP="00E578DA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ind w:left="2160" w:hanging="540"/>
        <w:rPr>
          <w:szCs w:val="18"/>
        </w:rPr>
      </w:pPr>
      <w:r>
        <w:rPr>
          <w:szCs w:val="18"/>
          <w:lang w:val="es-MX"/>
        </w:rPr>
        <w:t>No existen notas de memoria en las cuentas de orden de nuestra contabilidad.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c) NOTAS DE GESTIÓN ADMINISTRATIVA</w:t>
      </w: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</w:rPr>
      </w:pPr>
      <w:r w:rsidRPr="00163D6C">
        <w:rPr>
          <w:b/>
          <w:szCs w:val="18"/>
          <w:lang w:val="es-MX"/>
        </w:rPr>
        <w:t>1.</w:t>
      </w:r>
      <w:r w:rsidRPr="00163D6C">
        <w:rPr>
          <w:b/>
          <w:szCs w:val="18"/>
          <w:lang w:val="es-MX"/>
        </w:rPr>
        <w:tab/>
        <w:t>Introducción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Los Estados Financieros de los entes públicos, proveen de información financiera a los principales usuarios de la misma, al Congreso y a los ciudadanos.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El objetivo del presente documento es la revelación del contexto y de los aspectos económicos-financieros más relevantes que influyeron en las decisiones del período, y que deberán ser considerados en la elaboración de los estados financieros para la mayor comprensión de los mismos y sus particularidades.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 esta manera, se informa y explica la respuesta del gobierno a las condiciones relacionadas con la información financiera de cada período de gestión; además, de exponer aquellas políticas que podrían afectar la toma de decisiones en períodos posteriores.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2.</w:t>
      </w:r>
      <w:r w:rsidRPr="00163D6C">
        <w:rPr>
          <w:b/>
          <w:szCs w:val="18"/>
          <w:lang w:val="es-MX"/>
        </w:rPr>
        <w:tab/>
        <w:t>Panorama Económico y Financiero</w:t>
      </w:r>
    </w:p>
    <w:p w:rsidR="00E578DA" w:rsidRDefault="00E578DA" w:rsidP="00E578DA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 xml:space="preserve">La racionalidad, austeridad y cumplimiento a las actividades para realizar la operación de ésta Coordinación han sido directrices para ejercer el presupuesto otorgado, sin embargo es necesario hacer inversión en bienes muebles, inmuebles e intangibles para mejorar el proceso administrativo además de beneficiar el servicio y atención a los usuarios. 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>
        <w:rPr>
          <w:noProof/>
          <w:szCs w:val="18"/>
          <w:lang w:val="es-MX" w:eastAsia="es-MX"/>
        </w:rPr>
        <w:pict>
          <v:shape id="_x0000_s1037" type="#_x0000_t202" style="position:absolute;left:0;text-align:left;margin-left:307.5pt;margin-top:41.55pt;width:87pt;height:18pt;z-index:251664384" filled="f" stroked="f">
            <v:textbox>
              <w:txbxContent>
                <w:p w:rsidR="00E578DA" w:rsidRPr="00D00A80" w:rsidRDefault="00E578DA" w:rsidP="00E578D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11</w:t>
                  </w:r>
                </w:p>
              </w:txbxContent>
            </v:textbox>
          </v:shape>
        </w:pict>
      </w: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lastRenderedPageBreak/>
        <w:t>3.</w:t>
      </w:r>
      <w:r w:rsidRPr="00163D6C">
        <w:rPr>
          <w:b/>
          <w:szCs w:val="18"/>
          <w:lang w:val="es-MX"/>
        </w:rPr>
        <w:tab/>
        <w:t>Autorización e Historia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E578DA" w:rsidRPr="00163D6C" w:rsidRDefault="00E578DA" w:rsidP="00E578DA">
      <w:pPr>
        <w:pStyle w:val="INCISO"/>
        <w:spacing w:after="0" w:line="240" w:lineRule="exact"/>
      </w:pPr>
      <w:r>
        <w:t>a)</w:t>
      </w:r>
      <w:r>
        <w:tab/>
        <w:t>1979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b)</w:t>
      </w:r>
      <w:r w:rsidRPr="00163D6C">
        <w:tab/>
        <w:t>Principales cambios en su estructura</w:t>
      </w:r>
    </w:p>
    <w:p w:rsidR="00E578DA" w:rsidRPr="00163D6C" w:rsidRDefault="00E578DA" w:rsidP="00E578DA">
      <w:pPr>
        <w:pStyle w:val="INCISO"/>
        <w:spacing w:after="0" w:line="240" w:lineRule="exact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4.</w:t>
      </w:r>
      <w:r w:rsidRPr="00163D6C">
        <w:rPr>
          <w:b/>
          <w:szCs w:val="18"/>
          <w:lang w:val="es-MX"/>
        </w:rPr>
        <w:tab/>
        <w:t>Organización y Objeto Social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a)</w:t>
      </w:r>
      <w:r w:rsidRPr="00163D6C">
        <w:tab/>
        <w:t>Objeto social</w:t>
      </w:r>
    </w:p>
    <w:p w:rsidR="00E578DA" w:rsidRPr="00163D6C" w:rsidRDefault="00E578DA" w:rsidP="00E578DA">
      <w:pPr>
        <w:pStyle w:val="INCISO"/>
        <w:spacing w:after="0" w:line="240" w:lineRule="exact"/>
      </w:pPr>
      <w:r>
        <w:t>b)</w:t>
      </w:r>
      <w:r>
        <w:tab/>
        <w:t>Coordinar el Servicios Social de los estudiantes de educación media superior y superior en beneficio al sector social o público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c)</w:t>
      </w:r>
      <w:r w:rsidRPr="00163D6C">
        <w:tab/>
        <w:t>Ejercicio fiscal</w:t>
      </w:r>
      <w:r>
        <w:t xml:space="preserve"> 2016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d)</w:t>
      </w:r>
      <w:r w:rsidRPr="00163D6C">
        <w:tab/>
        <w:t>Régimen jurídico</w:t>
      </w:r>
      <w:r>
        <w:t>: Operando como organismo descentralizado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e)</w:t>
      </w:r>
      <w:r w:rsidRPr="00163D6C">
        <w:tab/>
        <w:t>Consideraciones fisc</w:t>
      </w:r>
      <w:r>
        <w:t>ales del ente: Impuesto sobre la renta e Impuesto sobre nómina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f)</w:t>
      </w:r>
      <w:r w:rsidRPr="00163D6C">
        <w:tab/>
      </w:r>
      <w:r>
        <w:t>Existe sólo una unidad administrativa.</w:t>
      </w:r>
    </w:p>
    <w:p w:rsidR="00E578DA" w:rsidRDefault="00E578DA" w:rsidP="00E578DA">
      <w:pPr>
        <w:pStyle w:val="INCISO"/>
        <w:spacing w:after="0" w:line="240" w:lineRule="exact"/>
      </w:pPr>
    </w:p>
    <w:p w:rsidR="00E578DA" w:rsidRPr="00163D6C" w:rsidRDefault="00E578DA" w:rsidP="00E578DA">
      <w:pPr>
        <w:pStyle w:val="INCISO"/>
        <w:spacing w:after="0" w:line="240" w:lineRule="exact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5.</w:t>
      </w:r>
      <w:r w:rsidRPr="00163D6C">
        <w:rPr>
          <w:b/>
          <w:szCs w:val="18"/>
          <w:lang w:val="es-MX"/>
        </w:rPr>
        <w:tab/>
        <w:t>Bases de Preparación de los Estados Financieros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sobre:</w:t>
      </w:r>
    </w:p>
    <w:p w:rsidR="00E578DA" w:rsidRPr="00163D6C" w:rsidRDefault="00E578DA" w:rsidP="00E578DA">
      <w:pPr>
        <w:pStyle w:val="INCISO"/>
        <w:spacing w:after="0" w:line="240" w:lineRule="exact"/>
      </w:pPr>
      <w:r>
        <w:t>a)</w:t>
      </w:r>
      <w:r>
        <w:tab/>
        <w:t>S</w:t>
      </w:r>
      <w:r w:rsidRPr="00163D6C">
        <w:t>e ha observado la normatividad emitida por el CONAC y las disposiciones legales aplicables.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b)</w:t>
      </w:r>
      <w:r w:rsidRPr="00163D6C">
        <w:tab/>
      </w:r>
      <w:r>
        <w:t>Sistemas de apoyo apara elaboración de datos contables y financieros.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c)</w:t>
      </w:r>
      <w:r w:rsidRPr="00163D6C">
        <w:tab/>
        <w:t>Postulados básicos</w:t>
      </w:r>
      <w:r>
        <w:t xml:space="preserve"> tomados en cuenta para el manejo administrativo-financiero</w:t>
      </w:r>
      <w:r w:rsidRPr="00163D6C">
        <w:t>.</w:t>
      </w:r>
    </w:p>
    <w:p w:rsidR="00E578DA" w:rsidRPr="00163D6C" w:rsidRDefault="00E578DA" w:rsidP="00E578DA">
      <w:pPr>
        <w:pStyle w:val="Texto"/>
        <w:spacing w:after="0" w:line="240" w:lineRule="exact"/>
        <w:ind w:left="1440" w:hanging="360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6.</w:t>
      </w:r>
      <w:r w:rsidRPr="00163D6C">
        <w:rPr>
          <w:b/>
          <w:szCs w:val="18"/>
          <w:lang w:val="es-MX"/>
        </w:rPr>
        <w:tab/>
        <w:t>Políticas de Contabilidad Significativas</w:t>
      </w:r>
    </w:p>
    <w:p w:rsidR="00E578DA" w:rsidRDefault="00E578DA" w:rsidP="00E578DA">
      <w:pPr>
        <w:pStyle w:val="INCISO"/>
        <w:spacing w:after="0" w:line="240" w:lineRule="exact"/>
        <w:ind w:left="0" w:firstLine="0"/>
      </w:pPr>
      <w:r>
        <w:tab/>
        <w:t>Esta Coordinación no cuenta con políticas de Contabilidad Significativas.</w:t>
      </w:r>
      <w:r>
        <w:tab/>
      </w:r>
    </w:p>
    <w:p w:rsidR="00E578DA" w:rsidRPr="00163D6C" w:rsidRDefault="00E578DA" w:rsidP="00E578DA">
      <w:pPr>
        <w:pStyle w:val="INCISO"/>
        <w:spacing w:after="0" w:line="240" w:lineRule="exact"/>
        <w:ind w:left="0" w:firstLine="0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7.</w:t>
      </w:r>
      <w:r w:rsidRPr="00163D6C">
        <w:rPr>
          <w:b/>
          <w:szCs w:val="18"/>
          <w:lang w:val="es-MX"/>
        </w:rPr>
        <w:tab/>
        <w:t>Posición en Moneda Extranjera y Protección por Riesgo Cambiario</w:t>
      </w:r>
    </w:p>
    <w:p w:rsidR="00E578DA" w:rsidRPr="00163D6C" w:rsidRDefault="00E578DA" w:rsidP="00E578DA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moneda extranjera.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8. Reporte Analítico del Activo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Debe mostrar la siguiente información:</w:t>
      </w:r>
    </w:p>
    <w:p w:rsidR="00E578DA" w:rsidRDefault="00E578DA" w:rsidP="00E578DA">
      <w:pPr>
        <w:pStyle w:val="INCISO"/>
        <w:numPr>
          <w:ilvl w:val="0"/>
          <w:numId w:val="5"/>
        </w:numPr>
        <w:spacing w:after="0" w:line="240" w:lineRule="exact"/>
      </w:pPr>
      <w:r>
        <w:t>De acuerdo al catálogo o Guía de depreciación emitida por la CONAC. Demás incisos no aplican.</w:t>
      </w:r>
    </w:p>
    <w:p w:rsidR="00E578DA" w:rsidRPr="00163D6C" w:rsidRDefault="00E578DA" w:rsidP="00E578DA">
      <w:pPr>
        <w:pStyle w:val="INCISO"/>
        <w:spacing w:after="0" w:line="240" w:lineRule="exact"/>
        <w:ind w:firstLine="0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9.</w:t>
      </w:r>
      <w:r w:rsidRPr="00163D6C">
        <w:rPr>
          <w:b/>
          <w:szCs w:val="18"/>
          <w:lang w:val="es-MX"/>
        </w:rPr>
        <w:tab/>
        <w:t>Fideicomisos, Mandatos y Análogos</w:t>
      </w:r>
    </w:p>
    <w:p w:rsidR="00E578DA" w:rsidRDefault="00E578DA" w:rsidP="00E578DA">
      <w:pPr>
        <w:pStyle w:val="INCISO"/>
        <w:spacing w:after="0" w:line="240" w:lineRule="exact"/>
      </w:pPr>
      <w:r>
        <w:t>Esta Coordinación no cuenta con Fideicomisos, mandatos y análogos.</w:t>
      </w:r>
    </w:p>
    <w:p w:rsidR="00E578DA" w:rsidRPr="00163D6C" w:rsidRDefault="00E578DA" w:rsidP="00E578DA">
      <w:pPr>
        <w:pStyle w:val="INCISO"/>
        <w:spacing w:after="0" w:line="240" w:lineRule="exact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10.</w:t>
      </w:r>
      <w:r w:rsidRPr="00163D6C">
        <w:rPr>
          <w:b/>
          <w:szCs w:val="18"/>
          <w:lang w:val="es-MX"/>
        </w:rPr>
        <w:tab/>
        <w:t>Reporte de la Recaudación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a)</w:t>
      </w:r>
      <w:r w:rsidRPr="00163D6C">
        <w:tab/>
      </w:r>
      <w:r>
        <w:t>Sólo existe la ministración por participaciones del Gobierno del Estado.</w:t>
      </w:r>
    </w:p>
    <w:p w:rsidR="00E578DA" w:rsidRPr="00163D6C" w:rsidRDefault="00E578DA" w:rsidP="00E578DA">
      <w:pPr>
        <w:pStyle w:val="INCISO"/>
        <w:spacing w:after="0" w:line="240" w:lineRule="exact"/>
        <w:ind w:left="0" w:firstLine="0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11.</w:t>
      </w:r>
      <w:r w:rsidRPr="00163D6C">
        <w:rPr>
          <w:b/>
          <w:szCs w:val="18"/>
          <w:lang w:val="es-MX"/>
        </w:rPr>
        <w:tab/>
        <w:t>Información sobre la Deuda y el Reporte Analítico de la Deuda</w:t>
      </w:r>
    </w:p>
    <w:p w:rsidR="00E578DA" w:rsidRPr="00163D6C" w:rsidRDefault="00E578DA" w:rsidP="00E578DA">
      <w:pPr>
        <w:pStyle w:val="Texto"/>
        <w:spacing w:after="0" w:line="240" w:lineRule="exact"/>
        <w:rPr>
          <w:lang w:val="es-MX"/>
        </w:rPr>
      </w:pPr>
      <w:r>
        <w:rPr>
          <w:b/>
          <w:noProof/>
          <w:szCs w:val="18"/>
          <w:lang w:val="es-MX" w:eastAsia="es-MX"/>
        </w:rPr>
        <w:pict>
          <v:shape id="_x0000_s1038" type="#_x0000_t202" style="position:absolute;left:0;text-align:left;margin-left:312pt;margin-top:18.75pt;width:84.75pt;height:18pt;z-index:251665408" filled="f" stroked="f">
            <v:textbox>
              <w:txbxContent>
                <w:p w:rsidR="00E578DA" w:rsidRPr="00D00A80" w:rsidRDefault="00E578DA" w:rsidP="00E578D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12</w:t>
                  </w:r>
                </w:p>
              </w:txbxContent>
            </v:textbox>
          </v:shape>
        </w:pict>
      </w:r>
      <w:r>
        <w:rPr>
          <w:szCs w:val="18"/>
        </w:rPr>
        <w:tab/>
        <w:t>Esta Coordinación no tiene deuda alguna y por tal motivo no existe ningún reporte analítico de la deuda.</w:t>
      </w:r>
    </w:p>
    <w:p w:rsidR="00E578DA" w:rsidRPr="00163D6C" w:rsidRDefault="00E578DA" w:rsidP="00E578DA">
      <w:pPr>
        <w:pStyle w:val="INCISO"/>
        <w:spacing w:after="0" w:line="240" w:lineRule="exact"/>
        <w:rPr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12. Calificaciones otorgadas</w:t>
      </w:r>
    </w:p>
    <w:p w:rsidR="00E578DA" w:rsidRDefault="00E578DA" w:rsidP="00E578DA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cuenta con calificaciones otorgadas.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13.</w:t>
      </w:r>
      <w:r w:rsidRPr="00163D6C">
        <w:rPr>
          <w:b/>
          <w:szCs w:val="18"/>
          <w:lang w:val="es-MX"/>
        </w:rPr>
        <w:tab/>
        <w:t>Proceso de Mejora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 w:rsidRPr="00163D6C">
        <w:rPr>
          <w:szCs w:val="18"/>
        </w:rPr>
        <w:t>Se informará de:</w:t>
      </w:r>
    </w:p>
    <w:p w:rsidR="00E578DA" w:rsidRPr="00163D6C" w:rsidRDefault="00E578DA" w:rsidP="00E578DA">
      <w:pPr>
        <w:pStyle w:val="INCISO"/>
        <w:spacing w:after="0" w:line="240" w:lineRule="exact"/>
      </w:pPr>
      <w:r w:rsidRPr="00163D6C">
        <w:t>a)</w:t>
      </w:r>
      <w:r w:rsidRPr="00163D6C">
        <w:tab/>
        <w:t>Principa</w:t>
      </w:r>
      <w:r>
        <w:t>les Políticas buzón de quejas y sugerencias, revisión constantes de los procedimientos de los trámites que realiza el ente tanto administrativo como de atención al sector dirigido.</w:t>
      </w:r>
    </w:p>
    <w:p w:rsidR="00E578DA" w:rsidRPr="00163D6C" w:rsidRDefault="00E578DA" w:rsidP="00E578DA">
      <w:pPr>
        <w:pStyle w:val="INCISO"/>
        <w:spacing w:after="0" w:line="240" w:lineRule="exact"/>
      </w:pPr>
      <w:r>
        <w:t>b)</w:t>
      </w:r>
      <w:r>
        <w:tab/>
        <w:t>Presupuesto basado en resultados a través de la medición de indicadores para el logro de los objetivos y metas establecidas.</w:t>
      </w:r>
    </w:p>
    <w:p w:rsidR="00E578DA" w:rsidRPr="00163D6C" w:rsidRDefault="00E578DA" w:rsidP="00E578DA">
      <w:pPr>
        <w:pStyle w:val="INCISO"/>
        <w:spacing w:after="0" w:line="240" w:lineRule="exact"/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14.</w:t>
      </w:r>
      <w:r w:rsidRPr="00163D6C">
        <w:rPr>
          <w:b/>
          <w:szCs w:val="18"/>
          <w:lang w:val="es-MX"/>
        </w:rPr>
        <w:tab/>
        <w:t>Información por Segmentos</w:t>
      </w:r>
    </w:p>
    <w:p w:rsidR="00E578DA" w:rsidRPr="00163D6C" w:rsidRDefault="00E578DA" w:rsidP="00E578DA">
      <w:pPr>
        <w:pStyle w:val="Texto"/>
        <w:spacing w:after="0" w:line="240" w:lineRule="exact"/>
        <w:ind w:firstLine="708"/>
        <w:rPr>
          <w:szCs w:val="18"/>
          <w:lang w:val="es-MX"/>
        </w:rPr>
      </w:pPr>
      <w:r>
        <w:rPr>
          <w:szCs w:val="18"/>
          <w:lang w:val="es-MX"/>
        </w:rPr>
        <w:t>No aplica para esta Coordinación la información por segmentos.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  <w:lang w:val="es-MX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15.</w:t>
      </w:r>
      <w:r w:rsidRPr="00163D6C">
        <w:rPr>
          <w:b/>
          <w:szCs w:val="18"/>
          <w:lang w:val="es-MX"/>
        </w:rPr>
        <w:tab/>
        <w:t>Eventos Posteriores al Cierre</w:t>
      </w:r>
    </w:p>
    <w:p w:rsidR="00E578DA" w:rsidRPr="00163D6C" w:rsidRDefault="00E578DA" w:rsidP="00E578DA">
      <w:pPr>
        <w:pStyle w:val="Texto"/>
        <w:spacing w:after="0" w:line="240" w:lineRule="exact"/>
        <w:ind w:firstLine="708"/>
        <w:rPr>
          <w:szCs w:val="18"/>
        </w:rPr>
      </w:pPr>
      <w:r>
        <w:rPr>
          <w:szCs w:val="18"/>
        </w:rPr>
        <w:t>Esta Coordinación no tiene eventos posteriores al cierre.</w:t>
      </w:r>
    </w:p>
    <w:p w:rsidR="00E578DA" w:rsidRPr="00163D6C" w:rsidRDefault="00E578DA" w:rsidP="00E578DA">
      <w:pPr>
        <w:pStyle w:val="Texto"/>
        <w:spacing w:after="0" w:line="240" w:lineRule="exact"/>
        <w:ind w:firstLine="0"/>
        <w:rPr>
          <w:szCs w:val="18"/>
        </w:rPr>
      </w:pPr>
    </w:p>
    <w:p w:rsidR="00E578DA" w:rsidRPr="00163D6C" w:rsidRDefault="00E578DA" w:rsidP="00E578DA">
      <w:pPr>
        <w:pStyle w:val="Texto"/>
        <w:spacing w:after="0" w:line="240" w:lineRule="exact"/>
        <w:rPr>
          <w:b/>
          <w:szCs w:val="18"/>
          <w:lang w:val="es-MX"/>
        </w:rPr>
      </w:pPr>
      <w:r w:rsidRPr="00163D6C">
        <w:rPr>
          <w:b/>
          <w:szCs w:val="18"/>
          <w:lang w:val="es-MX"/>
        </w:rPr>
        <w:t>16.</w:t>
      </w:r>
      <w:r w:rsidRPr="00163D6C">
        <w:rPr>
          <w:b/>
          <w:szCs w:val="18"/>
          <w:lang w:val="es-MX"/>
        </w:rPr>
        <w:tab/>
        <w:t>Partes Relacionadas</w:t>
      </w:r>
    </w:p>
    <w:p w:rsidR="00E578DA" w:rsidRPr="00163D6C" w:rsidRDefault="00E578DA" w:rsidP="00E578DA">
      <w:pPr>
        <w:pStyle w:val="Texto"/>
        <w:spacing w:after="0" w:line="240" w:lineRule="exact"/>
        <w:rPr>
          <w:szCs w:val="18"/>
        </w:rPr>
      </w:pPr>
      <w:r>
        <w:rPr>
          <w:szCs w:val="18"/>
        </w:rPr>
        <w:tab/>
        <w:t>No aplican para esta Coordinación Partes Relacionadas.</w:t>
      </w:r>
    </w:p>
    <w:p w:rsidR="00E578DA" w:rsidRDefault="00E578DA" w:rsidP="00E578DA">
      <w:pPr>
        <w:tabs>
          <w:tab w:val="left" w:pos="2430"/>
        </w:tabs>
        <w:jc w:val="center"/>
      </w:pPr>
    </w:p>
    <w:p w:rsidR="00E578DA" w:rsidRDefault="00E578DA" w:rsidP="00E578DA">
      <w:pPr>
        <w:tabs>
          <w:tab w:val="left" w:pos="2430"/>
        </w:tabs>
        <w:jc w:val="center"/>
      </w:pPr>
    </w:p>
    <w:p w:rsidR="00E578DA" w:rsidRDefault="00E578DA" w:rsidP="00E578DA">
      <w:pPr>
        <w:tabs>
          <w:tab w:val="left" w:pos="2430"/>
        </w:tabs>
        <w:jc w:val="center"/>
      </w:pPr>
    </w:p>
    <w:p w:rsidR="00E578DA" w:rsidRDefault="00E578DA" w:rsidP="00E578DA">
      <w:pPr>
        <w:tabs>
          <w:tab w:val="left" w:pos="2430"/>
        </w:tabs>
        <w:jc w:val="center"/>
      </w:pPr>
      <w:r>
        <w:rPr>
          <w:noProof/>
          <w:lang w:eastAsia="es-MX"/>
        </w:rPr>
        <w:object w:dxaOrig="1440" w:dyaOrig="1440">
          <v:shape id="_x0000_s1034" type="#_x0000_t75" style="position:absolute;left:0;text-align:left;margin-left:-9.75pt;margin-top:41.4pt;width:734.2pt;height:39.5pt;z-index:251661312">
            <v:imagedata r:id="rId24" o:title=""/>
            <w10:wrap type="topAndBottom"/>
          </v:shape>
          <o:OLEObject Type="Embed" ProgID="Excel.Sheet.12" ShapeID="_x0000_s1034" DrawAspect="Content" ObjectID="_1561300972" r:id="rId25"/>
        </w:object>
      </w:r>
    </w:p>
    <w:p w:rsidR="00E578DA" w:rsidRDefault="00E578DA" w:rsidP="00E578DA">
      <w:pPr>
        <w:tabs>
          <w:tab w:val="left" w:pos="2430"/>
        </w:tabs>
        <w:jc w:val="center"/>
      </w:pPr>
    </w:p>
    <w:p w:rsidR="00E578DA" w:rsidRDefault="00E578DA" w:rsidP="00E578DA">
      <w:pPr>
        <w:tabs>
          <w:tab w:val="left" w:pos="2430"/>
        </w:tabs>
      </w:pPr>
      <w:r>
        <w:rPr>
          <w:noProof/>
          <w:lang w:eastAsia="es-MX"/>
        </w:rPr>
        <w:pict>
          <v:shape id="_x0000_s1039" type="#_x0000_t202" style="position:absolute;margin-left:299.25pt;margin-top:61.1pt;width:84.75pt;height:18pt;z-index:251666432" filled="f" stroked="f">
            <v:textbox>
              <w:txbxContent>
                <w:p w:rsidR="00E578DA" w:rsidRPr="00D00A80" w:rsidRDefault="00E578DA" w:rsidP="00E578DA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Contable / 13</w:t>
                  </w:r>
                </w:p>
              </w:txbxContent>
            </v:textbox>
          </v:shape>
        </w:pict>
      </w:r>
    </w:p>
    <w:p w:rsidR="00E578DA" w:rsidRPr="00540418" w:rsidRDefault="00E578DA" w:rsidP="00B366C2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GoBack"/>
      <w:bookmarkEnd w:id="7"/>
    </w:p>
    <w:sectPr w:rsidR="00E578DA" w:rsidRPr="00540418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DBB" w:rsidRDefault="00B02DBB" w:rsidP="00EA5418">
      <w:pPr>
        <w:spacing w:after="0" w:line="240" w:lineRule="auto"/>
      </w:pPr>
      <w:r>
        <w:separator/>
      </w:r>
    </w:p>
  </w:endnote>
  <w:endnote w:type="continuationSeparator" w:id="0">
    <w:p w:rsidR="00B02DBB" w:rsidRDefault="00B02D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B02DB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11B36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11B36" w:rsidRPr="0013011C">
          <w:rPr>
            <w:rFonts w:ascii="Soberana Sans Light" w:hAnsi="Soberana Sans Light"/>
          </w:rPr>
          <w:fldChar w:fldCharType="separate"/>
        </w:r>
        <w:r w:rsidR="00E578DA" w:rsidRPr="00E578DA">
          <w:rPr>
            <w:rFonts w:ascii="Soberana Sans Light" w:hAnsi="Soberana Sans Light"/>
            <w:noProof/>
            <w:lang w:val="es-ES"/>
          </w:rPr>
          <w:t>12</w:t>
        </w:r>
        <w:r w:rsidR="00711B36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B02DB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711B36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11B36" w:rsidRPr="008E3652">
          <w:rPr>
            <w:rFonts w:ascii="Soberana Sans Light" w:hAnsi="Soberana Sans Light"/>
          </w:rPr>
          <w:fldChar w:fldCharType="separate"/>
        </w:r>
        <w:r w:rsidR="00E578DA" w:rsidRPr="00E578DA">
          <w:rPr>
            <w:rFonts w:ascii="Soberana Sans Light" w:hAnsi="Soberana Sans Light"/>
            <w:noProof/>
            <w:lang w:val="es-ES"/>
          </w:rPr>
          <w:t>11</w:t>
        </w:r>
        <w:r w:rsidR="00711B3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DBB" w:rsidRDefault="00B02DBB" w:rsidP="00EA5418">
      <w:pPr>
        <w:spacing w:after="0" w:line="240" w:lineRule="auto"/>
      </w:pPr>
      <w:r>
        <w:separator/>
      </w:r>
    </w:p>
  </w:footnote>
  <w:footnote w:type="continuationSeparator" w:id="0">
    <w:p w:rsidR="00B02DBB" w:rsidRDefault="00B02D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B02DBB">
    <w:pPr>
      <w:pStyle w:val="Encabezado"/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57" type="#_x0000_t202" style="position:absolute;margin-left:206.2pt;margin-top:-21.3pt;width:198.85pt;height:38.65pt;z-index:251676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<v:textbox>
            <w:txbxContent>
              <w:p w:rsidR="00040466" w:rsidRDefault="00540418" w:rsidP="00040466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:rsidR="00040466" w:rsidRDefault="00C16E53" w:rsidP="005404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ENTIDAD FEDERATIVA DE </w:t>
                </w:r>
                <w:r w:rsidR="00C431B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TLAXCALA</w:t>
                </w:r>
              </w:p>
              <w:p w:rsidR="00040466" w:rsidRPr="00275FC6" w:rsidRDefault="00040466" w:rsidP="00040466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es-MX"/>
      </w:rPr>
      <w:pict>
        <v:group id="9 Grupo" o:spid="_x0000_s2054" style="position:absolute;margin-left:405.15pt;margin-top:-21.85pt;width:75.8pt;height:33.95pt;z-index:251677696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<v:imagedata r:id="rId1" o:title="" croptop="4055f" cropbottom="57131f" cropleft="36353f" cropright="28433f"/>
            <v:path arrowok="t"/>
          </v:shape>
          <v:shape 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<v:textbox>
              <w:txbxContent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932B84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834D70" w:rsidRDefault="00834D70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  <w:p w:rsidR="0004046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040466" w:rsidRPr="00275FC6" w:rsidRDefault="00040466" w:rsidP="00040466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 w:rsidR="00484139" w:rsidRPr="00484139">
      <w:rPr>
        <w:noProof/>
        <w:lang w:eastAsia="es-MX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602273</wp:posOffset>
          </wp:positionH>
          <wp:positionV relativeFrom="paragraph">
            <wp:posOffset>-121334</wp:posOffset>
          </wp:positionV>
          <wp:extent cx="2038350" cy="439616"/>
          <wp:effectExtent l="19050" t="0" r="0" b="0"/>
          <wp:wrapNone/>
          <wp:docPr id="7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43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6C0F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6402265</wp:posOffset>
          </wp:positionH>
          <wp:positionV relativeFrom="paragraph">
            <wp:posOffset>-124266</wp:posOffset>
          </wp:positionV>
          <wp:extent cx="2108689" cy="422031"/>
          <wp:effectExtent l="19050" t="0" r="5861" b="0"/>
          <wp:wrapNone/>
          <wp:docPr id="5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08689" cy="422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position-horizontal-relative:text;mso-position-vertical-relative:text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484139" w:rsidP="0013011C">
    <w:pPr>
      <w:pStyle w:val="Encabezado"/>
      <w:jc w:val="center"/>
      <w:rPr>
        <w:rFonts w:ascii="Soberana Sans Light" w:hAnsi="Soberana Sans Light"/>
      </w:rPr>
    </w:pPr>
    <w:r w:rsidRPr="00484139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449872</wp:posOffset>
          </wp:positionH>
          <wp:positionV relativeFrom="paragraph">
            <wp:posOffset>-273318</wp:posOffset>
          </wp:positionV>
          <wp:extent cx="2038350" cy="439615"/>
          <wp:effectExtent l="19050" t="0" r="0" b="0"/>
          <wp:wrapNone/>
          <wp:docPr id="2" name="Imagen 1" descr="COSSI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13 Imagen" descr="COSSIES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38350" cy="43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779F">
      <w:rPr>
        <w:rFonts w:ascii="Soberana Sans Light" w:hAnsi="Soberana Sans Light"/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5966113</wp:posOffset>
          </wp:positionH>
          <wp:positionV relativeFrom="paragraph">
            <wp:posOffset>-273734</wp:posOffset>
          </wp:positionV>
          <wp:extent cx="2095451" cy="439616"/>
          <wp:effectExtent l="19050" t="0" r="49" b="0"/>
          <wp:wrapNone/>
          <wp:docPr id="1" name="Imagen 1" descr="SP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451" cy="439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DBB"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position-horizontal-relative:text;mso-position-vertical-relative:text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FD5A63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E966B2"/>
    <w:multiLevelType w:val="hybridMultilevel"/>
    <w:tmpl w:val="8018AD2C"/>
    <w:lvl w:ilvl="0" w:tplc="B4B05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1107"/>
    <w:rsid w:val="00005CC7"/>
    <w:rsid w:val="00025942"/>
    <w:rsid w:val="00040466"/>
    <w:rsid w:val="00045A10"/>
    <w:rsid w:val="00060472"/>
    <w:rsid w:val="0006714D"/>
    <w:rsid w:val="000874AD"/>
    <w:rsid w:val="0009368A"/>
    <w:rsid w:val="000A018D"/>
    <w:rsid w:val="000A1BA6"/>
    <w:rsid w:val="000E4592"/>
    <w:rsid w:val="000E6F4F"/>
    <w:rsid w:val="000F1163"/>
    <w:rsid w:val="001100A0"/>
    <w:rsid w:val="0013011C"/>
    <w:rsid w:val="00134B5D"/>
    <w:rsid w:val="001467A9"/>
    <w:rsid w:val="001521A7"/>
    <w:rsid w:val="00153493"/>
    <w:rsid w:val="00154B1B"/>
    <w:rsid w:val="0016086F"/>
    <w:rsid w:val="00160A30"/>
    <w:rsid w:val="00165BB4"/>
    <w:rsid w:val="00170298"/>
    <w:rsid w:val="001B1B72"/>
    <w:rsid w:val="001B7EB4"/>
    <w:rsid w:val="001B7FDD"/>
    <w:rsid w:val="001C2D52"/>
    <w:rsid w:val="001C6FD8"/>
    <w:rsid w:val="001E1CD5"/>
    <w:rsid w:val="001E3136"/>
    <w:rsid w:val="001E7072"/>
    <w:rsid w:val="001F5BAD"/>
    <w:rsid w:val="00204C86"/>
    <w:rsid w:val="00216432"/>
    <w:rsid w:val="00241EEC"/>
    <w:rsid w:val="00254C4C"/>
    <w:rsid w:val="00255D81"/>
    <w:rsid w:val="00264426"/>
    <w:rsid w:val="00277060"/>
    <w:rsid w:val="0028078C"/>
    <w:rsid w:val="002845FF"/>
    <w:rsid w:val="002951F7"/>
    <w:rsid w:val="002A1355"/>
    <w:rsid w:val="002A16F3"/>
    <w:rsid w:val="002A70B3"/>
    <w:rsid w:val="002B611A"/>
    <w:rsid w:val="002C14A3"/>
    <w:rsid w:val="002D5CB6"/>
    <w:rsid w:val="002F5CFA"/>
    <w:rsid w:val="00304D03"/>
    <w:rsid w:val="00307490"/>
    <w:rsid w:val="00314897"/>
    <w:rsid w:val="00320D5F"/>
    <w:rsid w:val="003260AC"/>
    <w:rsid w:val="00357C71"/>
    <w:rsid w:val="00372F40"/>
    <w:rsid w:val="00396C2B"/>
    <w:rsid w:val="003A0303"/>
    <w:rsid w:val="003A1CCC"/>
    <w:rsid w:val="003A6DE7"/>
    <w:rsid w:val="003C1EDF"/>
    <w:rsid w:val="003D5DBF"/>
    <w:rsid w:val="003E7FD0"/>
    <w:rsid w:val="003F0EA4"/>
    <w:rsid w:val="003F3B7A"/>
    <w:rsid w:val="003F49D5"/>
    <w:rsid w:val="0040282D"/>
    <w:rsid w:val="004061E9"/>
    <w:rsid w:val="0040649A"/>
    <w:rsid w:val="00415C87"/>
    <w:rsid w:val="004311BE"/>
    <w:rsid w:val="004353AE"/>
    <w:rsid w:val="0044253C"/>
    <w:rsid w:val="004435EE"/>
    <w:rsid w:val="004714CF"/>
    <w:rsid w:val="00484139"/>
    <w:rsid w:val="00484C0D"/>
    <w:rsid w:val="00485E02"/>
    <w:rsid w:val="00497D8B"/>
    <w:rsid w:val="004A031D"/>
    <w:rsid w:val="004B01C9"/>
    <w:rsid w:val="004D41B8"/>
    <w:rsid w:val="004E30C1"/>
    <w:rsid w:val="004E3497"/>
    <w:rsid w:val="004E52B4"/>
    <w:rsid w:val="004F5641"/>
    <w:rsid w:val="00502F1B"/>
    <w:rsid w:val="00503685"/>
    <w:rsid w:val="0051571E"/>
    <w:rsid w:val="00522632"/>
    <w:rsid w:val="00522EF3"/>
    <w:rsid w:val="00531263"/>
    <w:rsid w:val="0053250B"/>
    <w:rsid w:val="00533660"/>
    <w:rsid w:val="00535D25"/>
    <w:rsid w:val="0053709D"/>
    <w:rsid w:val="0053779F"/>
    <w:rsid w:val="00540418"/>
    <w:rsid w:val="00542485"/>
    <w:rsid w:val="005541B0"/>
    <w:rsid w:val="00574266"/>
    <w:rsid w:val="0058005D"/>
    <w:rsid w:val="00593337"/>
    <w:rsid w:val="005B0BE6"/>
    <w:rsid w:val="005D3D25"/>
    <w:rsid w:val="005D65A3"/>
    <w:rsid w:val="005E4F5B"/>
    <w:rsid w:val="005F0E9B"/>
    <w:rsid w:val="005F5397"/>
    <w:rsid w:val="00615B54"/>
    <w:rsid w:val="00657CC9"/>
    <w:rsid w:val="006623FD"/>
    <w:rsid w:val="006703AC"/>
    <w:rsid w:val="00676F3C"/>
    <w:rsid w:val="00684B0C"/>
    <w:rsid w:val="006B1FE7"/>
    <w:rsid w:val="006B777A"/>
    <w:rsid w:val="006E3142"/>
    <w:rsid w:val="006E77DD"/>
    <w:rsid w:val="006F5F7A"/>
    <w:rsid w:val="0070066F"/>
    <w:rsid w:val="0070708B"/>
    <w:rsid w:val="00711B36"/>
    <w:rsid w:val="0071445F"/>
    <w:rsid w:val="007319E8"/>
    <w:rsid w:val="007327C6"/>
    <w:rsid w:val="007578DD"/>
    <w:rsid w:val="00760E2A"/>
    <w:rsid w:val="0076398E"/>
    <w:rsid w:val="0077187F"/>
    <w:rsid w:val="007767A8"/>
    <w:rsid w:val="0079582C"/>
    <w:rsid w:val="007D080B"/>
    <w:rsid w:val="007D6E9A"/>
    <w:rsid w:val="00801E39"/>
    <w:rsid w:val="00811DAC"/>
    <w:rsid w:val="008320C2"/>
    <w:rsid w:val="00834D70"/>
    <w:rsid w:val="00841CE9"/>
    <w:rsid w:val="008650BC"/>
    <w:rsid w:val="00872D83"/>
    <w:rsid w:val="00874D43"/>
    <w:rsid w:val="0089054E"/>
    <w:rsid w:val="008A6E4D"/>
    <w:rsid w:val="008A6E8E"/>
    <w:rsid w:val="008A793D"/>
    <w:rsid w:val="008B0017"/>
    <w:rsid w:val="008B5472"/>
    <w:rsid w:val="008C02BE"/>
    <w:rsid w:val="008E3652"/>
    <w:rsid w:val="008F292D"/>
    <w:rsid w:val="008F6D58"/>
    <w:rsid w:val="00901717"/>
    <w:rsid w:val="0090512A"/>
    <w:rsid w:val="00907426"/>
    <w:rsid w:val="00932B84"/>
    <w:rsid w:val="0093492C"/>
    <w:rsid w:val="00944E85"/>
    <w:rsid w:val="00954DB3"/>
    <w:rsid w:val="00957043"/>
    <w:rsid w:val="00980941"/>
    <w:rsid w:val="0098629F"/>
    <w:rsid w:val="00986CF1"/>
    <w:rsid w:val="009B5247"/>
    <w:rsid w:val="009B7197"/>
    <w:rsid w:val="009B726D"/>
    <w:rsid w:val="009C4931"/>
    <w:rsid w:val="009D5D4C"/>
    <w:rsid w:val="009E6AFE"/>
    <w:rsid w:val="009F23C4"/>
    <w:rsid w:val="00A078D3"/>
    <w:rsid w:val="00A12455"/>
    <w:rsid w:val="00A16366"/>
    <w:rsid w:val="00A363B6"/>
    <w:rsid w:val="00A4584E"/>
    <w:rsid w:val="00A45CD8"/>
    <w:rsid w:val="00A46BF5"/>
    <w:rsid w:val="00A60B9D"/>
    <w:rsid w:val="00A66C0F"/>
    <w:rsid w:val="00A70585"/>
    <w:rsid w:val="00A75780"/>
    <w:rsid w:val="00A96991"/>
    <w:rsid w:val="00AA1863"/>
    <w:rsid w:val="00AA7D57"/>
    <w:rsid w:val="00AC334C"/>
    <w:rsid w:val="00AD661D"/>
    <w:rsid w:val="00AD7EF6"/>
    <w:rsid w:val="00B02DBB"/>
    <w:rsid w:val="00B06FDA"/>
    <w:rsid w:val="00B146E2"/>
    <w:rsid w:val="00B14F04"/>
    <w:rsid w:val="00B366C2"/>
    <w:rsid w:val="00B4143D"/>
    <w:rsid w:val="00B543BC"/>
    <w:rsid w:val="00B627EE"/>
    <w:rsid w:val="00B849EE"/>
    <w:rsid w:val="00B84D02"/>
    <w:rsid w:val="00B870CD"/>
    <w:rsid w:val="00B915CB"/>
    <w:rsid w:val="00B9476F"/>
    <w:rsid w:val="00BA2940"/>
    <w:rsid w:val="00BA6A03"/>
    <w:rsid w:val="00BB5E59"/>
    <w:rsid w:val="00BC332A"/>
    <w:rsid w:val="00C129ED"/>
    <w:rsid w:val="00C15278"/>
    <w:rsid w:val="00C16E53"/>
    <w:rsid w:val="00C1787A"/>
    <w:rsid w:val="00C2574C"/>
    <w:rsid w:val="00C431B4"/>
    <w:rsid w:val="00C43733"/>
    <w:rsid w:val="00C6181F"/>
    <w:rsid w:val="00C6235D"/>
    <w:rsid w:val="00C62ADC"/>
    <w:rsid w:val="00C657AF"/>
    <w:rsid w:val="00C86791"/>
    <w:rsid w:val="00C86C59"/>
    <w:rsid w:val="00C91C5A"/>
    <w:rsid w:val="00C9465E"/>
    <w:rsid w:val="00C961F4"/>
    <w:rsid w:val="00CB41AE"/>
    <w:rsid w:val="00CB5B8A"/>
    <w:rsid w:val="00CD6D9A"/>
    <w:rsid w:val="00CE1FF4"/>
    <w:rsid w:val="00CE6A55"/>
    <w:rsid w:val="00CE6AAF"/>
    <w:rsid w:val="00CF5B47"/>
    <w:rsid w:val="00D00E92"/>
    <w:rsid w:val="00D055EC"/>
    <w:rsid w:val="00D13C31"/>
    <w:rsid w:val="00D2122D"/>
    <w:rsid w:val="00D2434D"/>
    <w:rsid w:val="00D37646"/>
    <w:rsid w:val="00D44728"/>
    <w:rsid w:val="00D448C0"/>
    <w:rsid w:val="00D50484"/>
    <w:rsid w:val="00D562FF"/>
    <w:rsid w:val="00D64364"/>
    <w:rsid w:val="00D663E3"/>
    <w:rsid w:val="00D71F69"/>
    <w:rsid w:val="00D742AB"/>
    <w:rsid w:val="00D9005F"/>
    <w:rsid w:val="00DA5097"/>
    <w:rsid w:val="00DD509C"/>
    <w:rsid w:val="00DD7476"/>
    <w:rsid w:val="00DF4A64"/>
    <w:rsid w:val="00DF50B7"/>
    <w:rsid w:val="00DF56C9"/>
    <w:rsid w:val="00E03E05"/>
    <w:rsid w:val="00E2651F"/>
    <w:rsid w:val="00E27969"/>
    <w:rsid w:val="00E30318"/>
    <w:rsid w:val="00E31241"/>
    <w:rsid w:val="00E32708"/>
    <w:rsid w:val="00E578DA"/>
    <w:rsid w:val="00EA5418"/>
    <w:rsid w:val="00EB4829"/>
    <w:rsid w:val="00EC4C84"/>
    <w:rsid w:val="00EC75F0"/>
    <w:rsid w:val="00ED7243"/>
    <w:rsid w:val="00EE46FB"/>
    <w:rsid w:val="00EF5AD8"/>
    <w:rsid w:val="00F14A87"/>
    <w:rsid w:val="00F15C7F"/>
    <w:rsid w:val="00F17C0D"/>
    <w:rsid w:val="00F33682"/>
    <w:rsid w:val="00F362A6"/>
    <w:rsid w:val="00F4386F"/>
    <w:rsid w:val="00F4471C"/>
    <w:rsid w:val="00F509F6"/>
    <w:rsid w:val="00F755D0"/>
    <w:rsid w:val="00F80E7F"/>
    <w:rsid w:val="00F82A0B"/>
    <w:rsid w:val="00FB1010"/>
    <w:rsid w:val="00FB6B37"/>
    <w:rsid w:val="00FC68B7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4990DFAE-0554-426E-BB27-BC52D0C41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C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046DC-4C1C-401E-A8E5-C4D1A71C8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13</Pages>
  <Words>1127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User4</cp:lastModifiedBy>
  <cp:revision>97</cp:revision>
  <cp:lastPrinted>2017-04-10T16:31:00Z</cp:lastPrinted>
  <dcterms:created xsi:type="dcterms:W3CDTF">2014-12-16T15:37:00Z</dcterms:created>
  <dcterms:modified xsi:type="dcterms:W3CDTF">2017-07-11T22:56:00Z</dcterms:modified>
</cp:coreProperties>
</file>