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20B" w:rsidRPr="001658EE" w:rsidRDefault="00A2120B" w:rsidP="00A2120B">
      <w:pPr>
        <w:jc w:val="center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>INTRODUCCIÓN</w:t>
      </w: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En cumplimiento a lo establecido en los artículos 7, 44, 45, 46,47, 49, 52, 53 Y 54 de la Ley de Contabilidad Gubernamental y  al acuerdo por el que se armoniza la estructura de las cuentas públicas, publicado en el Diario Oficial de la Federación de fecha 30 de diciembre de 2013 y reformado el 06 de Octubre de 2014, en razón de lo anterior la Comisión Estatal de Derechos Humanos del Estado de Tlaxcala expone la Cuenta Pública Anual del ejercicio 201</w:t>
      </w:r>
      <w:r w:rsidR="0015111D">
        <w:rPr>
          <w:rFonts w:ascii="Arial" w:hAnsi="Arial" w:cs="Arial"/>
          <w:sz w:val="18"/>
          <w:szCs w:val="18"/>
        </w:rPr>
        <w:t>7</w:t>
      </w:r>
      <w:r w:rsidRPr="001658EE">
        <w:rPr>
          <w:rFonts w:ascii="Arial" w:hAnsi="Arial" w:cs="Arial"/>
          <w:sz w:val="18"/>
          <w:szCs w:val="18"/>
        </w:rPr>
        <w:t xml:space="preserve"> con la siguiente estructura:  </w:t>
      </w: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pStyle w:val="Prrafodelista"/>
        <w:numPr>
          <w:ilvl w:val="0"/>
          <w:numId w:val="11"/>
        </w:numPr>
        <w:spacing w:after="0"/>
        <w:ind w:left="709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 xml:space="preserve">INTRODUCCIÓN </w:t>
      </w:r>
    </w:p>
    <w:p w:rsidR="00A2120B" w:rsidRPr="001658EE" w:rsidRDefault="00A2120B" w:rsidP="00A2120B">
      <w:pPr>
        <w:pStyle w:val="Prrafodelista"/>
        <w:spacing w:after="0"/>
        <w:ind w:left="1080"/>
        <w:jc w:val="both"/>
        <w:rPr>
          <w:rFonts w:ascii="Arial" w:hAnsi="Arial" w:cs="Arial"/>
          <w:b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 xml:space="preserve">II. INFORMACIÓN CONTABLE </w:t>
      </w:r>
    </w:p>
    <w:p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Estado de actividades </w:t>
      </w:r>
    </w:p>
    <w:p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de situación financiera</w:t>
      </w:r>
    </w:p>
    <w:p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de cambios en la situación financiera</w:t>
      </w:r>
    </w:p>
    <w:p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activo</w:t>
      </w:r>
    </w:p>
    <w:p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 la deuda y otros pasivos</w:t>
      </w:r>
    </w:p>
    <w:p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de variación de la hacienda publica</w:t>
      </w:r>
    </w:p>
    <w:p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flujos de efectivo</w:t>
      </w:r>
    </w:p>
    <w:p w:rsidR="00A2120B" w:rsidRPr="001658EE" w:rsidRDefault="00A2120B" w:rsidP="00A2120B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Informe de pasivos contingentes</w:t>
      </w:r>
    </w:p>
    <w:p w:rsidR="00A2120B" w:rsidRPr="001658EE" w:rsidRDefault="00A2120B" w:rsidP="00A2120B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Notas a los estados financieros </w:t>
      </w:r>
    </w:p>
    <w:p w:rsidR="00A2120B" w:rsidRPr="001658EE" w:rsidRDefault="00A2120B" w:rsidP="00A2120B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Notas de desglose </w:t>
      </w:r>
    </w:p>
    <w:p w:rsidR="00A2120B" w:rsidRPr="001658EE" w:rsidRDefault="00A2120B" w:rsidP="00A2120B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Notas de memoria (cuentas de orden)</w:t>
      </w:r>
    </w:p>
    <w:p w:rsidR="00A2120B" w:rsidRPr="001658EE" w:rsidRDefault="00A2120B" w:rsidP="00A2120B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Notas de gestión administrativa </w:t>
      </w: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>III. INFORMACIÓN PRESUPUESTARIA</w:t>
      </w:r>
    </w:p>
    <w:p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 ingresos (por rubro y por fuete de financiamiento)</w:t>
      </w:r>
    </w:p>
    <w:p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Estado analítico del ejercicio del presupuesto de Egresos Clasificación Administrativa </w:t>
      </w:r>
    </w:p>
    <w:p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ejercicio del presupuesto de Egresos Clasificación por Objeto de Gasto (capitulo y concepto)</w:t>
      </w:r>
    </w:p>
    <w:p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ejercicio del presupuesto de Egresos Clasificación Económica (por Tipo de Gasto)</w:t>
      </w:r>
    </w:p>
    <w:p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ejercicio del presupuesto de Egresos Clasificación Funcional (Finalidad y Función)</w:t>
      </w:r>
    </w:p>
    <w:p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Endeudamiento neto </w:t>
      </w:r>
    </w:p>
    <w:p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Interés de la deuda </w:t>
      </w:r>
    </w:p>
    <w:p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Indicadores de postura fiscal</w:t>
      </w: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pStyle w:val="Prrafodelista"/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lastRenderedPageBreak/>
        <w:t xml:space="preserve">IV INFORMACIÓN PROGRAMÁTICA </w:t>
      </w:r>
    </w:p>
    <w:p w:rsidR="00A2120B" w:rsidRPr="001658EE" w:rsidRDefault="00A2120B" w:rsidP="00A2120B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Gasto por Categoría Programática </w:t>
      </w:r>
    </w:p>
    <w:p w:rsidR="00A2120B" w:rsidRPr="001658EE" w:rsidRDefault="00A2120B" w:rsidP="00A2120B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Indicadores de Resultados </w:t>
      </w: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 xml:space="preserve">V. ANEXOS </w:t>
      </w:r>
    </w:p>
    <w:p w:rsidR="00A2120B" w:rsidRPr="001658EE" w:rsidRDefault="00A2120B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Relación de Bienes Muebles que Componen el Patrimonio</w:t>
      </w:r>
    </w:p>
    <w:p w:rsidR="00A2120B" w:rsidRPr="001658EE" w:rsidRDefault="00A2120B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Relación de Bienes Inmuebles que Componen el Patrimonio </w:t>
      </w:r>
    </w:p>
    <w:p w:rsidR="00A2120B" w:rsidRPr="001658EE" w:rsidRDefault="00A2120B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Relación de Cuentas Bancarias Productivas Especificas</w:t>
      </w:r>
    </w:p>
    <w:p w:rsidR="00A2120B" w:rsidRDefault="00A2120B" w:rsidP="00A2120B">
      <w:pPr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 Comisión Estatal de Derechos Humanos es un organismo autónomo, con personalidad jurídica y patrimonio propio; su objetivo es la protección, observancia, promoción, estudio y divulgación de los derechos humanos, de conformidad con los principios de universalidad, interdependencia, invisibilidad y progresividad. La Comisión Estatal de Derechos Humanos conocerá de quejas por actos u omisiones de naturaleza administrativa, provenientes de cualquier servidor público estatal o municipal en ejercicio de sus funciones que presuntamente viole estos derechos. Y si de la investigación de la queja aparece la responsabilidad del servidor público, formulara recomendación y no vinculatoria. Asimismo podrá hacer denuncias y quejas de hechos vinculatorios de los derechos humanos ante las autoridades respectivas.  </w:t>
      </w:r>
    </w:p>
    <w:p w:rsidR="00A2120B" w:rsidRPr="001658EE" w:rsidRDefault="00A2120B" w:rsidP="00A2120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Dentro de los resultados obtenidos del 01 de Enero al </w:t>
      </w:r>
      <w:r w:rsidR="007A6D2D">
        <w:rPr>
          <w:rFonts w:ascii="Arial" w:hAnsi="Arial" w:cs="Arial"/>
          <w:sz w:val="18"/>
          <w:szCs w:val="18"/>
        </w:rPr>
        <w:t>30</w:t>
      </w:r>
      <w:r>
        <w:rPr>
          <w:rFonts w:ascii="Arial" w:hAnsi="Arial" w:cs="Arial"/>
          <w:sz w:val="18"/>
          <w:szCs w:val="18"/>
        </w:rPr>
        <w:t xml:space="preserve"> de </w:t>
      </w:r>
      <w:r w:rsidR="007A6D2D">
        <w:rPr>
          <w:rFonts w:ascii="Arial" w:hAnsi="Arial" w:cs="Arial"/>
          <w:sz w:val="18"/>
          <w:szCs w:val="18"/>
        </w:rPr>
        <w:t>Junio</w:t>
      </w:r>
      <w:r>
        <w:rPr>
          <w:rFonts w:ascii="Arial" w:hAnsi="Arial" w:cs="Arial"/>
          <w:sz w:val="18"/>
          <w:szCs w:val="18"/>
        </w:rPr>
        <w:t xml:space="preserve"> de 201</w:t>
      </w:r>
      <w:r w:rsidR="0015111D"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 xml:space="preserve"> podemos destacar que se ejerció </w:t>
      </w:r>
      <w:r w:rsidRPr="00EA0E77">
        <w:rPr>
          <w:rFonts w:ascii="Arial" w:hAnsi="Arial" w:cs="Arial"/>
          <w:sz w:val="18"/>
          <w:szCs w:val="18"/>
        </w:rPr>
        <w:t xml:space="preserve">el </w:t>
      </w:r>
      <w:bookmarkStart w:id="0" w:name="_GoBack"/>
      <w:bookmarkEnd w:id="0"/>
      <w:r w:rsidR="00EA0E77">
        <w:rPr>
          <w:rFonts w:ascii="Arial" w:hAnsi="Arial" w:cs="Arial"/>
          <w:sz w:val="18"/>
          <w:szCs w:val="18"/>
        </w:rPr>
        <w:t>88.84</w:t>
      </w:r>
      <w:r w:rsidRPr="00EA0E77">
        <w:rPr>
          <w:rFonts w:ascii="Arial" w:hAnsi="Arial" w:cs="Arial"/>
          <w:sz w:val="18"/>
          <w:szCs w:val="18"/>
        </w:rPr>
        <w:t>% del total</w:t>
      </w:r>
      <w:r>
        <w:rPr>
          <w:rFonts w:ascii="Arial" w:hAnsi="Arial" w:cs="Arial"/>
          <w:sz w:val="18"/>
          <w:szCs w:val="18"/>
        </w:rPr>
        <w:t xml:space="preserve"> de ingresos recaudados, el gasto más representativo es en el rubro de servicios personales, gasto razonable en función a las actividades que desempeña la C</w:t>
      </w:r>
      <w:r w:rsidR="007A6D2D">
        <w:rPr>
          <w:rFonts w:ascii="Arial" w:hAnsi="Arial" w:cs="Arial"/>
          <w:sz w:val="18"/>
          <w:szCs w:val="18"/>
        </w:rPr>
        <w:t>EDHT.</w:t>
      </w:r>
      <w:r>
        <w:rPr>
          <w:rFonts w:ascii="Arial" w:hAnsi="Arial" w:cs="Arial"/>
          <w:sz w:val="18"/>
          <w:szCs w:val="18"/>
        </w:rPr>
        <w:t xml:space="preserve"> </w:t>
      </w:r>
      <w:r w:rsidR="007A6D2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Se cumplió en cada una de las metas del Programa Operativo </w:t>
      </w:r>
      <w:r w:rsidRPr="00AC7EB3">
        <w:rPr>
          <w:rFonts w:ascii="Arial" w:hAnsi="Arial" w:cs="Arial"/>
          <w:sz w:val="18"/>
          <w:szCs w:val="18"/>
        </w:rPr>
        <w:t>Anual  lo programado.</w:t>
      </w:r>
      <w:r>
        <w:rPr>
          <w:rFonts w:ascii="Arial" w:hAnsi="Arial" w:cs="Arial"/>
          <w:sz w:val="18"/>
          <w:szCs w:val="18"/>
        </w:rPr>
        <w:t xml:space="preserve"> Las adquisiciones de este ejercicio ascienden a un </w:t>
      </w:r>
      <w:r w:rsidRPr="00AC7EB3">
        <w:rPr>
          <w:rFonts w:ascii="Arial" w:hAnsi="Arial" w:cs="Arial"/>
          <w:sz w:val="18"/>
          <w:szCs w:val="18"/>
        </w:rPr>
        <w:t>total de $</w:t>
      </w:r>
      <w:r w:rsidR="003213E4" w:rsidRPr="00AC7EB3">
        <w:rPr>
          <w:rFonts w:ascii="Arial" w:hAnsi="Arial" w:cs="Arial"/>
          <w:sz w:val="18"/>
          <w:szCs w:val="18"/>
        </w:rPr>
        <w:t xml:space="preserve"> </w:t>
      </w:r>
      <w:r w:rsidR="00BE58D2" w:rsidRPr="00AC7EB3">
        <w:rPr>
          <w:rFonts w:ascii="Arial" w:hAnsi="Arial" w:cs="Arial"/>
          <w:sz w:val="18"/>
          <w:szCs w:val="18"/>
        </w:rPr>
        <w:t>427</w:t>
      </w:r>
      <w:r w:rsidR="00EB1564" w:rsidRPr="00AC7EB3">
        <w:rPr>
          <w:rFonts w:ascii="Arial" w:hAnsi="Arial" w:cs="Arial"/>
          <w:sz w:val="18"/>
          <w:szCs w:val="18"/>
        </w:rPr>
        <w:t>,</w:t>
      </w:r>
      <w:r w:rsidR="00BE58D2" w:rsidRPr="00AC7EB3">
        <w:rPr>
          <w:rFonts w:ascii="Arial" w:hAnsi="Arial" w:cs="Arial"/>
          <w:sz w:val="18"/>
          <w:szCs w:val="18"/>
        </w:rPr>
        <w:t>063</w:t>
      </w:r>
      <w:r w:rsidRPr="00AC7EB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</w:p>
    <w:p w:rsidR="00A2120B" w:rsidRPr="001658EE" w:rsidRDefault="00A2120B" w:rsidP="00A2120B">
      <w:pPr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La Cuenta Pública </w:t>
      </w:r>
      <w:r w:rsidR="003213E4">
        <w:rPr>
          <w:rFonts w:ascii="Arial" w:hAnsi="Arial" w:cs="Arial"/>
          <w:sz w:val="18"/>
          <w:szCs w:val="18"/>
        </w:rPr>
        <w:t>del ejercicio 201</w:t>
      </w:r>
      <w:r w:rsidR="00EB1564"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 xml:space="preserve"> </w:t>
      </w:r>
      <w:r w:rsidRPr="001658EE">
        <w:rPr>
          <w:rFonts w:ascii="Arial" w:hAnsi="Arial" w:cs="Arial"/>
          <w:sz w:val="18"/>
          <w:szCs w:val="18"/>
        </w:rPr>
        <w:t>de la C</w:t>
      </w:r>
      <w:r w:rsidR="007A6D2D">
        <w:rPr>
          <w:rFonts w:ascii="Arial" w:hAnsi="Arial" w:cs="Arial"/>
          <w:sz w:val="18"/>
          <w:szCs w:val="18"/>
        </w:rPr>
        <w:t>EDHT</w:t>
      </w:r>
      <w:r w:rsidRPr="001658EE">
        <w:rPr>
          <w:rFonts w:ascii="Arial" w:hAnsi="Arial" w:cs="Arial"/>
          <w:sz w:val="18"/>
          <w:szCs w:val="18"/>
        </w:rPr>
        <w:t>, contribuye a la fiscalización de sus activos, pasivos, ingresos y gastos, así como a la transparencia y a la rendición de cuentas.</w:t>
      </w:r>
    </w:p>
    <w:p w:rsidR="00A2120B" w:rsidRPr="001658EE" w:rsidRDefault="00A2120B" w:rsidP="00A2120B">
      <w:pPr>
        <w:jc w:val="both"/>
        <w:rPr>
          <w:rFonts w:ascii="Arial" w:hAnsi="Arial" w:cs="Arial"/>
          <w:sz w:val="18"/>
          <w:szCs w:val="18"/>
        </w:rPr>
      </w:pPr>
    </w:p>
    <w:p w:rsidR="00056042" w:rsidRPr="00A2120B" w:rsidRDefault="00056042" w:rsidP="00A2120B"/>
    <w:sectPr w:rsidR="00056042" w:rsidRPr="00A2120B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8D9" w:rsidRDefault="008F68D9" w:rsidP="00EA5418">
      <w:pPr>
        <w:spacing w:after="0" w:line="240" w:lineRule="auto"/>
      </w:pPr>
      <w:r>
        <w:separator/>
      </w:r>
    </w:p>
  </w:endnote>
  <w:endnote w:type="continuationSeparator" w:id="0">
    <w:p w:rsidR="008F68D9" w:rsidRDefault="008F68D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B90D4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EA0E77" w:rsidRPr="00EA0E77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B90D4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EA0E77" w:rsidRPr="00EA0E77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8D9" w:rsidRDefault="008F68D9" w:rsidP="00EA5418">
      <w:pPr>
        <w:spacing w:after="0" w:line="240" w:lineRule="auto"/>
      </w:pPr>
      <w:r>
        <w:separator/>
      </w:r>
    </w:p>
  </w:footnote>
  <w:footnote w:type="continuationSeparator" w:id="0">
    <w:p w:rsidR="008F68D9" w:rsidRDefault="008F68D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B90D4E">
    <w:pPr>
      <w:pStyle w:val="Encabezado"/>
    </w:pPr>
    <w:r>
      <w:rPr>
        <w:noProof/>
        <w:lang w:eastAsia="es-MX"/>
      </w:rPr>
      <w:pict>
        <v:group id="6 Grupo" o:spid="_x0000_s4101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3372;top:73;width:26262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6B729B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2865A7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877769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7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B90D4E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B90D4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6B729B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12479E"/>
    <w:multiLevelType w:val="hybridMultilevel"/>
    <w:tmpl w:val="1A64C7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83173C"/>
    <w:multiLevelType w:val="hybridMultilevel"/>
    <w:tmpl w:val="C78848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6013C"/>
    <w:multiLevelType w:val="hybridMultilevel"/>
    <w:tmpl w:val="05D61B6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397E5B78"/>
    <w:multiLevelType w:val="hybridMultilevel"/>
    <w:tmpl w:val="914CA2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114292"/>
    <w:multiLevelType w:val="hybridMultilevel"/>
    <w:tmpl w:val="C78848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631232"/>
    <w:multiLevelType w:val="hybridMultilevel"/>
    <w:tmpl w:val="220A2A7C"/>
    <w:lvl w:ilvl="0" w:tplc="33F241A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80" w:hanging="360"/>
      </w:pPr>
    </w:lvl>
    <w:lvl w:ilvl="2" w:tplc="080A001B" w:tentative="1">
      <w:start w:val="1"/>
      <w:numFmt w:val="lowerRoman"/>
      <w:lvlText w:val="%3."/>
      <w:lvlJc w:val="right"/>
      <w:pPr>
        <w:ind w:left="2700" w:hanging="180"/>
      </w:pPr>
    </w:lvl>
    <w:lvl w:ilvl="3" w:tplc="080A000F" w:tentative="1">
      <w:start w:val="1"/>
      <w:numFmt w:val="decimal"/>
      <w:lvlText w:val="%4."/>
      <w:lvlJc w:val="left"/>
      <w:pPr>
        <w:ind w:left="3420" w:hanging="360"/>
      </w:pPr>
    </w:lvl>
    <w:lvl w:ilvl="4" w:tplc="080A0019" w:tentative="1">
      <w:start w:val="1"/>
      <w:numFmt w:val="lowerLetter"/>
      <w:lvlText w:val="%5."/>
      <w:lvlJc w:val="left"/>
      <w:pPr>
        <w:ind w:left="4140" w:hanging="360"/>
      </w:pPr>
    </w:lvl>
    <w:lvl w:ilvl="5" w:tplc="080A001B" w:tentative="1">
      <w:start w:val="1"/>
      <w:numFmt w:val="lowerRoman"/>
      <w:lvlText w:val="%6."/>
      <w:lvlJc w:val="right"/>
      <w:pPr>
        <w:ind w:left="4860" w:hanging="180"/>
      </w:pPr>
    </w:lvl>
    <w:lvl w:ilvl="6" w:tplc="080A000F" w:tentative="1">
      <w:start w:val="1"/>
      <w:numFmt w:val="decimal"/>
      <w:lvlText w:val="%7."/>
      <w:lvlJc w:val="left"/>
      <w:pPr>
        <w:ind w:left="5580" w:hanging="360"/>
      </w:pPr>
    </w:lvl>
    <w:lvl w:ilvl="7" w:tplc="080A0019" w:tentative="1">
      <w:start w:val="1"/>
      <w:numFmt w:val="lowerLetter"/>
      <w:lvlText w:val="%8."/>
      <w:lvlJc w:val="left"/>
      <w:pPr>
        <w:ind w:left="6300" w:hanging="360"/>
      </w:pPr>
    </w:lvl>
    <w:lvl w:ilvl="8" w:tplc="08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7D113E1A"/>
    <w:multiLevelType w:val="hybridMultilevel"/>
    <w:tmpl w:val="DA58E590"/>
    <w:lvl w:ilvl="0" w:tplc="4D1A67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457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40466"/>
    <w:rsid w:val="00055104"/>
    <w:rsid w:val="00056042"/>
    <w:rsid w:val="000E03DD"/>
    <w:rsid w:val="0013011C"/>
    <w:rsid w:val="0015111D"/>
    <w:rsid w:val="001646D9"/>
    <w:rsid w:val="001667E5"/>
    <w:rsid w:val="001A5CCE"/>
    <w:rsid w:val="001B1B72"/>
    <w:rsid w:val="0026308F"/>
    <w:rsid w:val="0028640E"/>
    <w:rsid w:val="002865A7"/>
    <w:rsid w:val="00296F17"/>
    <w:rsid w:val="002A70B3"/>
    <w:rsid w:val="002E5897"/>
    <w:rsid w:val="00307635"/>
    <w:rsid w:val="003213E4"/>
    <w:rsid w:val="00355821"/>
    <w:rsid w:val="003575A4"/>
    <w:rsid w:val="003610E0"/>
    <w:rsid w:val="00372F40"/>
    <w:rsid w:val="003A38F7"/>
    <w:rsid w:val="003D3414"/>
    <w:rsid w:val="003D5DBF"/>
    <w:rsid w:val="003E7FD0"/>
    <w:rsid w:val="003F0EE5"/>
    <w:rsid w:val="00421216"/>
    <w:rsid w:val="0044253C"/>
    <w:rsid w:val="0044694D"/>
    <w:rsid w:val="00447F1B"/>
    <w:rsid w:val="00486AE1"/>
    <w:rsid w:val="00496AA5"/>
    <w:rsid w:val="00497D8B"/>
    <w:rsid w:val="004C54D9"/>
    <w:rsid w:val="004D41B8"/>
    <w:rsid w:val="00502D8E"/>
    <w:rsid w:val="005117F4"/>
    <w:rsid w:val="00522632"/>
    <w:rsid w:val="005306C3"/>
    <w:rsid w:val="00531310"/>
    <w:rsid w:val="00534982"/>
    <w:rsid w:val="00540418"/>
    <w:rsid w:val="00572CF6"/>
    <w:rsid w:val="00582405"/>
    <w:rsid w:val="005859FA"/>
    <w:rsid w:val="005B197F"/>
    <w:rsid w:val="006048D2"/>
    <w:rsid w:val="00611E39"/>
    <w:rsid w:val="006B729B"/>
    <w:rsid w:val="006E6B8E"/>
    <w:rsid w:val="006E77DD"/>
    <w:rsid w:val="0072196D"/>
    <w:rsid w:val="0079582C"/>
    <w:rsid w:val="007A6D2D"/>
    <w:rsid w:val="007D6E9A"/>
    <w:rsid w:val="008206B2"/>
    <w:rsid w:val="00823B7E"/>
    <w:rsid w:val="00840F62"/>
    <w:rsid w:val="00850E90"/>
    <w:rsid w:val="008650FE"/>
    <w:rsid w:val="00877769"/>
    <w:rsid w:val="008A6E4D"/>
    <w:rsid w:val="008B0017"/>
    <w:rsid w:val="008D4272"/>
    <w:rsid w:val="008E3652"/>
    <w:rsid w:val="008F68D9"/>
    <w:rsid w:val="00931417"/>
    <w:rsid w:val="00946C7D"/>
    <w:rsid w:val="00987DB5"/>
    <w:rsid w:val="009B712E"/>
    <w:rsid w:val="00A14B74"/>
    <w:rsid w:val="00A2120B"/>
    <w:rsid w:val="00AB05A0"/>
    <w:rsid w:val="00AB13B7"/>
    <w:rsid w:val="00AC7EB3"/>
    <w:rsid w:val="00AE4F14"/>
    <w:rsid w:val="00B06DDA"/>
    <w:rsid w:val="00B17423"/>
    <w:rsid w:val="00B22B88"/>
    <w:rsid w:val="00B26810"/>
    <w:rsid w:val="00B42A02"/>
    <w:rsid w:val="00B80E4F"/>
    <w:rsid w:val="00B82230"/>
    <w:rsid w:val="00B849EE"/>
    <w:rsid w:val="00B90D4E"/>
    <w:rsid w:val="00BC2010"/>
    <w:rsid w:val="00BE58D2"/>
    <w:rsid w:val="00C44F01"/>
    <w:rsid w:val="00CA2D37"/>
    <w:rsid w:val="00CC5CB6"/>
    <w:rsid w:val="00CD34AB"/>
    <w:rsid w:val="00D055EC"/>
    <w:rsid w:val="00D404ED"/>
    <w:rsid w:val="00D51261"/>
    <w:rsid w:val="00D656BB"/>
    <w:rsid w:val="00D748D3"/>
    <w:rsid w:val="00D91114"/>
    <w:rsid w:val="00DB0827"/>
    <w:rsid w:val="00DB563E"/>
    <w:rsid w:val="00DD230F"/>
    <w:rsid w:val="00E32708"/>
    <w:rsid w:val="00E32752"/>
    <w:rsid w:val="00EA0E77"/>
    <w:rsid w:val="00EA5418"/>
    <w:rsid w:val="00EB1564"/>
    <w:rsid w:val="00F74A85"/>
    <w:rsid w:val="00F74D44"/>
    <w:rsid w:val="00F9391E"/>
    <w:rsid w:val="00F96944"/>
    <w:rsid w:val="00FD6F63"/>
    <w:rsid w:val="00FD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2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A40FB-D721-48A4-AD36-30BF63214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497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CEDH</cp:lastModifiedBy>
  <cp:revision>34</cp:revision>
  <cp:lastPrinted>2016-04-27T14:54:00Z</cp:lastPrinted>
  <dcterms:created xsi:type="dcterms:W3CDTF">2014-09-01T14:30:00Z</dcterms:created>
  <dcterms:modified xsi:type="dcterms:W3CDTF">2017-07-12T16:07:00Z</dcterms:modified>
</cp:coreProperties>
</file>