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58213E" w:rsidP="00A171C2">
      <w:pPr>
        <w:pStyle w:val="Texto"/>
        <w:spacing w:after="0" w:line="240" w:lineRule="exact"/>
        <w:ind w:firstLine="0"/>
        <w:rPr>
          <w:b/>
          <w:szCs w:val="18"/>
        </w:rPr>
      </w:pPr>
      <w:r w:rsidRPr="0058213E">
        <w:drawing>
          <wp:anchor distT="0" distB="0" distL="114300" distR="114300" simplePos="0" relativeHeight="251688960" behindDoc="1" locked="0" layoutInCell="1" allowOverlap="1" wp14:anchorId="1EB60732" wp14:editId="483EC329">
            <wp:simplePos x="0" y="0"/>
            <wp:positionH relativeFrom="column">
              <wp:posOffset>3810</wp:posOffset>
            </wp:positionH>
            <wp:positionV relativeFrom="paragraph">
              <wp:posOffset>-59055</wp:posOffset>
            </wp:positionV>
            <wp:extent cx="8688070" cy="5770245"/>
            <wp:effectExtent l="0" t="0" r="0" b="190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8070" cy="5770245"/>
                    </a:xfrm>
                    <a:prstGeom prst="rect">
                      <a:avLst/>
                    </a:prstGeom>
                    <a:noFill/>
                    <a:ln>
                      <a:noFill/>
                    </a:ln>
                  </pic:spPr>
                </pic:pic>
              </a:graphicData>
            </a:graphic>
            <wp14:sizeRelV relativeFrom="margin">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58213E" w:rsidP="00540418">
      <w:pPr>
        <w:pStyle w:val="Texto"/>
        <w:spacing w:after="0" w:line="240" w:lineRule="exact"/>
        <w:jc w:val="center"/>
        <w:rPr>
          <w:b/>
          <w:szCs w:val="18"/>
        </w:rPr>
      </w:pPr>
      <w:r w:rsidRPr="0058213E">
        <w:lastRenderedPageBreak/>
        <w:drawing>
          <wp:anchor distT="0" distB="0" distL="114300" distR="114300" simplePos="0" relativeHeight="251689984" behindDoc="1" locked="0" layoutInCell="1" allowOverlap="1" wp14:anchorId="6161E078" wp14:editId="02ED3D3B">
            <wp:simplePos x="0" y="0"/>
            <wp:positionH relativeFrom="column">
              <wp:posOffset>90577</wp:posOffset>
            </wp:positionH>
            <wp:positionV relativeFrom="paragraph">
              <wp:posOffset>-77638</wp:posOffset>
            </wp:positionV>
            <wp:extent cx="8685614" cy="6107502"/>
            <wp:effectExtent l="0" t="0" r="127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4260" cy="6106550"/>
                    </a:xfrm>
                    <a:prstGeom prst="rect">
                      <a:avLst/>
                    </a:prstGeom>
                    <a:noFill/>
                    <a:ln>
                      <a:noFill/>
                    </a:ln>
                  </pic:spPr>
                </pic:pic>
              </a:graphicData>
            </a:graphic>
            <wp14:sizeRelV relativeFrom="margin">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58213E" w:rsidP="00540418">
      <w:pPr>
        <w:pStyle w:val="Texto"/>
        <w:spacing w:after="0" w:line="240" w:lineRule="exact"/>
        <w:jc w:val="center"/>
        <w:rPr>
          <w:noProof/>
          <w:lang w:val="es-MX" w:eastAsia="es-MX"/>
        </w:rPr>
      </w:pPr>
      <w:r w:rsidRPr="0058213E">
        <w:lastRenderedPageBreak/>
        <w:drawing>
          <wp:anchor distT="0" distB="0" distL="114300" distR="114300" simplePos="0" relativeHeight="251691008" behindDoc="1" locked="0" layoutInCell="1" allowOverlap="1">
            <wp:simplePos x="0" y="0"/>
            <wp:positionH relativeFrom="column">
              <wp:posOffset>81951</wp:posOffset>
            </wp:positionH>
            <wp:positionV relativeFrom="paragraph">
              <wp:posOffset>-207034</wp:posOffset>
            </wp:positionV>
            <wp:extent cx="8686800" cy="6391790"/>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514" cy="6391580"/>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58213E" w:rsidP="00540418">
      <w:pPr>
        <w:pStyle w:val="Texto"/>
        <w:spacing w:after="0" w:line="240" w:lineRule="exact"/>
        <w:jc w:val="center"/>
        <w:rPr>
          <w:noProof/>
          <w:lang w:val="es-MX" w:eastAsia="es-MX"/>
        </w:rPr>
      </w:pPr>
      <w:r w:rsidRPr="0058213E">
        <w:lastRenderedPageBreak/>
        <w:drawing>
          <wp:anchor distT="0" distB="0" distL="114300" distR="114300" simplePos="0" relativeHeight="251692032" behindDoc="1" locked="0" layoutInCell="1" allowOverlap="1" wp14:anchorId="2A70CFA3" wp14:editId="44DA794E">
            <wp:simplePos x="0" y="0"/>
            <wp:positionH relativeFrom="column">
              <wp:posOffset>185743</wp:posOffset>
            </wp:positionH>
            <wp:positionV relativeFrom="paragraph">
              <wp:posOffset>-33295</wp:posOffset>
            </wp:positionV>
            <wp:extent cx="8689340" cy="604075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9340" cy="6040755"/>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58213E" w:rsidP="00540418">
      <w:pPr>
        <w:pStyle w:val="Texto"/>
        <w:spacing w:after="0" w:line="240" w:lineRule="exact"/>
        <w:jc w:val="center"/>
        <w:rPr>
          <w:noProof/>
          <w:lang w:val="es-MX" w:eastAsia="es-MX"/>
        </w:rPr>
      </w:pPr>
      <w:r w:rsidRPr="0058213E">
        <w:lastRenderedPageBreak/>
        <w:drawing>
          <wp:anchor distT="0" distB="0" distL="114300" distR="114300" simplePos="0" relativeHeight="251693056" behindDoc="1" locked="0" layoutInCell="1" allowOverlap="1">
            <wp:simplePos x="0" y="0"/>
            <wp:positionH relativeFrom="column">
              <wp:posOffset>81915</wp:posOffset>
            </wp:positionH>
            <wp:positionV relativeFrom="paragraph">
              <wp:posOffset>-154952</wp:posOffset>
            </wp:positionV>
            <wp:extent cx="8686359" cy="6297283"/>
            <wp:effectExtent l="0" t="0" r="635"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359" cy="6297283"/>
                    </a:xfrm>
                    <a:prstGeom prst="rect">
                      <a:avLst/>
                    </a:prstGeom>
                    <a:noFill/>
                    <a:ln>
                      <a:noFill/>
                    </a:ln>
                  </pic:spPr>
                </pic:pic>
              </a:graphicData>
            </a:graphic>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C0DC3" w:rsidP="00540418">
      <w:pPr>
        <w:pStyle w:val="Texto"/>
        <w:spacing w:after="0" w:line="240" w:lineRule="exact"/>
        <w:jc w:val="center"/>
        <w:rPr>
          <w:b/>
          <w:szCs w:val="18"/>
        </w:rPr>
      </w:pPr>
      <w:r w:rsidRPr="00EC0DC3">
        <w:lastRenderedPageBreak/>
        <w:drawing>
          <wp:anchor distT="0" distB="0" distL="114300" distR="114300" simplePos="0" relativeHeight="251694080" behindDoc="1" locked="0" layoutInCell="1" allowOverlap="1">
            <wp:simplePos x="0" y="0"/>
            <wp:positionH relativeFrom="column">
              <wp:posOffset>185468</wp:posOffset>
            </wp:positionH>
            <wp:positionV relativeFrom="paragraph">
              <wp:posOffset>-69012</wp:posOffset>
            </wp:positionV>
            <wp:extent cx="8686800" cy="5940803"/>
            <wp:effectExtent l="0" t="0" r="0" b="317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8658" cy="5942074"/>
                    </a:xfrm>
                    <a:prstGeom prst="rect">
                      <a:avLst/>
                    </a:prstGeom>
                    <a:noFill/>
                    <a:ln>
                      <a:noFill/>
                    </a:ln>
                  </pic:spPr>
                </pic:pic>
              </a:graphicData>
            </a:graphic>
            <wp14:sizeRelV relativeFrom="margin">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EC0DC3" w:rsidP="00540418">
      <w:pPr>
        <w:pStyle w:val="Texto"/>
        <w:spacing w:after="0" w:line="240" w:lineRule="exact"/>
        <w:jc w:val="center"/>
        <w:rPr>
          <w:b/>
          <w:szCs w:val="18"/>
        </w:rPr>
      </w:pPr>
      <w:bookmarkStart w:id="0" w:name="_GoBack"/>
      <w:r w:rsidRPr="00EC0DC3">
        <w:lastRenderedPageBreak/>
        <w:drawing>
          <wp:anchor distT="0" distB="0" distL="114300" distR="114300" simplePos="0" relativeHeight="251695104" behindDoc="1" locked="0" layoutInCell="1" allowOverlap="1" wp14:anchorId="28FD7505" wp14:editId="1E7F0441">
            <wp:simplePos x="0" y="0"/>
            <wp:positionH relativeFrom="column">
              <wp:posOffset>185420</wp:posOffset>
            </wp:positionH>
            <wp:positionV relativeFrom="paragraph">
              <wp:posOffset>42545</wp:posOffset>
            </wp:positionV>
            <wp:extent cx="8680450" cy="6089650"/>
            <wp:effectExtent l="0" t="0" r="6350" b="635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0450" cy="6089650"/>
                    </a:xfrm>
                    <a:prstGeom prst="rect">
                      <a:avLst/>
                    </a:prstGeom>
                    <a:noFill/>
                    <a:ln>
                      <a:noFill/>
                    </a:ln>
                  </pic:spPr>
                </pic:pic>
              </a:graphicData>
            </a:graphic>
            <wp14:sizeRelV relativeFrom="margin">
              <wp14:pctHeight>0</wp14:pctHeight>
            </wp14:sizeRelV>
          </wp:anchor>
        </w:drawing>
      </w:r>
      <w:bookmarkEnd w:id="0"/>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F91550"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w:t>
            </w:r>
            <w:r w:rsidR="008370C1">
              <w:rPr>
                <w:rFonts w:ascii="Arial" w:eastAsia="Times New Roman" w:hAnsi="Arial" w:cs="Arial"/>
                <w:sz w:val="18"/>
                <w:szCs w:val="18"/>
                <w:lang w:eastAsia="es-MX"/>
              </w:rPr>
              <w:t>9,342</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8370C1">
              <w:rPr>
                <w:rFonts w:ascii="Arial" w:eastAsia="Times New Roman" w:hAnsi="Arial" w:cs="Arial"/>
                <w:sz w:val="18"/>
                <w:szCs w:val="18"/>
                <w:lang w:eastAsia="es-MX"/>
              </w:rPr>
              <w:t>4179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8370C1" w:rsidP="008370C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EXPOCIENCIAS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8370C1" w:rsidP="0019656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6393</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8370C1">
              <w:rPr>
                <w:rFonts w:ascii="Arial" w:eastAsia="Times New Roman" w:hAnsi="Arial" w:cs="Arial"/>
                <w:sz w:val="18"/>
                <w:szCs w:val="18"/>
                <w:lang w:eastAsia="es-MX"/>
              </w:rPr>
              <w:t>186</w:t>
            </w:r>
            <w:r>
              <w:rPr>
                <w:rFonts w:ascii="Arial" w:eastAsia="Times New Roman" w:hAnsi="Arial" w:cs="Arial"/>
                <w:sz w:val="18"/>
                <w:szCs w:val="18"/>
                <w:lang w:eastAsia="es-MX"/>
              </w:rPr>
              <w:t>,</w:t>
            </w:r>
            <w:r w:rsidR="008370C1">
              <w:rPr>
                <w:rFonts w:ascii="Arial" w:eastAsia="Times New Roman" w:hAnsi="Arial" w:cs="Arial"/>
                <w:sz w:val="18"/>
                <w:szCs w:val="18"/>
                <w:lang w:eastAsia="es-MX"/>
              </w:rPr>
              <w:t>314</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3511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1,667,</w:t>
            </w:r>
            <w:r w:rsidR="008370C1">
              <w:rPr>
                <w:rFonts w:ascii="Arial" w:eastAsia="Times New Roman" w:hAnsi="Arial" w:cs="Arial"/>
                <w:sz w:val="18"/>
                <w:szCs w:val="18"/>
                <w:lang w:eastAsia="es-MX"/>
              </w:rPr>
              <w:t>792</w:t>
            </w:r>
            <w:r w:rsidR="00B00666">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5496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 xml:space="preserve">Global </w:t>
            </w:r>
            <w:proofErr w:type="spellStart"/>
            <w:r w:rsidRPr="004D1DA4">
              <w:rPr>
                <w:rFonts w:ascii="Arial" w:eastAsia="Times New Roman" w:hAnsi="Arial" w:cs="Arial"/>
                <w:color w:val="000000"/>
                <w:sz w:val="18"/>
                <w:szCs w:val="18"/>
                <w:lang w:eastAsia="es-MX"/>
              </w:rPr>
              <w:t>Flock</w:t>
            </w:r>
            <w:proofErr w:type="spellEnd"/>
            <w:r w:rsidRPr="004D1DA4">
              <w:rPr>
                <w:rFonts w:ascii="Arial" w:eastAsia="Times New Roman" w:hAnsi="Arial" w:cs="Arial"/>
                <w:color w:val="000000"/>
                <w:sz w:val="18"/>
                <w:szCs w:val="18"/>
                <w:lang w:eastAsia="es-MX"/>
              </w:rPr>
              <w:t xml:space="preserve"> Arizpe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70493" w:rsidP="004E064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E064C">
              <w:rPr>
                <w:rFonts w:ascii="Arial" w:eastAsia="Times New Roman" w:hAnsi="Arial" w:cs="Arial"/>
                <w:sz w:val="18"/>
                <w:szCs w:val="18"/>
                <w:lang w:eastAsia="es-MX"/>
              </w:rPr>
              <w:t>7</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5849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w:t>
            </w:r>
            <w:r w:rsidR="004E064C">
              <w:rPr>
                <w:rFonts w:ascii="Arial" w:eastAsia="Times New Roman" w:hAnsi="Arial" w:cs="Arial"/>
                <w:sz w:val="18"/>
                <w:szCs w:val="18"/>
                <w:lang w:eastAsia="es-MX"/>
              </w:rPr>
              <w:t>,74</w:t>
            </w:r>
            <w:r>
              <w:rPr>
                <w:rFonts w:ascii="Arial" w:eastAsia="Times New Roman" w:hAnsi="Arial" w:cs="Arial"/>
                <w:sz w:val="18"/>
                <w:szCs w:val="18"/>
                <w:lang w:eastAsia="es-MX"/>
              </w:rPr>
              <w:t>4</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2884</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2,606</w:t>
            </w:r>
            <w:r w:rsidR="004E064C">
              <w:rPr>
                <w:rFonts w:ascii="Arial" w:eastAsia="Times New Roman" w:hAnsi="Arial" w:cs="Arial"/>
                <w:sz w:val="18"/>
                <w:szCs w:val="18"/>
                <w:lang w:eastAsia="es-MX"/>
              </w:rPr>
              <w:t>,3</w:t>
            </w:r>
            <w:r>
              <w:rPr>
                <w:rFonts w:ascii="Arial" w:eastAsia="Times New Roman" w:hAnsi="Arial" w:cs="Arial"/>
                <w:sz w:val="18"/>
                <w:szCs w:val="18"/>
                <w:lang w:eastAsia="es-MX"/>
              </w:rPr>
              <w:t>39</w:t>
            </w:r>
            <w:r w:rsidR="00DC3969" w:rsidRPr="004D1DA4">
              <w:rPr>
                <w:rFonts w:ascii="Arial" w:eastAsia="Times New Roman" w:hAnsi="Arial" w:cs="Arial"/>
                <w:sz w:val="18"/>
                <w:szCs w:val="18"/>
                <w:lang w:eastAsia="es-MX"/>
              </w:rPr>
              <w:t xml:space="preserve"> </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3031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4E064C"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1,638,</w:t>
            </w:r>
            <w:r w:rsidR="008370C1">
              <w:rPr>
                <w:rFonts w:ascii="Arial" w:eastAsia="Times New Roman" w:hAnsi="Arial" w:cs="Arial"/>
                <w:sz w:val="18"/>
                <w:szCs w:val="18"/>
                <w:lang w:eastAsia="es-MX"/>
              </w:rPr>
              <w:t>062</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XXXXXX</w:t>
            </w:r>
            <w:r w:rsidR="00DC3969" w:rsidRPr="004D1DA4">
              <w:rPr>
                <w:rFonts w:ascii="Arial" w:eastAsia="Times New Roman" w:hAnsi="Arial" w:cs="Arial"/>
                <w:sz w:val="18"/>
                <w:szCs w:val="18"/>
                <w:lang w:eastAsia="es-MX"/>
              </w:rPr>
              <w:t>3829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DC3969" w:rsidP="008370C1">
            <w:pPr>
              <w:spacing w:after="0" w:line="240" w:lineRule="auto"/>
              <w:jc w:val="right"/>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51459A">
              <w:rPr>
                <w:rFonts w:ascii="Arial" w:eastAsia="Times New Roman" w:hAnsi="Arial" w:cs="Arial"/>
                <w:sz w:val="18"/>
                <w:szCs w:val="18"/>
                <w:lang w:eastAsia="es-MX"/>
              </w:rPr>
              <w:t>668,</w:t>
            </w:r>
            <w:r w:rsidR="004E064C">
              <w:rPr>
                <w:rFonts w:ascii="Arial" w:eastAsia="Times New Roman" w:hAnsi="Arial" w:cs="Arial"/>
                <w:sz w:val="18"/>
                <w:szCs w:val="18"/>
                <w:lang w:eastAsia="es-MX"/>
              </w:rPr>
              <w:t>6</w:t>
            </w:r>
            <w:r w:rsidR="008370C1">
              <w:rPr>
                <w:rFonts w:ascii="Arial" w:eastAsia="Times New Roman" w:hAnsi="Arial" w:cs="Arial"/>
                <w:sz w:val="18"/>
                <w:szCs w:val="18"/>
                <w:lang w:eastAsia="es-MX"/>
              </w:rPr>
              <w:t>24</w:t>
            </w:r>
            <w:r w:rsidRPr="004D1DA4">
              <w:rPr>
                <w:rFonts w:ascii="Arial" w:eastAsia="Times New Roman" w:hAnsi="Arial" w:cs="Arial"/>
                <w:sz w:val="18"/>
                <w:szCs w:val="18"/>
                <w:lang w:eastAsia="es-MX"/>
              </w:rPr>
              <w:t xml:space="preserve"> </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XX6593</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1,083</w:t>
            </w:r>
            <w:r w:rsidR="004E064C">
              <w:rPr>
                <w:rFonts w:ascii="Arial" w:eastAsia="Times New Roman" w:hAnsi="Arial" w:cs="Arial"/>
                <w:sz w:val="18"/>
                <w:szCs w:val="18"/>
                <w:lang w:eastAsia="es-MX"/>
              </w:rPr>
              <w:t>,</w:t>
            </w:r>
            <w:r>
              <w:rPr>
                <w:rFonts w:ascii="Arial" w:eastAsia="Times New Roman" w:hAnsi="Arial" w:cs="Arial"/>
                <w:sz w:val="18"/>
                <w:szCs w:val="18"/>
                <w:lang w:eastAsia="es-MX"/>
              </w:rPr>
              <w:t>002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8370C1"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508</w:t>
            </w:r>
            <w:r w:rsidR="004E064C">
              <w:rPr>
                <w:rFonts w:ascii="Arial" w:eastAsia="Times New Roman" w:hAnsi="Arial" w:cs="Arial"/>
                <w:sz w:val="18"/>
                <w:szCs w:val="18"/>
                <w:lang w:eastAsia="es-MX"/>
              </w:rPr>
              <w:t>,2</w:t>
            </w:r>
            <w:r>
              <w:rPr>
                <w:rFonts w:ascii="Arial" w:eastAsia="Times New Roman" w:hAnsi="Arial" w:cs="Arial"/>
                <w:sz w:val="18"/>
                <w:szCs w:val="18"/>
                <w:lang w:eastAsia="es-MX"/>
              </w:rPr>
              <w:t>6</w:t>
            </w:r>
            <w:r w:rsidR="004E064C">
              <w:rPr>
                <w:rFonts w:ascii="Arial" w:eastAsia="Times New Roman" w:hAnsi="Arial" w:cs="Arial"/>
                <w:sz w:val="18"/>
                <w:szCs w:val="18"/>
                <w:lang w:eastAsia="es-MX"/>
              </w:rPr>
              <w:t>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4E064C"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27,740</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145,373.92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21,806.08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167,180.00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302,824.75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48,451.97</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351</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276</w:t>
            </w:r>
            <w:r w:rsidRPr="00EC7946">
              <w:rPr>
                <w:rFonts w:ascii="Arial" w:eastAsia="Times New Roman" w:hAnsi="Arial" w:cs="Arial"/>
                <w:sz w:val="18"/>
                <w:szCs w:val="18"/>
                <w:lang w:eastAsia="es-MX"/>
              </w:rPr>
              <w:t>.</w:t>
            </w:r>
            <w:r w:rsidR="00F91550">
              <w:rPr>
                <w:rFonts w:ascii="Arial" w:eastAsia="Times New Roman" w:hAnsi="Arial" w:cs="Arial"/>
                <w:sz w:val="18"/>
                <w:szCs w:val="18"/>
                <w:lang w:eastAsia="es-MX"/>
              </w:rPr>
              <w:t>72</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4E064C">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sidR="004E064C">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726</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721</w:t>
            </w:r>
            <w:r w:rsidRPr="00EC7946">
              <w:rPr>
                <w:rFonts w:ascii="Arial" w:eastAsia="Times New Roman" w:hAnsi="Arial" w:cs="Arial"/>
                <w:b/>
                <w:bCs/>
                <w:sz w:val="18"/>
                <w:szCs w:val="18"/>
                <w:lang w:eastAsia="es-MX"/>
              </w:rPr>
              <w:t>.</w:t>
            </w:r>
            <w:r w:rsidR="004E064C">
              <w:rPr>
                <w:rFonts w:ascii="Arial" w:eastAsia="Times New Roman" w:hAnsi="Arial" w:cs="Arial"/>
                <w:b/>
                <w:bCs/>
                <w:sz w:val="18"/>
                <w:szCs w:val="18"/>
                <w:lang w:eastAsia="es-MX"/>
              </w:rPr>
              <w:t>27</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4E064C" w:rsidP="004E064C">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84,890</w:t>
            </w:r>
            <w:r w:rsidR="003B0511" w:rsidRPr="00EC7946">
              <w:rPr>
                <w:rFonts w:ascii="Arial" w:eastAsia="Times New Roman" w:hAnsi="Arial" w:cs="Arial"/>
                <w:b/>
                <w:bCs/>
                <w:sz w:val="18"/>
                <w:szCs w:val="18"/>
                <w:lang w:eastAsia="es-MX"/>
              </w:rPr>
              <w:t>.1</w:t>
            </w:r>
            <w:r>
              <w:rPr>
                <w:rFonts w:ascii="Arial" w:eastAsia="Times New Roman" w:hAnsi="Arial" w:cs="Arial"/>
                <w:b/>
                <w:bCs/>
                <w:sz w:val="18"/>
                <w:szCs w:val="18"/>
                <w:lang w:eastAsia="es-MX"/>
              </w:rPr>
              <w:t>9</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4E064C"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1,811,611.4</w:t>
            </w:r>
            <w:r w:rsidR="00167742">
              <w:rPr>
                <w:rFonts w:ascii="Arial" w:eastAsia="Times New Roman" w:hAnsi="Arial" w:cs="Arial"/>
                <w:b/>
                <w:bCs/>
                <w:sz w:val="18"/>
                <w:szCs w:val="18"/>
                <w:lang w:eastAsia="es-MX"/>
              </w:rPr>
              <w:t>7</w:t>
            </w:r>
            <w:r w:rsidR="003B0511" w:rsidRPr="00EC7946">
              <w:rPr>
                <w:rFonts w:ascii="Arial" w:eastAsia="Times New Roman" w:hAnsi="Arial" w:cs="Arial"/>
                <w:b/>
                <w:bCs/>
                <w:sz w:val="18"/>
                <w:szCs w:val="18"/>
                <w:lang w:eastAsia="es-MX"/>
              </w:rPr>
              <w:t xml:space="preserve">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1,949,249.00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52138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521381"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083,408.74</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w:t>
            </w:r>
            <w:r w:rsidR="00EB1385">
              <w:rPr>
                <w:rFonts w:ascii="Arial" w:eastAsia="Times New Roman" w:hAnsi="Arial" w:cs="Arial"/>
                <w:sz w:val="18"/>
                <w:szCs w:val="18"/>
                <w:lang w:eastAsia="es-MX"/>
              </w:rPr>
              <w:t>,</w:t>
            </w:r>
            <w:r>
              <w:rPr>
                <w:rFonts w:ascii="Arial" w:eastAsia="Times New Roman" w:hAnsi="Arial" w:cs="Arial"/>
                <w:sz w:val="18"/>
                <w:szCs w:val="18"/>
                <w:lang w:eastAsia="es-MX"/>
              </w:rPr>
              <w:t>345</w:t>
            </w:r>
            <w:r w:rsidR="00C073D8">
              <w:rPr>
                <w:rFonts w:ascii="Arial" w:eastAsia="Times New Roman" w:hAnsi="Arial" w:cs="Arial"/>
                <w:sz w:val="18"/>
                <w:szCs w:val="18"/>
                <w:lang w:eastAsia="es-MX"/>
              </w:rPr>
              <w:t>.</w:t>
            </w:r>
            <w:r>
              <w:rPr>
                <w:rFonts w:ascii="Arial" w:eastAsia="Times New Roman" w:hAnsi="Arial" w:cs="Arial"/>
                <w:sz w:val="18"/>
                <w:szCs w:val="18"/>
                <w:lang w:eastAsia="es-MX"/>
              </w:rPr>
              <w:t>40</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736</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754</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14</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6,</w:t>
            </w:r>
            <w:r w:rsidR="00095D48">
              <w:rPr>
                <w:rFonts w:ascii="Arial" w:eastAsia="Times New Roman" w:hAnsi="Arial" w:cs="Arial"/>
                <w:sz w:val="18"/>
                <w:szCs w:val="18"/>
                <w:lang w:eastAsia="es-MX"/>
              </w:rPr>
              <w:t>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095D48">
              <w:rPr>
                <w:rFonts w:ascii="Arial" w:eastAsia="Times New Roman" w:hAnsi="Arial" w:cs="Arial"/>
                <w:sz w:val="18"/>
                <w:szCs w:val="18"/>
                <w:lang w:eastAsia="es-MX"/>
              </w:rPr>
              <w:t>005</w:t>
            </w:r>
            <w:r>
              <w:rPr>
                <w:rFonts w:ascii="Arial" w:eastAsia="Times New Roman" w:hAnsi="Arial" w:cs="Arial"/>
                <w:sz w:val="18"/>
                <w:szCs w:val="18"/>
                <w:lang w:eastAsia="es-MX"/>
              </w:rPr>
              <w:t>,</w:t>
            </w:r>
            <w:r w:rsidR="00095D48">
              <w:rPr>
                <w:rFonts w:ascii="Arial" w:eastAsia="Times New Roman" w:hAnsi="Arial" w:cs="Arial"/>
                <w:sz w:val="18"/>
                <w:szCs w:val="18"/>
                <w:lang w:eastAsia="es-MX"/>
              </w:rPr>
              <w:t>273</w:t>
            </w:r>
            <w:r>
              <w:rPr>
                <w:rFonts w:ascii="Arial" w:eastAsia="Times New Roman" w:hAnsi="Arial" w:cs="Arial"/>
                <w:sz w:val="18"/>
                <w:szCs w:val="18"/>
                <w:lang w:eastAsia="es-MX"/>
              </w:rPr>
              <w:t>.</w:t>
            </w:r>
            <w:r w:rsidR="00095D48">
              <w:rPr>
                <w:rFonts w:ascii="Arial" w:eastAsia="Times New Roman" w:hAnsi="Arial" w:cs="Arial"/>
                <w:sz w:val="18"/>
                <w:szCs w:val="18"/>
                <w:lang w:eastAsia="es-MX"/>
              </w:rPr>
              <w:t>0</w:t>
            </w:r>
            <w:r>
              <w:rPr>
                <w:rFonts w:ascii="Arial" w:eastAsia="Times New Roman" w:hAnsi="Arial" w:cs="Arial"/>
                <w:sz w:val="18"/>
                <w:szCs w:val="18"/>
                <w:lang w:eastAsia="es-MX"/>
              </w:rPr>
              <w:t>4</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1,425,971.02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228,155.36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1,654,126.38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16774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167742">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167742"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118,039.58</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C073D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257E9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502,024.43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80,323.91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582,348.34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257E93">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36</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911</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363.68</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E023E4">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5</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894</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716.5</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sidRPr="00167742">
              <w:rPr>
                <w:rFonts w:ascii="Arial" w:eastAsia="Times New Roman" w:hAnsi="Arial" w:cs="Arial"/>
                <w:b/>
                <w:bCs/>
                <w:sz w:val="18"/>
                <w:szCs w:val="18"/>
                <w:lang w:eastAsia="es-MX"/>
              </w:rPr>
              <w:t>42</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806</w:t>
            </w:r>
            <w:r>
              <w:rPr>
                <w:rFonts w:ascii="Arial" w:eastAsia="Times New Roman" w:hAnsi="Arial" w:cs="Arial"/>
                <w:b/>
                <w:bCs/>
                <w:sz w:val="18"/>
                <w:szCs w:val="18"/>
                <w:lang w:eastAsia="es-MX"/>
              </w:rPr>
              <w:t>,</w:t>
            </w:r>
            <w:r w:rsidRPr="00167742">
              <w:rPr>
                <w:rFonts w:ascii="Arial" w:eastAsia="Times New Roman" w:hAnsi="Arial" w:cs="Arial"/>
                <w:b/>
                <w:bCs/>
                <w:sz w:val="18"/>
                <w:szCs w:val="18"/>
                <w:lang w:eastAsia="es-MX"/>
              </w:rPr>
              <w:t>080.1</w:t>
            </w:r>
            <w:r>
              <w:rPr>
                <w:rFonts w:ascii="Arial" w:eastAsia="Times New Roman" w:hAnsi="Arial" w:cs="Arial"/>
                <w:b/>
                <w:bCs/>
                <w:sz w:val="18"/>
                <w:szCs w:val="18"/>
                <w:lang w:eastAsia="es-MX"/>
              </w:rPr>
              <w:t>7</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638</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084</w:t>
            </w:r>
            <w:r w:rsidR="00521381">
              <w:rPr>
                <w:rFonts w:ascii="Arial" w:eastAsia="Times New Roman" w:hAnsi="Arial" w:cs="Arial"/>
                <w:b/>
                <w:bCs/>
                <w:sz w:val="18"/>
                <w:szCs w:val="18"/>
                <w:lang w:eastAsia="es-MX"/>
              </w:rPr>
              <w:t>.</w:t>
            </w:r>
            <w:r>
              <w:rPr>
                <w:rFonts w:ascii="Arial" w:eastAsia="Times New Roman" w:hAnsi="Arial" w:cs="Arial"/>
                <w:b/>
                <w:bCs/>
                <w:sz w:val="18"/>
                <w:szCs w:val="18"/>
                <w:lang w:eastAsia="es-MX"/>
              </w:rPr>
              <w:t>9</w:t>
            </w:r>
            <w:r w:rsidR="00521381">
              <w:rPr>
                <w:rFonts w:ascii="Arial" w:eastAsia="Times New Roman" w:hAnsi="Arial" w:cs="Arial"/>
                <w:b/>
                <w:bCs/>
                <w:sz w:val="18"/>
                <w:szCs w:val="18"/>
                <w:lang w:eastAsia="es-MX"/>
              </w:rPr>
              <w:t>5</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167742"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979</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606</w:t>
            </w:r>
            <w:r w:rsidR="007277DC">
              <w:rPr>
                <w:rFonts w:ascii="Arial" w:eastAsia="Times New Roman" w:hAnsi="Arial" w:cs="Arial"/>
                <w:b/>
                <w:bCs/>
                <w:sz w:val="18"/>
                <w:szCs w:val="18"/>
                <w:lang w:eastAsia="es-MX"/>
              </w:rPr>
              <w:t>.</w:t>
            </w:r>
            <w:r>
              <w:rPr>
                <w:rFonts w:ascii="Arial" w:eastAsia="Times New Roman" w:hAnsi="Arial" w:cs="Arial"/>
                <w:b/>
                <w:bCs/>
                <w:sz w:val="18"/>
                <w:szCs w:val="18"/>
                <w:lang w:eastAsia="es-MX"/>
              </w:rPr>
              <w:t>69</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521381"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167742">
              <w:rPr>
                <w:rFonts w:ascii="Arial" w:eastAsia="Times New Roman" w:hAnsi="Arial" w:cs="Arial"/>
                <w:b/>
                <w:bCs/>
                <w:sz w:val="18"/>
                <w:szCs w:val="18"/>
                <w:lang w:eastAsia="es-MX"/>
              </w:rPr>
              <w:t>4</w:t>
            </w:r>
            <w:r>
              <w:rPr>
                <w:rFonts w:ascii="Arial" w:eastAsia="Times New Roman" w:hAnsi="Arial" w:cs="Arial"/>
                <w:b/>
                <w:bCs/>
                <w:sz w:val="18"/>
                <w:szCs w:val="18"/>
                <w:lang w:eastAsia="es-MX"/>
              </w:rPr>
              <w:t>,</w:t>
            </w:r>
            <w:r w:rsidR="00167742">
              <w:rPr>
                <w:rFonts w:ascii="Arial" w:eastAsia="Times New Roman" w:hAnsi="Arial" w:cs="Arial"/>
                <w:b/>
                <w:bCs/>
                <w:sz w:val="18"/>
                <w:szCs w:val="18"/>
                <w:lang w:eastAsia="es-MX"/>
              </w:rPr>
              <w:t>617</w:t>
            </w:r>
            <w:r>
              <w:rPr>
                <w:rFonts w:ascii="Arial" w:eastAsia="Times New Roman" w:hAnsi="Arial" w:cs="Arial"/>
                <w:b/>
                <w:bCs/>
                <w:sz w:val="18"/>
                <w:szCs w:val="18"/>
                <w:lang w:eastAsia="es-MX"/>
              </w:rPr>
              <w:t>,</w:t>
            </w:r>
            <w:r w:rsidR="00167742">
              <w:rPr>
                <w:rFonts w:ascii="Arial" w:eastAsia="Times New Roman" w:hAnsi="Arial" w:cs="Arial"/>
                <w:b/>
                <w:bCs/>
                <w:sz w:val="18"/>
                <w:szCs w:val="18"/>
                <w:lang w:eastAsia="es-MX"/>
              </w:rPr>
              <w:t>691</w:t>
            </w:r>
            <w:r>
              <w:rPr>
                <w:rFonts w:ascii="Arial" w:eastAsia="Times New Roman" w:hAnsi="Arial" w:cs="Arial"/>
                <w:b/>
                <w:bCs/>
                <w:sz w:val="18"/>
                <w:szCs w:val="18"/>
                <w:lang w:eastAsia="es-MX"/>
              </w:rPr>
              <w:t>.6</w:t>
            </w:r>
            <w:r w:rsidR="00167742">
              <w:rPr>
                <w:rFonts w:ascii="Arial" w:eastAsia="Times New Roman" w:hAnsi="Arial" w:cs="Arial"/>
                <w:b/>
                <w:bCs/>
                <w:sz w:val="18"/>
                <w:szCs w:val="18"/>
                <w:lang w:eastAsia="es-MX"/>
              </w:rPr>
              <w:t>4</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8E1D52" w:rsidP="00392E51">
            <w:pPr>
              <w:spacing w:after="0" w:line="240" w:lineRule="auto"/>
              <w:jc w:val="right"/>
              <w:rPr>
                <w:rFonts w:ascii="Arial" w:eastAsia="Times New Roman" w:hAnsi="Arial" w:cs="Arial"/>
                <w:sz w:val="18"/>
                <w:szCs w:val="18"/>
                <w:lang w:eastAsia="es-MX"/>
              </w:rPr>
            </w:pPr>
            <w:r w:rsidRPr="008E1D52">
              <w:rPr>
                <w:rFonts w:ascii="Arial" w:eastAsia="Times New Roman" w:hAnsi="Arial" w:cs="Arial"/>
                <w:sz w:val="18"/>
                <w:szCs w:val="18"/>
                <w:lang w:eastAsia="es-MX"/>
              </w:rPr>
              <w:t>63668.88</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8E1D52" w:rsidP="008E1D5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30-Abril</w:t>
            </w:r>
            <w:r w:rsidR="005D3334">
              <w:rPr>
                <w:rFonts w:ascii="Arial" w:eastAsia="Times New Roman" w:hAnsi="Arial" w:cs="Arial"/>
                <w:sz w:val="18"/>
                <w:szCs w:val="18"/>
                <w:lang w:eastAsia="es-MX"/>
              </w:rPr>
              <w:t>-</w:t>
            </w:r>
            <w:r w:rsidR="00CF4849">
              <w:rPr>
                <w:rFonts w:ascii="Arial" w:eastAsia="Times New Roman" w:hAnsi="Arial" w:cs="Arial"/>
                <w:sz w:val="18"/>
                <w:szCs w:val="18"/>
                <w:lang w:eastAsia="es-MX"/>
              </w:rPr>
              <w:t>17</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8E1D52" w:rsidP="00E85F19">
            <w:pPr>
              <w:spacing w:after="0" w:line="240" w:lineRule="auto"/>
              <w:jc w:val="right"/>
              <w:rPr>
                <w:rFonts w:ascii="Arial" w:eastAsia="Times New Roman" w:hAnsi="Arial" w:cs="Arial"/>
                <w:sz w:val="18"/>
                <w:szCs w:val="18"/>
                <w:lang w:eastAsia="es-MX"/>
              </w:rPr>
            </w:pPr>
            <w:r w:rsidRPr="008E1D52">
              <w:rPr>
                <w:rFonts w:ascii="Arial" w:eastAsia="Times New Roman" w:hAnsi="Arial" w:cs="Arial"/>
                <w:sz w:val="18"/>
                <w:szCs w:val="18"/>
                <w:lang w:eastAsia="es-MX"/>
              </w:rPr>
              <w:t>145</w:t>
            </w:r>
            <w:r>
              <w:rPr>
                <w:rFonts w:ascii="Arial" w:eastAsia="Times New Roman" w:hAnsi="Arial" w:cs="Arial"/>
                <w:sz w:val="18"/>
                <w:szCs w:val="18"/>
                <w:lang w:eastAsia="es-MX"/>
              </w:rPr>
              <w:t>,</w:t>
            </w:r>
            <w:r w:rsidRPr="008E1D52">
              <w:rPr>
                <w:rFonts w:ascii="Arial" w:eastAsia="Times New Roman" w:hAnsi="Arial" w:cs="Arial"/>
                <w:sz w:val="18"/>
                <w:szCs w:val="18"/>
                <w:lang w:eastAsia="es-MX"/>
              </w:rPr>
              <w:t>212.25</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8E1D52"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17-Abril</w:t>
            </w:r>
            <w:r w:rsidR="00B274D7">
              <w:rPr>
                <w:rFonts w:ascii="Arial" w:eastAsia="Times New Roman" w:hAnsi="Arial" w:cs="Arial"/>
                <w:sz w:val="18"/>
                <w:szCs w:val="18"/>
                <w:lang w:eastAsia="es-MX"/>
              </w:rPr>
              <w:t>-17</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Pr="004D1DA4" w:rsidRDefault="00540418" w:rsidP="00540418">
      <w:pPr>
        <w:pStyle w:val="ROMANOS"/>
        <w:spacing w:after="0" w:line="240" w:lineRule="exact"/>
        <w:rPr>
          <w:b/>
          <w:lang w:val="es-MX"/>
        </w:rPr>
      </w:pPr>
      <w:r w:rsidRPr="004D1DA4">
        <w:rPr>
          <w:b/>
          <w:lang w:val="es-MX"/>
        </w:rPr>
        <w:lastRenderedPageBreak/>
        <w:t>Ingresos de Gestión</w:t>
      </w: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FC4021" w:rsidP="00CF4849">
            <w:pPr>
              <w:pStyle w:val="ROMANOS"/>
              <w:spacing w:after="0" w:line="240" w:lineRule="exact"/>
              <w:ind w:left="0" w:firstLine="0"/>
              <w:jc w:val="right"/>
              <w:rPr>
                <w:lang w:val="es-MX"/>
              </w:rPr>
            </w:pPr>
            <w:r w:rsidRPr="00FC4021">
              <w:rPr>
                <w:lang w:val="es-MX"/>
              </w:rPr>
              <w:t>5</w:t>
            </w:r>
            <w:r>
              <w:rPr>
                <w:lang w:val="es-MX"/>
              </w:rPr>
              <w:t>,</w:t>
            </w:r>
            <w:r w:rsidRPr="00FC4021">
              <w:rPr>
                <w:lang w:val="es-MX"/>
              </w:rPr>
              <w:t>698</w:t>
            </w:r>
            <w:r>
              <w:rPr>
                <w:lang w:val="es-MX"/>
              </w:rPr>
              <w:t>,</w:t>
            </w:r>
            <w:r w:rsidRPr="00FC4021">
              <w:rPr>
                <w:lang w:val="es-MX"/>
              </w:rPr>
              <w:t>109</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FC4021">
              <w:rPr>
                <w:lang w:val="es-MX"/>
              </w:rPr>
              <w:t>l ejercicio 2017</w:t>
            </w:r>
            <w:r w:rsidR="00C133D4">
              <w:rPr>
                <w:lang w:val="es-MX"/>
              </w:rPr>
              <w:t xml:space="preserve"> al mes de </w:t>
            </w:r>
            <w:r w:rsidR="00FC4021">
              <w:rPr>
                <w:lang w:val="es-MX"/>
              </w:rPr>
              <w:t>marzo</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FC4021" w:rsidP="00CF4849">
            <w:pPr>
              <w:pStyle w:val="ROMANOS"/>
              <w:spacing w:after="0" w:line="240" w:lineRule="exact"/>
              <w:ind w:left="0" w:firstLine="0"/>
              <w:jc w:val="right"/>
              <w:rPr>
                <w:lang w:val="es-MX"/>
              </w:rPr>
            </w:pPr>
            <w:r w:rsidRPr="00FC4021">
              <w:rPr>
                <w:lang w:val="es-MX"/>
              </w:rPr>
              <w:t>56</w:t>
            </w:r>
            <w:r>
              <w:rPr>
                <w:lang w:val="es-MX"/>
              </w:rPr>
              <w:t>,</w:t>
            </w:r>
            <w:r w:rsidRPr="00FC4021">
              <w:rPr>
                <w:lang w:val="es-MX"/>
              </w:rPr>
              <w:t>690.91</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Pr="004D1DA4" w:rsidRDefault="00540418" w:rsidP="00540418">
      <w:pPr>
        <w:pStyle w:val="ROMANOS"/>
        <w:spacing w:after="0" w:line="240" w:lineRule="exact"/>
        <w:rPr>
          <w:b/>
          <w:lang w:val="es-MX"/>
        </w:rPr>
      </w:pPr>
      <w:r w:rsidRPr="004D1DA4">
        <w:rPr>
          <w:b/>
          <w:lang w:val="es-MX"/>
        </w:rPr>
        <w:t>Gastos y Otras Pérdidas:</w:t>
      </w: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Pr="004D1DA4" w:rsidRDefault="001E54F3"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2016</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CF4849">
            <w:pPr>
              <w:pStyle w:val="Texto"/>
              <w:spacing w:after="0" w:line="240" w:lineRule="exact"/>
              <w:ind w:firstLine="0"/>
              <w:rPr>
                <w:szCs w:val="18"/>
                <w:lang w:val="es-MX"/>
              </w:rPr>
            </w:pPr>
            <w:r>
              <w:rPr>
                <w:szCs w:val="18"/>
                <w:lang w:val="es-MX"/>
              </w:rPr>
              <w:t xml:space="preserve"> </w:t>
            </w:r>
            <w:r w:rsidR="00FC4021" w:rsidRPr="00FC4021">
              <w:rPr>
                <w:szCs w:val="18"/>
                <w:lang w:val="es-MX"/>
              </w:rPr>
              <w:t>22</w:t>
            </w:r>
            <w:r w:rsidR="00FC4021">
              <w:rPr>
                <w:szCs w:val="18"/>
                <w:lang w:val="es-MX"/>
              </w:rPr>
              <w:t>,</w:t>
            </w:r>
            <w:r w:rsidR="00FC4021" w:rsidRPr="00FC4021">
              <w:rPr>
                <w:szCs w:val="18"/>
                <w:lang w:val="es-MX"/>
              </w:rPr>
              <w:t>924</w:t>
            </w:r>
            <w:r w:rsidR="00FC4021">
              <w:rPr>
                <w:szCs w:val="18"/>
                <w:lang w:val="es-MX"/>
              </w:rPr>
              <w:t>,</w:t>
            </w:r>
            <w:r w:rsidR="00FC4021" w:rsidRPr="00FC4021">
              <w:rPr>
                <w:szCs w:val="18"/>
                <w:lang w:val="es-MX"/>
              </w:rPr>
              <w:t>083</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C4021" w:rsidP="00F153D6">
            <w:pPr>
              <w:pStyle w:val="Texto"/>
              <w:spacing w:after="0" w:line="240" w:lineRule="exact"/>
              <w:ind w:firstLine="0"/>
              <w:jc w:val="right"/>
              <w:rPr>
                <w:szCs w:val="18"/>
                <w:lang w:val="es-MX"/>
              </w:rPr>
            </w:pPr>
            <w:r w:rsidRPr="00CF4849">
              <w:rPr>
                <w:szCs w:val="18"/>
                <w:lang w:val="es-MX"/>
              </w:rPr>
              <w:t>21</w:t>
            </w:r>
            <w:r>
              <w:rPr>
                <w:szCs w:val="18"/>
                <w:lang w:val="es-MX"/>
              </w:rPr>
              <w:t>,</w:t>
            </w:r>
            <w:r w:rsidRPr="00CF4849">
              <w:rPr>
                <w:szCs w:val="18"/>
                <w:lang w:val="es-MX"/>
              </w:rPr>
              <w:t>389</w:t>
            </w:r>
            <w:r>
              <w:rPr>
                <w:szCs w:val="18"/>
                <w:lang w:val="es-MX"/>
              </w:rPr>
              <w:t>,6</w:t>
            </w:r>
            <w:r w:rsidRPr="00CF4849">
              <w:rPr>
                <w:szCs w:val="18"/>
                <w:lang w:val="es-MX"/>
              </w:rPr>
              <w:t>83</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C4021" w:rsidP="00FC4021">
            <w:pPr>
              <w:pStyle w:val="Texto"/>
              <w:spacing w:after="0" w:line="240" w:lineRule="exact"/>
              <w:ind w:firstLine="0"/>
              <w:jc w:val="right"/>
              <w:rPr>
                <w:szCs w:val="18"/>
                <w:lang w:val="es-MX"/>
              </w:rPr>
            </w:pPr>
            <w:r w:rsidRPr="00FC4021">
              <w:rPr>
                <w:szCs w:val="18"/>
                <w:lang w:val="es-MX"/>
              </w:rPr>
              <w:t>22</w:t>
            </w:r>
            <w:r>
              <w:rPr>
                <w:szCs w:val="18"/>
                <w:lang w:val="es-MX"/>
              </w:rPr>
              <w:t>,</w:t>
            </w:r>
            <w:r w:rsidRPr="00FC4021">
              <w:rPr>
                <w:szCs w:val="18"/>
                <w:lang w:val="es-MX"/>
              </w:rPr>
              <w:t>9</w:t>
            </w:r>
            <w:r>
              <w:rPr>
                <w:szCs w:val="18"/>
                <w:lang w:val="es-MX"/>
              </w:rPr>
              <w:t>2</w:t>
            </w:r>
            <w:r w:rsidRPr="00FC4021">
              <w:rPr>
                <w:szCs w:val="18"/>
                <w:lang w:val="es-MX"/>
              </w:rPr>
              <w:t>4</w:t>
            </w:r>
            <w:r>
              <w:rPr>
                <w:szCs w:val="18"/>
                <w:lang w:val="es-MX"/>
              </w:rPr>
              <w:t>,</w:t>
            </w:r>
            <w:r w:rsidRPr="00FC4021">
              <w:rPr>
                <w:szCs w:val="18"/>
                <w:lang w:val="es-MX"/>
              </w:rPr>
              <w:t>083</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C4021" w:rsidP="00F153D6">
            <w:pPr>
              <w:pStyle w:val="Texto"/>
              <w:spacing w:after="0" w:line="240" w:lineRule="exact"/>
              <w:ind w:firstLine="0"/>
              <w:jc w:val="right"/>
              <w:rPr>
                <w:szCs w:val="18"/>
                <w:lang w:val="es-MX"/>
              </w:rPr>
            </w:pPr>
            <w:r w:rsidRPr="00CF4849">
              <w:rPr>
                <w:szCs w:val="18"/>
                <w:lang w:val="es-MX"/>
              </w:rPr>
              <w:t>21</w:t>
            </w:r>
            <w:r>
              <w:rPr>
                <w:szCs w:val="18"/>
                <w:lang w:val="es-MX"/>
              </w:rPr>
              <w:t>,</w:t>
            </w:r>
            <w:r w:rsidRPr="00CF4849">
              <w:rPr>
                <w:szCs w:val="18"/>
                <w:lang w:val="es-MX"/>
              </w:rPr>
              <w:t>389</w:t>
            </w:r>
            <w:r>
              <w:rPr>
                <w:szCs w:val="18"/>
                <w:lang w:val="es-MX"/>
              </w:rPr>
              <w:t>,6</w:t>
            </w:r>
            <w:r w:rsidRPr="00CF4849">
              <w:rPr>
                <w:szCs w:val="18"/>
                <w:lang w:val="es-MX"/>
              </w:rPr>
              <w:t>83</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FC4021" w:rsidP="009111F6">
            <w:pPr>
              <w:pStyle w:val="Texto"/>
              <w:spacing w:after="0" w:line="240" w:lineRule="exact"/>
              <w:ind w:firstLine="0"/>
              <w:jc w:val="center"/>
              <w:rPr>
                <w:szCs w:val="18"/>
                <w:lang w:val="es-MX"/>
              </w:rPr>
            </w:pPr>
            <w:r>
              <w:rPr>
                <w:szCs w:val="18"/>
                <w:lang w:val="es-MX"/>
              </w:rPr>
              <w:t>2016</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FC4021"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1,516,547</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CD1F97" w:rsidP="009111F6">
            <w:pPr>
              <w:pStyle w:val="Texto"/>
              <w:spacing w:after="0" w:line="240" w:lineRule="exact"/>
              <w:ind w:firstLine="0"/>
              <w:jc w:val="center"/>
              <w:rPr>
                <w:b/>
                <w:szCs w:val="18"/>
                <w:lang w:val="es-MX"/>
              </w:rPr>
            </w:pPr>
            <w:r>
              <w:rPr>
                <w:b/>
                <w:bCs/>
                <w:i/>
                <w:iCs/>
                <w:szCs w:val="18"/>
                <w:lang w:eastAsia="es-MX"/>
              </w:rPr>
              <w:t>2,384,804</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1E54F3" w:rsidRDefault="001E54F3"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9B5569" w:rsidRDefault="00001760" w:rsidP="00001760">
      <w:pPr>
        <w:pStyle w:val="Texto"/>
        <w:spacing w:after="0" w:line="240" w:lineRule="auto"/>
        <w:ind w:firstLine="0"/>
        <w:jc w:val="center"/>
        <w:rPr>
          <w:szCs w:val="18"/>
        </w:rPr>
      </w:pPr>
      <w:r w:rsidRPr="00001760">
        <w:rPr>
          <w:noProof/>
          <w:lang w:val="es-MX" w:eastAsia="es-MX"/>
        </w:rPr>
        <w:drawing>
          <wp:anchor distT="0" distB="0" distL="114300" distR="114300" simplePos="0" relativeHeight="251687936" behindDoc="0" locked="0" layoutInCell="1" allowOverlap="1">
            <wp:simplePos x="3243532" y="1958196"/>
            <wp:positionH relativeFrom="margin">
              <wp:align>left</wp:align>
            </wp:positionH>
            <wp:positionV relativeFrom="margin">
              <wp:align>center</wp:align>
            </wp:positionV>
            <wp:extent cx="3571336" cy="248348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336" cy="2483485"/>
                    </a:xfrm>
                    <a:prstGeom prst="rect">
                      <a:avLst/>
                    </a:prstGeom>
                    <a:noFill/>
                    <a:ln>
                      <a:noFill/>
                    </a:ln>
                  </pic:spPr>
                </pic:pic>
              </a:graphicData>
            </a:graphic>
          </wp:anchor>
        </w:drawing>
      </w:r>
    </w:p>
    <w:p w:rsidR="00001760" w:rsidRDefault="00001760" w:rsidP="00001760">
      <w:pPr>
        <w:pStyle w:val="Texto"/>
        <w:spacing w:after="0" w:line="240" w:lineRule="auto"/>
        <w:ind w:firstLine="0"/>
        <w:jc w:val="center"/>
        <w:rPr>
          <w:szCs w:val="18"/>
        </w:rPr>
      </w:pPr>
    </w:p>
    <w:p w:rsidR="009B5569" w:rsidRDefault="00001760" w:rsidP="00170353">
      <w:pPr>
        <w:pStyle w:val="Texto"/>
        <w:spacing w:after="0" w:line="240" w:lineRule="auto"/>
        <w:ind w:firstLine="0"/>
        <w:jc w:val="center"/>
        <w:rPr>
          <w:szCs w:val="18"/>
        </w:rPr>
      </w:pPr>
      <w:r w:rsidRPr="00001760">
        <w:rPr>
          <w:noProof/>
          <w:lang w:val="es-MX" w:eastAsia="es-MX"/>
        </w:rPr>
        <w:drawing>
          <wp:inline distT="0" distB="0" distL="0" distR="0">
            <wp:extent cx="4597880" cy="4493882"/>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7880" cy="4493882"/>
                    </a:xfrm>
                    <a:prstGeom prst="rect">
                      <a:avLst/>
                    </a:prstGeom>
                    <a:noFill/>
                    <a:ln>
                      <a:noFill/>
                    </a:ln>
                  </pic:spPr>
                </pic:pic>
              </a:graphicData>
            </a:graphic>
          </wp:inline>
        </w:drawing>
      </w:r>
    </w:p>
    <w:p w:rsidR="00001760" w:rsidRDefault="00001760" w:rsidP="00001760">
      <w:pPr>
        <w:pStyle w:val="Texto"/>
        <w:spacing w:after="0" w:line="240" w:lineRule="auto"/>
        <w:ind w:firstLine="0"/>
        <w:rPr>
          <w:szCs w:val="18"/>
        </w:rPr>
      </w:pPr>
    </w:p>
    <w:p w:rsidR="00001760" w:rsidRDefault="00001760" w:rsidP="00170353">
      <w:pPr>
        <w:pStyle w:val="Texto"/>
        <w:spacing w:after="0" w:line="240" w:lineRule="auto"/>
        <w:ind w:firstLine="0"/>
        <w:jc w:val="center"/>
        <w:rPr>
          <w:szCs w:val="18"/>
        </w:rPr>
      </w:pPr>
    </w:p>
    <w:p w:rsidR="00001760" w:rsidRDefault="00001760"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szCs w:val="18"/>
        </w:rPr>
        <w:t xml:space="preserve"> </w:t>
      </w: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 xml:space="preserve">del Instituto Tecnológico Superior de </w:t>
      </w:r>
      <w:proofErr w:type="spellStart"/>
      <w:r w:rsidR="004D22D8" w:rsidRPr="004D1DA4">
        <w:rPr>
          <w:szCs w:val="18"/>
        </w:rPr>
        <w:t>Tlaxco</w:t>
      </w:r>
      <w:proofErr w:type="spellEnd"/>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w:t>
      </w:r>
      <w:proofErr w:type="spellStart"/>
      <w:r w:rsidR="00BD4ACC" w:rsidRPr="004D1DA4">
        <w:rPr>
          <w:szCs w:val="18"/>
        </w:rPr>
        <w:t>Tlaxco</w:t>
      </w:r>
      <w:proofErr w:type="spellEnd"/>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w:t>
      </w:r>
      <w:proofErr w:type="spellStart"/>
      <w:r w:rsidRPr="004D1DA4">
        <w:t>Tlaxco</w:t>
      </w:r>
      <w:proofErr w:type="spellEnd"/>
      <w:r w:rsidRPr="004D1DA4">
        <w:t xml:space="preserve">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6775E3">
        <w:t>: 2016</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1F362C" w:rsidRDefault="00023368" w:rsidP="001F362C">
      <w:pPr>
        <w:spacing w:after="0" w:line="240" w:lineRule="auto"/>
        <w:ind w:right="136"/>
        <w:jc w:val="center"/>
        <w:rPr>
          <w:rFonts w:ascii="Adobe Caslon Pro Bold" w:eastAsia="Times New Roman" w:hAnsi="Adobe Caslon Pro Bold" w:cs="Arial"/>
          <w:b/>
          <w:noProof/>
          <w:sz w:val="24"/>
          <w:szCs w:val="20"/>
          <w:lang w:eastAsia="es-MX"/>
        </w:rPr>
      </w:pPr>
      <w:r>
        <w:rPr>
          <w:rFonts w:ascii="Adobe Caslon Pro Bold" w:eastAsia="Times New Roman" w:hAnsi="Adobe Caslon Pro Bold" w:cs="Arial"/>
          <w:b/>
          <w:noProof/>
          <w:sz w:val="24"/>
          <w:szCs w:val="20"/>
          <w:lang w:eastAsia="es-MX"/>
        </w:rPr>
        <w:drawing>
          <wp:inline distT="0" distB="0" distL="0" distR="0" wp14:anchorId="511F0E6A" wp14:editId="2F78E741">
            <wp:extent cx="8460257" cy="4067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0597" cy="4072003"/>
                    </a:xfrm>
                    <a:prstGeom prst="rect">
                      <a:avLst/>
                    </a:prstGeom>
                    <a:noFill/>
                  </pic:spPr>
                </pic:pic>
              </a:graphicData>
            </a:graphic>
          </wp:inline>
        </w:drawing>
      </w:r>
    </w:p>
    <w:p w:rsidR="00A23165" w:rsidRPr="004D1DA4" w:rsidRDefault="00A23165"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40418" w:rsidRPr="004D1DA4" w:rsidRDefault="00540418" w:rsidP="001F362C">
      <w:pPr>
        <w:pStyle w:val="Texto"/>
        <w:spacing w:after="0" w:line="276" w:lineRule="auto"/>
        <w:rPr>
          <w:b/>
          <w:szCs w:val="18"/>
          <w:lang w:val="es-MX"/>
        </w:rPr>
      </w:pPr>
      <w:r w:rsidRPr="004D1DA4">
        <w:rPr>
          <w:b/>
          <w:szCs w:val="18"/>
          <w:lang w:val="es-MX"/>
        </w:rPr>
        <w:lastRenderedPageBreak/>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lastRenderedPageBreak/>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540418" w:rsidRDefault="00540418" w:rsidP="001F362C">
      <w:pPr>
        <w:pStyle w:val="Texto"/>
        <w:spacing w:after="0" w:line="276" w:lineRule="auto"/>
        <w:rPr>
          <w:szCs w:val="18"/>
        </w:rPr>
      </w:pPr>
      <w:r w:rsidRPr="004D1DA4">
        <w:rPr>
          <w:szCs w:val="18"/>
        </w:rPr>
        <w:t>Debe mostrar la siguiente información:</w:t>
      </w:r>
    </w:p>
    <w:p w:rsidR="006775E3" w:rsidRDefault="006775E3" w:rsidP="001F362C">
      <w:pPr>
        <w:pStyle w:val="Texto"/>
        <w:spacing w:after="0" w:line="276" w:lineRule="auto"/>
        <w:rPr>
          <w:szCs w:val="18"/>
        </w:rPr>
      </w:pPr>
    </w:p>
    <w:p w:rsidR="001E54F3" w:rsidRDefault="001E54F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Default="006775E3" w:rsidP="001F362C">
      <w:pPr>
        <w:pStyle w:val="Texto"/>
        <w:spacing w:after="0" w:line="276" w:lineRule="auto"/>
        <w:rPr>
          <w:szCs w:val="18"/>
        </w:rPr>
      </w:pP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lastRenderedPageBreak/>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574266" w:rsidRPr="004D1DA4" w:rsidRDefault="00574266" w:rsidP="001F362C">
      <w:pPr>
        <w:pStyle w:val="Texto"/>
        <w:spacing w:after="0" w:line="276" w:lineRule="auto"/>
        <w:rPr>
          <w:sz w:val="22"/>
          <w:szCs w:val="22"/>
        </w:rPr>
      </w:pPr>
    </w:p>
    <w:p w:rsidR="00574266" w:rsidRPr="004D1DA4" w:rsidRDefault="00574266" w:rsidP="001F362C">
      <w:pPr>
        <w:pStyle w:val="Texto"/>
        <w:spacing w:after="0" w:line="276" w:lineRule="auto"/>
        <w:rPr>
          <w:sz w:val="22"/>
          <w:szCs w:val="22"/>
        </w:rPr>
      </w:pPr>
    </w:p>
    <w:p w:rsidR="00001107" w:rsidRPr="004D1DA4" w:rsidRDefault="0058213E" w:rsidP="001F362C">
      <w:pPr>
        <w:pStyle w:val="Texto"/>
        <w:spacing w:after="0" w:line="276" w:lineRule="auto"/>
        <w:rPr>
          <w:sz w:val="22"/>
          <w:szCs w:val="22"/>
        </w:rPr>
      </w:pPr>
      <w:r>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62336;mso-position-horizontal-relative:text;mso-position-vertical-relative:text;mso-width-relative:page;mso-height-relative:page">
            <v:imagedata r:id="rId19" o:title=""/>
            <w10:wrap type="topAndBottom"/>
          </v:shape>
          <o:OLEObject Type="Embed" ProgID="Excel.Sheet.12" ShapeID="_x0000_s1038" DrawAspect="Content" ObjectID="_1553003837" r:id="rId20"/>
        </w:pict>
      </w:r>
    </w:p>
    <w:p w:rsidR="00001107" w:rsidRPr="004D1DA4" w:rsidRDefault="00001107" w:rsidP="001F362C">
      <w:pPr>
        <w:pStyle w:val="Texto"/>
        <w:spacing w:after="0" w:line="276" w:lineRule="auto"/>
        <w:rPr>
          <w:sz w:val="22"/>
          <w:szCs w:val="22"/>
        </w:rPr>
      </w:pPr>
    </w:p>
    <w:sectPr w:rsidR="00001107" w:rsidRPr="004D1DA4"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36" w:rsidRDefault="005D5236" w:rsidP="00EA5418">
      <w:pPr>
        <w:spacing w:after="0" w:line="240" w:lineRule="auto"/>
      </w:pPr>
      <w:r>
        <w:separator/>
      </w:r>
    </w:p>
  </w:endnote>
  <w:endnote w:type="continuationSeparator" w:id="0">
    <w:p w:rsidR="005D5236" w:rsidRDefault="005D523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E" w:rsidRPr="0013011C" w:rsidRDefault="0058213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012065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C0DC3" w:rsidRPr="00EC0DC3">
          <w:rPr>
            <w:rFonts w:ascii="Soberana Sans Light" w:hAnsi="Soberana Sans Light"/>
            <w:noProof/>
            <w:lang w:val="es-ES"/>
          </w:rPr>
          <w:t>8</w:t>
        </w:r>
        <w:r w:rsidRPr="0013011C">
          <w:rPr>
            <w:rFonts w:ascii="Soberana Sans Light" w:hAnsi="Soberana Sans Light"/>
          </w:rPr>
          <w:fldChar w:fldCharType="end"/>
        </w:r>
      </w:sdtContent>
    </w:sdt>
  </w:p>
  <w:p w:rsidR="0058213E" w:rsidRDefault="005821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E" w:rsidRPr="008E3652" w:rsidRDefault="0058213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2E7CC6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C0DC3" w:rsidRPr="00EC0DC3">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36" w:rsidRDefault="005D5236" w:rsidP="00EA5418">
      <w:pPr>
        <w:spacing w:after="0" w:line="240" w:lineRule="auto"/>
      </w:pPr>
      <w:r>
        <w:separator/>
      </w:r>
    </w:p>
  </w:footnote>
  <w:footnote w:type="continuationSeparator" w:id="0">
    <w:p w:rsidR="005D5236" w:rsidRDefault="005D523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E" w:rsidRDefault="0058213E">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3E" w:rsidRDefault="0058213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8213E" w:rsidRDefault="0058213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8213E" w:rsidRPr="00275FC6" w:rsidRDefault="0058213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3E" w:rsidRDefault="005821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58213E" w:rsidRDefault="005821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8213E" w:rsidRPr="00275FC6" w:rsidRDefault="0058213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71124" w:rsidRDefault="00E711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71124" w:rsidRDefault="00E711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71124" w:rsidRPr="00275FC6" w:rsidRDefault="00E7112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71124" w:rsidRDefault="00E711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E71124" w:rsidRDefault="00E711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71124" w:rsidRPr="00275FC6" w:rsidRDefault="00E7112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A6DA8C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3E" w:rsidRPr="0013011C" w:rsidRDefault="0058213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7AAD3C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57ED"/>
    <w:rsid w:val="000C6063"/>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47DF5"/>
    <w:rsid w:val="00250D94"/>
    <w:rsid w:val="00257E93"/>
    <w:rsid w:val="00264426"/>
    <w:rsid w:val="00267D3B"/>
    <w:rsid w:val="00277466"/>
    <w:rsid w:val="002A70B3"/>
    <w:rsid w:val="002B478E"/>
    <w:rsid w:val="002B7B6A"/>
    <w:rsid w:val="002C797F"/>
    <w:rsid w:val="002D3524"/>
    <w:rsid w:val="002D3FC6"/>
    <w:rsid w:val="002F384E"/>
    <w:rsid w:val="002F75DC"/>
    <w:rsid w:val="00326F75"/>
    <w:rsid w:val="00343A43"/>
    <w:rsid w:val="00347C69"/>
    <w:rsid w:val="003720C3"/>
    <w:rsid w:val="00372F40"/>
    <w:rsid w:val="00373853"/>
    <w:rsid w:val="00383845"/>
    <w:rsid w:val="0038575C"/>
    <w:rsid w:val="00392E51"/>
    <w:rsid w:val="00396C2B"/>
    <w:rsid w:val="003A0303"/>
    <w:rsid w:val="003A0D5D"/>
    <w:rsid w:val="003B0511"/>
    <w:rsid w:val="003C0641"/>
    <w:rsid w:val="003C2317"/>
    <w:rsid w:val="003D5DBF"/>
    <w:rsid w:val="003E7FD0"/>
    <w:rsid w:val="003F0EA4"/>
    <w:rsid w:val="003F48D6"/>
    <w:rsid w:val="0040222B"/>
    <w:rsid w:val="004311BE"/>
    <w:rsid w:val="00434624"/>
    <w:rsid w:val="0044253C"/>
    <w:rsid w:val="0044266F"/>
    <w:rsid w:val="0044356B"/>
    <w:rsid w:val="00457777"/>
    <w:rsid w:val="004714CF"/>
    <w:rsid w:val="00475B21"/>
    <w:rsid w:val="00476556"/>
    <w:rsid w:val="00484C0D"/>
    <w:rsid w:val="00491F07"/>
    <w:rsid w:val="00497D8B"/>
    <w:rsid w:val="004B39A7"/>
    <w:rsid w:val="004B4F1E"/>
    <w:rsid w:val="004B72EF"/>
    <w:rsid w:val="004D1DA4"/>
    <w:rsid w:val="004D22D8"/>
    <w:rsid w:val="004D41B8"/>
    <w:rsid w:val="004E064C"/>
    <w:rsid w:val="004F4DD6"/>
    <w:rsid w:val="004F5641"/>
    <w:rsid w:val="00501B00"/>
    <w:rsid w:val="00512A5C"/>
    <w:rsid w:val="0051459A"/>
    <w:rsid w:val="00521381"/>
    <w:rsid w:val="00522632"/>
    <w:rsid w:val="00522EF3"/>
    <w:rsid w:val="00531B5D"/>
    <w:rsid w:val="00537C53"/>
    <w:rsid w:val="00540418"/>
    <w:rsid w:val="00551CC7"/>
    <w:rsid w:val="0055772E"/>
    <w:rsid w:val="00566DC4"/>
    <w:rsid w:val="00572FB1"/>
    <w:rsid w:val="00574266"/>
    <w:rsid w:val="0058213E"/>
    <w:rsid w:val="0059379E"/>
    <w:rsid w:val="005B1590"/>
    <w:rsid w:val="005C02C4"/>
    <w:rsid w:val="005D3334"/>
    <w:rsid w:val="005D3D25"/>
    <w:rsid w:val="005D5236"/>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7C96"/>
    <w:rsid w:val="006C4794"/>
    <w:rsid w:val="006E77DD"/>
    <w:rsid w:val="0071451B"/>
    <w:rsid w:val="007277DC"/>
    <w:rsid w:val="00730213"/>
    <w:rsid w:val="00731854"/>
    <w:rsid w:val="007356EB"/>
    <w:rsid w:val="007639C2"/>
    <w:rsid w:val="0079582C"/>
    <w:rsid w:val="0079777B"/>
    <w:rsid w:val="007A037F"/>
    <w:rsid w:val="007A198D"/>
    <w:rsid w:val="007D6E9A"/>
    <w:rsid w:val="007D71E0"/>
    <w:rsid w:val="007F2FB9"/>
    <w:rsid w:val="00811DAC"/>
    <w:rsid w:val="00815CE4"/>
    <w:rsid w:val="008370C1"/>
    <w:rsid w:val="00841F7F"/>
    <w:rsid w:val="00861858"/>
    <w:rsid w:val="00870803"/>
    <w:rsid w:val="00874BCD"/>
    <w:rsid w:val="0087680F"/>
    <w:rsid w:val="0089054E"/>
    <w:rsid w:val="008A1D74"/>
    <w:rsid w:val="008A6E4D"/>
    <w:rsid w:val="008A793D"/>
    <w:rsid w:val="008B0017"/>
    <w:rsid w:val="008C78E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7328"/>
    <w:rsid w:val="0099056B"/>
    <w:rsid w:val="009A1760"/>
    <w:rsid w:val="009A28E9"/>
    <w:rsid w:val="009B5569"/>
    <w:rsid w:val="009D5D4C"/>
    <w:rsid w:val="009E5A43"/>
    <w:rsid w:val="009E6864"/>
    <w:rsid w:val="009F23C4"/>
    <w:rsid w:val="00A171C2"/>
    <w:rsid w:val="00A23165"/>
    <w:rsid w:val="00A23182"/>
    <w:rsid w:val="00A31107"/>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255C"/>
    <w:rsid w:val="00BD4ACC"/>
    <w:rsid w:val="00BE6807"/>
    <w:rsid w:val="00BF4557"/>
    <w:rsid w:val="00C059F7"/>
    <w:rsid w:val="00C073D8"/>
    <w:rsid w:val="00C133D4"/>
    <w:rsid w:val="00C16E53"/>
    <w:rsid w:val="00C2650A"/>
    <w:rsid w:val="00C33E3D"/>
    <w:rsid w:val="00C431B4"/>
    <w:rsid w:val="00C86C59"/>
    <w:rsid w:val="00C91C5A"/>
    <w:rsid w:val="00CB117C"/>
    <w:rsid w:val="00CC1F07"/>
    <w:rsid w:val="00CD1F97"/>
    <w:rsid w:val="00CD6D9A"/>
    <w:rsid w:val="00CF33D3"/>
    <w:rsid w:val="00CF4849"/>
    <w:rsid w:val="00D00E92"/>
    <w:rsid w:val="00D01802"/>
    <w:rsid w:val="00D0315D"/>
    <w:rsid w:val="00D05207"/>
    <w:rsid w:val="00D055EC"/>
    <w:rsid w:val="00D1012C"/>
    <w:rsid w:val="00D169A7"/>
    <w:rsid w:val="00D269FB"/>
    <w:rsid w:val="00D44728"/>
    <w:rsid w:val="00D562FF"/>
    <w:rsid w:val="00D620C8"/>
    <w:rsid w:val="00D70493"/>
    <w:rsid w:val="00DC3969"/>
    <w:rsid w:val="00DC727C"/>
    <w:rsid w:val="00DC7BF7"/>
    <w:rsid w:val="00DF56C9"/>
    <w:rsid w:val="00E023E4"/>
    <w:rsid w:val="00E041F9"/>
    <w:rsid w:val="00E24EBA"/>
    <w:rsid w:val="00E30318"/>
    <w:rsid w:val="00E32708"/>
    <w:rsid w:val="00E400C0"/>
    <w:rsid w:val="00E452C6"/>
    <w:rsid w:val="00E50E7C"/>
    <w:rsid w:val="00E61582"/>
    <w:rsid w:val="00E66658"/>
    <w:rsid w:val="00E71124"/>
    <w:rsid w:val="00E85F19"/>
    <w:rsid w:val="00E874E5"/>
    <w:rsid w:val="00E9745A"/>
    <w:rsid w:val="00EA04A8"/>
    <w:rsid w:val="00EA5418"/>
    <w:rsid w:val="00EB1385"/>
    <w:rsid w:val="00EB71C7"/>
    <w:rsid w:val="00EC0DC3"/>
    <w:rsid w:val="00EC7008"/>
    <w:rsid w:val="00ED4746"/>
    <w:rsid w:val="00ED4FB8"/>
    <w:rsid w:val="00EE0635"/>
    <w:rsid w:val="00EE46FB"/>
    <w:rsid w:val="00EE4B11"/>
    <w:rsid w:val="00EF5488"/>
    <w:rsid w:val="00EF77B5"/>
    <w:rsid w:val="00F061EA"/>
    <w:rsid w:val="00F148BC"/>
    <w:rsid w:val="00F153D6"/>
    <w:rsid w:val="00F17C0D"/>
    <w:rsid w:val="00F36850"/>
    <w:rsid w:val="00F60B0F"/>
    <w:rsid w:val="00F755D0"/>
    <w:rsid w:val="00F80E97"/>
    <w:rsid w:val="00F82DD9"/>
    <w:rsid w:val="00F84850"/>
    <w:rsid w:val="00F91550"/>
    <w:rsid w:val="00FA11C2"/>
    <w:rsid w:val="00FA1B7A"/>
    <w:rsid w:val="00FA29BE"/>
    <w:rsid w:val="00FB1010"/>
    <w:rsid w:val="00FB4829"/>
    <w:rsid w:val="00FC159A"/>
    <w:rsid w:val="00FC4021"/>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0231-EA65-4CD5-A148-BCDD3E6E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19</Pages>
  <Words>2667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Tesoreria</cp:lastModifiedBy>
  <cp:revision>30</cp:revision>
  <cp:lastPrinted>2017-01-14T05:21:00Z</cp:lastPrinted>
  <dcterms:created xsi:type="dcterms:W3CDTF">2016-04-07T19:12:00Z</dcterms:created>
  <dcterms:modified xsi:type="dcterms:W3CDTF">2017-04-06T22:11:00Z</dcterms:modified>
</cp:coreProperties>
</file>