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441A0E" w:rsidRDefault="00486AE1" w:rsidP="005117F4">
      <w:pPr>
        <w:rPr>
          <w:rFonts w:ascii="Arial" w:hAnsi="Arial" w:cs="Arial"/>
          <w:sz w:val="18"/>
          <w:szCs w:val="18"/>
        </w:rPr>
      </w:pPr>
    </w:p>
    <w:p w:rsidR="00112C82" w:rsidRPr="00441A0E" w:rsidRDefault="00112C82" w:rsidP="00112C82">
      <w:pPr>
        <w:jc w:val="center"/>
        <w:rPr>
          <w:rFonts w:ascii="Arial" w:hAnsi="Arial" w:cs="Arial"/>
          <w:sz w:val="18"/>
          <w:szCs w:val="18"/>
        </w:rPr>
      </w:pPr>
      <w:r w:rsidRPr="00441A0E">
        <w:rPr>
          <w:rFonts w:ascii="Arial" w:hAnsi="Arial" w:cs="Arial"/>
          <w:sz w:val="18"/>
          <w:szCs w:val="18"/>
        </w:rPr>
        <w:t>Introducción</w:t>
      </w:r>
    </w:p>
    <w:p w:rsidR="00112C82" w:rsidRDefault="00112C82" w:rsidP="00112C82">
      <w:pPr>
        <w:jc w:val="center"/>
        <w:rPr>
          <w:rFonts w:ascii="Soberana Sans Light" w:hAnsi="Soberana Sans Light"/>
        </w:rPr>
      </w:pPr>
    </w:p>
    <w:p w:rsidR="000037D6" w:rsidRPr="000037D6" w:rsidRDefault="000037D6" w:rsidP="000037D6">
      <w:pPr>
        <w:spacing w:line="240" w:lineRule="auto"/>
        <w:jc w:val="both"/>
        <w:rPr>
          <w:rFonts w:ascii="Arial" w:hAnsi="Arial" w:cs="Arial"/>
          <w:sz w:val="18"/>
          <w:szCs w:val="18"/>
        </w:rPr>
      </w:pPr>
      <w:r w:rsidRPr="000037D6">
        <w:rPr>
          <w:rFonts w:ascii="Arial" w:hAnsi="Arial" w:cs="Arial"/>
          <w:sz w:val="18"/>
          <w:szCs w:val="18"/>
        </w:rPr>
        <w:t>El Colegio de Tlaxcala, A.C., es un centro de excelencia en educación e investigación académica que se constituye sobre tres ejes rectores que son la Investigación, la Docencia y la Vinculación con la sociedad que a partir de un Proyecto de Fortalecimiento Profesional contribuye con el Plan de Desarrollo Estatal, teniendo como premisas las siguientes líneas de acción:</w:t>
      </w:r>
    </w:p>
    <w:p w:rsidR="000037D6" w:rsidRPr="000037D6" w:rsidRDefault="000037D6" w:rsidP="000037D6">
      <w:pPr>
        <w:spacing w:line="240" w:lineRule="auto"/>
        <w:jc w:val="both"/>
        <w:rPr>
          <w:rFonts w:ascii="Arial" w:hAnsi="Arial" w:cs="Arial"/>
          <w:sz w:val="18"/>
          <w:szCs w:val="18"/>
        </w:rPr>
      </w:pPr>
      <w:r w:rsidRPr="000037D6">
        <w:rPr>
          <w:rFonts w:ascii="Arial" w:hAnsi="Arial" w:cs="Arial"/>
          <w:sz w:val="18"/>
          <w:szCs w:val="18"/>
        </w:rPr>
        <w:t>2.8.1.5 Mejorar la pertinencia de las carreras técnicas, licenciaturas y posgrados con visión local y regional, donde se realizaron las siguientes actividades:</w:t>
      </w:r>
    </w:p>
    <w:p w:rsidR="000037D6" w:rsidRPr="000037D6" w:rsidRDefault="000037D6" w:rsidP="000037D6">
      <w:pPr>
        <w:spacing w:line="240" w:lineRule="auto"/>
        <w:jc w:val="both"/>
        <w:rPr>
          <w:rFonts w:ascii="Arial" w:hAnsi="Arial" w:cs="Arial"/>
          <w:sz w:val="18"/>
          <w:szCs w:val="18"/>
        </w:rPr>
      </w:pPr>
      <w:r w:rsidRPr="000037D6">
        <w:rPr>
          <w:rFonts w:ascii="Arial" w:hAnsi="Arial" w:cs="Arial"/>
          <w:sz w:val="18"/>
          <w:szCs w:val="18"/>
        </w:rPr>
        <w:t>En materia de Investigación el Colegio cuenta con tres centros de estudios especializados en áreas estratégicas para el desarrollo, el Centro de Estudios para el Desarrollo Regional y Análisis Económico, que atiende temas de problemas de desarrollo regional, así como desarrollo urbano y ordenamiento territorial; el Centro de Estudios Políticos y Sociales, con temas sobre estado y sociedad, política, cultura y medio ambiente; y el Centro de Medio Ambiente y Sustentabilidad que incluye temas de medio ambiente y desarrollo, turismo y estudios rurales e innovación tecnológica; para la atención de estos centros El Colegio cuenta con una planta de 27 profesores investigadores, de los cuales el 85% tiene la distinción de pertenencia al Sistema Nacional de Investigadores del Consejo Nacional de Ciencia y Tecnología, la proporción más alta entre las instituciones de investigación en el estado, además de pertenecer a diferentes redes de investigación nacionales e internacionales, lo que permitió trabajar en 48 proyectos de investigación con una productividad investigativa de 2 libros, 12 capítulos de libros y 40 artículos haciendo un total de 54 publicaciones de resultados.</w:t>
      </w:r>
    </w:p>
    <w:p w:rsidR="000037D6" w:rsidRPr="000037D6" w:rsidRDefault="000037D6" w:rsidP="000037D6">
      <w:pPr>
        <w:spacing w:line="240" w:lineRule="auto"/>
        <w:jc w:val="both"/>
        <w:rPr>
          <w:rFonts w:ascii="Arial" w:hAnsi="Arial" w:cs="Arial"/>
          <w:sz w:val="18"/>
          <w:szCs w:val="18"/>
        </w:rPr>
      </w:pPr>
      <w:r w:rsidRPr="000037D6">
        <w:rPr>
          <w:rFonts w:ascii="Arial" w:hAnsi="Arial" w:cs="Arial"/>
          <w:sz w:val="18"/>
          <w:szCs w:val="18"/>
        </w:rPr>
        <w:t xml:space="preserve">En el área de docencia actualmente El Colegio imparte 5 programas de posgrado, el de Doctorado en Desarrollo Regional, la Maestría en Política y Acción Pública, la Maestría Política y Gestión de lo Público, dos con la certificación en el programa Nacional de Posgrados de Calidad del Consejo Nacional de Ciencia y Tecnología, la Maestría en Desarrollo Regional y la Maestría en Gestión del Turismo Regional Sustentable beneficiando a una comunidad de 125 alumnos en este periodo, de los cuales 43 cuentan con becas </w:t>
      </w:r>
      <w:proofErr w:type="spellStart"/>
      <w:r w:rsidRPr="000037D6">
        <w:rPr>
          <w:rFonts w:ascii="Arial" w:hAnsi="Arial" w:cs="Arial"/>
          <w:sz w:val="18"/>
          <w:szCs w:val="18"/>
        </w:rPr>
        <w:t>CONACyT</w:t>
      </w:r>
      <w:proofErr w:type="spellEnd"/>
      <w:r w:rsidRPr="000037D6">
        <w:rPr>
          <w:rFonts w:ascii="Arial" w:hAnsi="Arial" w:cs="Arial"/>
          <w:sz w:val="18"/>
          <w:szCs w:val="18"/>
        </w:rPr>
        <w:t xml:space="preserve"> y los restantes con becas de la Secretaría de Educación Pública y de la propia institución, en este periodo egresaron 14 alumnos e igual número se titularon en los diferentes programas que se ofrecen en El Colegio. Mención especial es informar que la sociedad en general y principalmente la población con nivel académico superior se han beneficiado con el fortalecimiento de la Biblioteca Víctor L. </w:t>
      </w:r>
      <w:proofErr w:type="spellStart"/>
      <w:r w:rsidRPr="000037D6">
        <w:rPr>
          <w:rFonts w:ascii="Arial" w:hAnsi="Arial" w:cs="Arial"/>
          <w:sz w:val="18"/>
          <w:szCs w:val="18"/>
        </w:rPr>
        <w:t>Urquídi</w:t>
      </w:r>
      <w:proofErr w:type="spellEnd"/>
      <w:r w:rsidRPr="000037D6">
        <w:rPr>
          <w:rFonts w:ascii="Arial" w:hAnsi="Arial" w:cs="Arial"/>
          <w:sz w:val="18"/>
          <w:szCs w:val="18"/>
        </w:rPr>
        <w:t xml:space="preserve"> especializada en desarrollo económico y regional, migración, género, medio ambiente, urbanismo, desarrollo local, ciencia política, gerencia pública y turismo que cuenta con un acervo físico de 14,191 libros, 3,111 revistas especializadas y acceso a la plataforma digital de EBSCO International con tres bases de datos que son </w:t>
      </w:r>
      <w:proofErr w:type="spellStart"/>
      <w:r w:rsidRPr="000037D6">
        <w:rPr>
          <w:rFonts w:ascii="Arial" w:hAnsi="Arial" w:cs="Arial"/>
          <w:sz w:val="18"/>
          <w:szCs w:val="18"/>
        </w:rPr>
        <w:t>eBooks</w:t>
      </w:r>
      <w:proofErr w:type="spellEnd"/>
      <w:r w:rsidRPr="000037D6">
        <w:rPr>
          <w:rFonts w:ascii="Arial" w:hAnsi="Arial" w:cs="Arial"/>
          <w:sz w:val="18"/>
          <w:szCs w:val="18"/>
        </w:rPr>
        <w:t xml:space="preserve"> </w:t>
      </w:r>
      <w:proofErr w:type="spellStart"/>
      <w:r w:rsidRPr="000037D6">
        <w:rPr>
          <w:rFonts w:ascii="Arial" w:hAnsi="Arial" w:cs="Arial"/>
          <w:sz w:val="18"/>
          <w:szCs w:val="18"/>
        </w:rPr>
        <w:t>Academic</w:t>
      </w:r>
      <w:proofErr w:type="spellEnd"/>
      <w:r w:rsidRPr="000037D6">
        <w:rPr>
          <w:rFonts w:ascii="Arial" w:hAnsi="Arial" w:cs="Arial"/>
          <w:sz w:val="18"/>
          <w:szCs w:val="18"/>
        </w:rPr>
        <w:t xml:space="preserve"> </w:t>
      </w:r>
      <w:proofErr w:type="spellStart"/>
      <w:r w:rsidRPr="000037D6">
        <w:rPr>
          <w:rFonts w:ascii="Arial" w:hAnsi="Arial" w:cs="Arial"/>
          <w:sz w:val="18"/>
          <w:szCs w:val="18"/>
        </w:rPr>
        <w:t>Collection</w:t>
      </w:r>
      <w:proofErr w:type="spellEnd"/>
      <w:r w:rsidRPr="000037D6">
        <w:rPr>
          <w:rFonts w:ascii="Arial" w:hAnsi="Arial" w:cs="Arial"/>
          <w:sz w:val="18"/>
          <w:szCs w:val="18"/>
        </w:rPr>
        <w:t xml:space="preserve">, </w:t>
      </w:r>
      <w:proofErr w:type="spellStart"/>
      <w:r w:rsidRPr="000037D6">
        <w:rPr>
          <w:rFonts w:ascii="Arial" w:hAnsi="Arial" w:cs="Arial"/>
          <w:sz w:val="18"/>
          <w:szCs w:val="18"/>
        </w:rPr>
        <w:t>Econlit</w:t>
      </w:r>
      <w:proofErr w:type="spellEnd"/>
      <w:r w:rsidRPr="000037D6">
        <w:rPr>
          <w:rFonts w:ascii="Arial" w:hAnsi="Arial" w:cs="Arial"/>
          <w:sz w:val="18"/>
          <w:szCs w:val="18"/>
        </w:rPr>
        <w:t xml:space="preserve"> </w:t>
      </w:r>
      <w:proofErr w:type="spellStart"/>
      <w:r w:rsidRPr="000037D6">
        <w:rPr>
          <w:rFonts w:ascii="Arial" w:hAnsi="Arial" w:cs="Arial"/>
          <w:sz w:val="18"/>
          <w:szCs w:val="18"/>
        </w:rPr>
        <w:t>with</w:t>
      </w:r>
      <w:proofErr w:type="spellEnd"/>
      <w:r w:rsidRPr="000037D6">
        <w:rPr>
          <w:rFonts w:ascii="Arial" w:hAnsi="Arial" w:cs="Arial"/>
          <w:sz w:val="18"/>
          <w:szCs w:val="18"/>
        </w:rPr>
        <w:t xml:space="preserve"> Full Text y Fuente Académica Premier, con acceso a 438,916 libros y 26 títulos de revistas, 134,997 tesis, 158 bases de datos especiales y 2,600 mapas.</w:t>
      </w:r>
    </w:p>
    <w:p w:rsidR="000037D6" w:rsidRPr="000037D6" w:rsidRDefault="000037D6" w:rsidP="000037D6">
      <w:pPr>
        <w:spacing w:line="240" w:lineRule="auto"/>
        <w:jc w:val="both"/>
        <w:rPr>
          <w:rFonts w:ascii="Arial" w:hAnsi="Arial" w:cs="Arial"/>
          <w:sz w:val="18"/>
          <w:szCs w:val="18"/>
        </w:rPr>
      </w:pPr>
      <w:r w:rsidRPr="000037D6">
        <w:rPr>
          <w:rFonts w:ascii="Arial" w:hAnsi="Arial" w:cs="Arial"/>
          <w:sz w:val="18"/>
          <w:szCs w:val="18"/>
        </w:rPr>
        <w:t>2.12.1.3 Orientar los programas de premios y estímulos de ciencia y tecnología del estado para que permitan, además de reconocer las trayectorias de destacados investigadores, privilegiar las investigaciones que demuestren excelencia o un impacto directo sobre la población del estado y su desarrollo.</w:t>
      </w:r>
    </w:p>
    <w:p w:rsidR="000037D6" w:rsidRPr="000037D6" w:rsidRDefault="000037D6" w:rsidP="000037D6">
      <w:pPr>
        <w:spacing w:line="240" w:lineRule="auto"/>
        <w:jc w:val="both"/>
        <w:rPr>
          <w:rFonts w:ascii="Arial" w:hAnsi="Arial" w:cs="Arial"/>
          <w:sz w:val="18"/>
          <w:szCs w:val="18"/>
        </w:rPr>
      </w:pPr>
      <w:r w:rsidRPr="000037D6">
        <w:rPr>
          <w:rFonts w:ascii="Arial" w:hAnsi="Arial" w:cs="Arial"/>
          <w:sz w:val="18"/>
          <w:szCs w:val="18"/>
        </w:rPr>
        <w:t>En El Colegio de Tlaxcala, A.C. se establecieron lazos de cooperación con los sectores sociales a través de vínculos institucionales mediante el Centro Interdisciplinario de Servicios Especializados realizando 36 capacitaciones a diferentes instituciones estatales y municipales; además 54 eventos de difusión sobre la oferta educativa de El Colegio así como la socialización de los resultados de investigación; se suscribieron 9 convenios de colaboración para la investigación, intercambio y movilidad tanto de alumnos como de profesores entre los que destacan, con el Instituto de Competitividad Turística, la Universidad de Siena en Italia, la Universidad Intercultural del Estado de Puebla, el Colegio de Posgraduados Campus Puebla, así como con diversas dependencias estatales y dependencias federales con delegaciones en el estado.</w:t>
      </w:r>
    </w:p>
    <w:p w:rsidR="00112C82" w:rsidRDefault="000037D6" w:rsidP="000037D6">
      <w:pPr>
        <w:jc w:val="both"/>
        <w:rPr>
          <w:rFonts w:ascii="Arial" w:hAnsi="Arial" w:cs="Arial"/>
          <w:sz w:val="18"/>
          <w:szCs w:val="18"/>
        </w:rPr>
      </w:pPr>
      <w:r w:rsidRPr="000037D6">
        <w:rPr>
          <w:rFonts w:ascii="Arial" w:hAnsi="Arial" w:cs="Arial"/>
          <w:sz w:val="18"/>
          <w:szCs w:val="18"/>
        </w:rPr>
        <w:t>“Construir y Crecer Juntos” y “Saber y Ciencia para un Desarrollo Justo y Sustentable”, son decretos que posicionan al El Colegio como un centro público de investigación, un centro de docencia de excelencia y una fuente profesional de alta calidad para asesoría y capacitación.</w:t>
      </w:r>
    </w:p>
    <w:p w:rsidR="00441A0E" w:rsidRPr="000037D6" w:rsidRDefault="00441A0E" w:rsidP="000037D6">
      <w:pPr>
        <w:jc w:val="both"/>
        <w:rPr>
          <w:rFonts w:ascii="Arial" w:hAnsi="Arial" w:cs="Arial"/>
          <w:sz w:val="18"/>
          <w:szCs w:val="18"/>
        </w:rPr>
      </w:pPr>
      <w:bookmarkStart w:id="0" w:name="_GoBack"/>
      <w:bookmarkEnd w:id="0"/>
    </w:p>
    <w:p w:rsidR="00724B8C" w:rsidRDefault="00724B8C" w:rsidP="00724B8C">
      <w:pPr>
        <w:jc w:val="center"/>
        <w:rPr>
          <w:rFonts w:ascii="Arial" w:hAnsi="Arial" w:cs="Arial"/>
          <w:sz w:val="18"/>
          <w:szCs w:val="18"/>
        </w:rPr>
      </w:pPr>
      <w:r>
        <w:rPr>
          <w:rFonts w:ascii="Arial" w:hAnsi="Arial" w:cs="Arial"/>
          <w:sz w:val="18"/>
          <w:szCs w:val="18"/>
        </w:rPr>
        <w:lastRenderedPageBreak/>
        <w:t>El contenido de la presente</w:t>
      </w:r>
      <w:r w:rsidR="00807A25">
        <w:rPr>
          <w:rFonts w:ascii="Arial" w:hAnsi="Arial" w:cs="Arial"/>
          <w:sz w:val="18"/>
          <w:szCs w:val="18"/>
        </w:rPr>
        <w:t xml:space="preserve"> Cuenta Pública Armonizada es</w:t>
      </w:r>
      <w:r w:rsidR="00703A12">
        <w:rPr>
          <w:rFonts w:ascii="Arial" w:hAnsi="Arial" w:cs="Arial"/>
          <w:sz w:val="18"/>
          <w:szCs w:val="18"/>
        </w:rPr>
        <w:t xml:space="preserve"> de acuerdo al siguiente</w:t>
      </w:r>
    </w:p>
    <w:p w:rsidR="00703A12" w:rsidRPr="00703A12" w:rsidRDefault="00703A12" w:rsidP="00724B8C">
      <w:pPr>
        <w:jc w:val="center"/>
        <w:rPr>
          <w:rFonts w:ascii="Arial" w:hAnsi="Arial" w:cs="Arial"/>
          <w:b/>
          <w:sz w:val="18"/>
          <w:szCs w:val="18"/>
        </w:rPr>
      </w:pPr>
      <w:r w:rsidRPr="00703A12">
        <w:rPr>
          <w:rFonts w:ascii="Arial" w:hAnsi="Arial" w:cs="Arial"/>
          <w:b/>
          <w:sz w:val="18"/>
          <w:szCs w:val="18"/>
        </w:rPr>
        <w:t>I N D I C E:</w:t>
      </w: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INTRODUCCIÓN</w:t>
      </w:r>
    </w:p>
    <w:p w:rsidR="00703A12" w:rsidRDefault="00703A12" w:rsidP="00703A12">
      <w:pPr>
        <w:pStyle w:val="Prrafodelista"/>
        <w:ind w:left="1080"/>
        <w:jc w:val="both"/>
        <w:rPr>
          <w:rFonts w:ascii="Arial" w:hAnsi="Arial" w:cs="Arial"/>
          <w:sz w:val="18"/>
          <w:szCs w:val="18"/>
        </w:rPr>
      </w:pPr>
    </w:p>
    <w:p w:rsidR="00724B8C" w:rsidRDefault="00C27F12" w:rsidP="00724B8C">
      <w:pPr>
        <w:pStyle w:val="Prrafodelista"/>
        <w:numPr>
          <w:ilvl w:val="0"/>
          <w:numId w:val="6"/>
        </w:numPr>
        <w:jc w:val="both"/>
        <w:rPr>
          <w:rFonts w:ascii="Arial" w:hAnsi="Arial" w:cs="Arial"/>
          <w:sz w:val="18"/>
          <w:szCs w:val="18"/>
        </w:rPr>
      </w:pPr>
      <w:r>
        <w:rPr>
          <w:rFonts w:ascii="Arial" w:hAnsi="Arial" w:cs="Arial"/>
          <w:sz w:val="18"/>
          <w:szCs w:val="18"/>
        </w:rPr>
        <w:t>INFORMACI</w:t>
      </w:r>
      <w:r w:rsidR="00724B8C">
        <w:rPr>
          <w:rFonts w:ascii="Arial" w:hAnsi="Arial" w:cs="Arial"/>
          <w:sz w:val="18"/>
          <w:szCs w:val="18"/>
        </w:rPr>
        <w:t>ON CONTABLE</w:t>
      </w:r>
    </w:p>
    <w:p w:rsidR="00703A12" w:rsidRPr="00703A12" w:rsidRDefault="00703A12" w:rsidP="00703A12">
      <w:pPr>
        <w:pStyle w:val="Prrafodelista"/>
        <w:rPr>
          <w:rFonts w:ascii="Arial" w:hAnsi="Arial" w:cs="Arial"/>
          <w:sz w:val="18"/>
          <w:szCs w:val="18"/>
        </w:rPr>
      </w:pPr>
    </w:p>
    <w:p w:rsidR="00703A12" w:rsidRDefault="00703A12" w:rsidP="00703A12">
      <w:pPr>
        <w:pStyle w:val="Prrafodelista"/>
        <w:ind w:left="1080"/>
        <w:jc w:val="both"/>
        <w:rPr>
          <w:rFonts w:ascii="Arial" w:hAnsi="Arial" w:cs="Arial"/>
          <w:sz w:val="18"/>
          <w:szCs w:val="18"/>
        </w:rPr>
      </w:pP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Actividades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Cambios en la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del Activo</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 la Deuda y Otros Pasivos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Variación de la Hacienda Pública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Flujos de Efectivo</w:t>
      </w:r>
    </w:p>
    <w:p w:rsidR="00841EB9" w:rsidRDefault="007B145A" w:rsidP="007B145A">
      <w:pPr>
        <w:pStyle w:val="Prrafodelista"/>
        <w:ind w:left="1440"/>
        <w:jc w:val="both"/>
        <w:rPr>
          <w:rFonts w:ascii="Arial" w:hAnsi="Arial" w:cs="Arial"/>
          <w:sz w:val="18"/>
          <w:szCs w:val="18"/>
        </w:rPr>
      </w:pPr>
      <w:r>
        <w:rPr>
          <w:rFonts w:ascii="Arial" w:hAnsi="Arial" w:cs="Arial"/>
          <w:sz w:val="18"/>
          <w:szCs w:val="18"/>
        </w:rPr>
        <w:t xml:space="preserve">Informe de Pasivos Contingentes </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Notas a los Estados Financieros</w:t>
      </w:r>
      <w:r w:rsidR="00A11EBA">
        <w:rPr>
          <w:rFonts w:ascii="Arial" w:hAnsi="Arial" w:cs="Arial"/>
          <w:sz w:val="18"/>
          <w:szCs w:val="18"/>
        </w:rPr>
        <w:t>:</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Desglose</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Memoria (Cuentas de Orden)</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Gestión Administrativa</w:t>
      </w:r>
    </w:p>
    <w:p w:rsidR="00703A12" w:rsidRDefault="00703A12" w:rsidP="007B145A">
      <w:pPr>
        <w:pStyle w:val="Prrafodelista"/>
        <w:ind w:left="1440"/>
        <w:jc w:val="both"/>
        <w:rPr>
          <w:rFonts w:ascii="Arial" w:hAnsi="Arial" w:cs="Arial"/>
          <w:sz w:val="18"/>
          <w:szCs w:val="18"/>
        </w:rPr>
      </w:pPr>
    </w:p>
    <w:p w:rsidR="00A11EBA" w:rsidRDefault="00A11EBA" w:rsidP="00A11EBA">
      <w:pPr>
        <w:pStyle w:val="Prrafodelista"/>
        <w:numPr>
          <w:ilvl w:val="0"/>
          <w:numId w:val="6"/>
        </w:numPr>
        <w:jc w:val="both"/>
        <w:rPr>
          <w:rFonts w:ascii="Arial" w:hAnsi="Arial" w:cs="Arial"/>
          <w:sz w:val="18"/>
          <w:szCs w:val="18"/>
        </w:rPr>
      </w:pPr>
      <w:r>
        <w:rPr>
          <w:rFonts w:ascii="Arial" w:hAnsi="Arial" w:cs="Arial"/>
          <w:sz w:val="18"/>
          <w:szCs w:val="18"/>
        </w:rPr>
        <w:t>INFORMACIÓN PRESUPUESTARIA</w:t>
      </w:r>
    </w:p>
    <w:p w:rsidR="00703A12" w:rsidRDefault="00703A12" w:rsidP="00703A12">
      <w:pPr>
        <w:pStyle w:val="Prrafodelista"/>
        <w:ind w:left="1080"/>
        <w:jc w:val="both"/>
        <w:rPr>
          <w:rFonts w:ascii="Arial" w:hAnsi="Arial" w:cs="Arial"/>
          <w:sz w:val="18"/>
          <w:szCs w:val="18"/>
        </w:rPr>
      </w:pP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 Ingresos (Por Rubro y por Fuente de Financiamiento)</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Administrativa</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por Objeto del Gasto (Capítulo y Concepto)</w:t>
      </w:r>
    </w:p>
    <w:p w:rsidR="001537CF" w:rsidRDefault="001537C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Económica (Por Tipo de Gasto</w:t>
      </w:r>
      <w:r w:rsidR="0094454A">
        <w:rPr>
          <w:rFonts w:ascii="Arial" w:hAnsi="Arial" w:cs="Arial"/>
          <w:sz w:val="18"/>
          <w:szCs w:val="18"/>
        </w:rPr>
        <w:t>)</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Funcional (Finalidad y Función)</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Endeudamiento Neto</w:t>
      </w:r>
    </w:p>
    <w:p w:rsidR="0094454A" w:rsidRDefault="00656D62" w:rsidP="00BC4EFF">
      <w:pPr>
        <w:pStyle w:val="Prrafodelista"/>
        <w:numPr>
          <w:ilvl w:val="0"/>
          <w:numId w:val="8"/>
        </w:numPr>
        <w:jc w:val="both"/>
        <w:rPr>
          <w:rFonts w:ascii="Arial" w:hAnsi="Arial" w:cs="Arial"/>
          <w:sz w:val="18"/>
          <w:szCs w:val="18"/>
        </w:rPr>
      </w:pPr>
      <w:r>
        <w:rPr>
          <w:rFonts w:ascii="Arial" w:hAnsi="Arial" w:cs="Arial"/>
          <w:sz w:val="18"/>
          <w:szCs w:val="18"/>
        </w:rPr>
        <w:t>Intereses de la deuda</w:t>
      </w:r>
    </w:p>
    <w:p w:rsidR="00656D62" w:rsidRDefault="00986C92" w:rsidP="00656D62">
      <w:pPr>
        <w:pStyle w:val="Prrafodelista"/>
        <w:numPr>
          <w:ilvl w:val="0"/>
          <w:numId w:val="8"/>
        </w:numPr>
        <w:jc w:val="both"/>
        <w:rPr>
          <w:rFonts w:ascii="Arial" w:hAnsi="Arial" w:cs="Arial"/>
          <w:sz w:val="18"/>
          <w:szCs w:val="18"/>
        </w:rPr>
      </w:pPr>
      <w:r>
        <w:rPr>
          <w:rFonts w:ascii="Arial" w:hAnsi="Arial" w:cs="Arial"/>
          <w:sz w:val="18"/>
          <w:szCs w:val="18"/>
        </w:rPr>
        <w:t>Indicadores de Postura Fiscal</w:t>
      </w:r>
    </w:p>
    <w:p w:rsidR="00703A12" w:rsidRDefault="00703A12" w:rsidP="00703A12">
      <w:pPr>
        <w:pStyle w:val="Prrafodelista"/>
        <w:ind w:left="1440"/>
        <w:jc w:val="both"/>
        <w:rPr>
          <w:rFonts w:ascii="Arial" w:hAnsi="Arial" w:cs="Arial"/>
          <w:sz w:val="18"/>
          <w:szCs w:val="18"/>
        </w:rPr>
      </w:pPr>
    </w:p>
    <w:p w:rsidR="00986C92" w:rsidRDefault="00656D62" w:rsidP="00656D62">
      <w:pPr>
        <w:pStyle w:val="Prrafodelista"/>
        <w:numPr>
          <w:ilvl w:val="0"/>
          <w:numId w:val="6"/>
        </w:numPr>
        <w:jc w:val="both"/>
        <w:rPr>
          <w:rFonts w:ascii="Arial" w:hAnsi="Arial" w:cs="Arial"/>
          <w:sz w:val="18"/>
          <w:szCs w:val="18"/>
        </w:rPr>
      </w:pPr>
      <w:r>
        <w:rPr>
          <w:rFonts w:ascii="Arial" w:hAnsi="Arial" w:cs="Arial"/>
          <w:sz w:val="18"/>
          <w:szCs w:val="18"/>
        </w:rPr>
        <w:t>INFORMACIÓN PROGRÁMATICA</w:t>
      </w:r>
    </w:p>
    <w:p w:rsidR="00703A12" w:rsidRDefault="00DC6C73" w:rsidP="00DC6C73">
      <w:pPr>
        <w:pStyle w:val="Prrafodelista"/>
        <w:tabs>
          <w:tab w:val="left" w:pos="9410"/>
        </w:tabs>
        <w:ind w:left="1080"/>
        <w:jc w:val="both"/>
        <w:rPr>
          <w:rFonts w:ascii="Arial" w:hAnsi="Arial" w:cs="Arial"/>
          <w:sz w:val="18"/>
          <w:szCs w:val="18"/>
        </w:rPr>
      </w:pPr>
      <w:r>
        <w:rPr>
          <w:rFonts w:ascii="Arial" w:hAnsi="Arial" w:cs="Arial"/>
          <w:sz w:val="18"/>
          <w:szCs w:val="18"/>
        </w:rPr>
        <w:tab/>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Gasto por Categoría Programática</w:t>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Programas y Proyectos de Inversión</w:t>
      </w:r>
    </w:p>
    <w:p w:rsidR="00703A12" w:rsidRDefault="00986C92" w:rsidP="00703A12">
      <w:pPr>
        <w:pStyle w:val="Prrafodelista"/>
        <w:numPr>
          <w:ilvl w:val="0"/>
          <w:numId w:val="9"/>
        </w:numPr>
        <w:jc w:val="both"/>
        <w:rPr>
          <w:rFonts w:ascii="Arial" w:hAnsi="Arial" w:cs="Arial"/>
          <w:sz w:val="18"/>
          <w:szCs w:val="18"/>
        </w:rPr>
      </w:pPr>
      <w:r>
        <w:rPr>
          <w:rFonts w:ascii="Arial" w:hAnsi="Arial" w:cs="Arial"/>
          <w:sz w:val="18"/>
          <w:szCs w:val="18"/>
        </w:rPr>
        <w:t>Indicadores de Resultados</w:t>
      </w:r>
    </w:p>
    <w:p w:rsidR="00703A12" w:rsidRPr="00703A12" w:rsidRDefault="00703A12" w:rsidP="00703A12">
      <w:pPr>
        <w:pStyle w:val="Prrafodelista"/>
        <w:ind w:left="1440"/>
        <w:jc w:val="both"/>
        <w:rPr>
          <w:rFonts w:ascii="Arial" w:hAnsi="Arial" w:cs="Arial"/>
          <w:sz w:val="18"/>
          <w:szCs w:val="18"/>
        </w:rPr>
      </w:pPr>
    </w:p>
    <w:p w:rsidR="00986C92" w:rsidRDefault="00986C92" w:rsidP="00986C92">
      <w:pPr>
        <w:pStyle w:val="Prrafodelista"/>
        <w:numPr>
          <w:ilvl w:val="0"/>
          <w:numId w:val="6"/>
        </w:numPr>
        <w:jc w:val="both"/>
        <w:rPr>
          <w:rFonts w:ascii="Arial" w:hAnsi="Arial" w:cs="Arial"/>
          <w:sz w:val="18"/>
          <w:szCs w:val="18"/>
        </w:rPr>
      </w:pPr>
      <w:r>
        <w:rPr>
          <w:rFonts w:ascii="Arial" w:hAnsi="Arial" w:cs="Arial"/>
          <w:sz w:val="18"/>
          <w:szCs w:val="18"/>
        </w:rPr>
        <w:lastRenderedPageBreak/>
        <w:t>ANEXOS</w:t>
      </w:r>
    </w:p>
    <w:p w:rsidR="00703A12" w:rsidRDefault="00703A12" w:rsidP="00703A12">
      <w:pPr>
        <w:pStyle w:val="Prrafodelista"/>
        <w:ind w:left="1080"/>
        <w:jc w:val="both"/>
        <w:rPr>
          <w:rFonts w:ascii="Arial" w:hAnsi="Arial" w:cs="Arial"/>
          <w:sz w:val="18"/>
          <w:szCs w:val="18"/>
        </w:rPr>
      </w:pPr>
    </w:p>
    <w:p w:rsidR="00656D6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Inmuebles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cuentas Bancarias Productivas Específicas</w:t>
      </w:r>
    </w:p>
    <w:p w:rsidR="009D1B13" w:rsidRDefault="00986C92" w:rsidP="009D1B13">
      <w:pPr>
        <w:pStyle w:val="Prrafodelista"/>
        <w:numPr>
          <w:ilvl w:val="0"/>
          <w:numId w:val="10"/>
        </w:numPr>
        <w:jc w:val="both"/>
        <w:rPr>
          <w:rFonts w:ascii="Arial" w:hAnsi="Arial" w:cs="Arial"/>
          <w:sz w:val="18"/>
          <w:szCs w:val="18"/>
        </w:rPr>
      </w:pPr>
      <w:r w:rsidRPr="00986C92">
        <w:rPr>
          <w:rFonts w:ascii="Arial" w:hAnsi="Arial" w:cs="Arial"/>
          <w:sz w:val="18"/>
          <w:szCs w:val="18"/>
        </w:rPr>
        <w:t>Relación de Esquemas Bursátiles y de Coberturas Financieras</w:t>
      </w:r>
    </w:p>
    <w:p w:rsidR="009D1B13" w:rsidRDefault="009D1B13" w:rsidP="009D1B13">
      <w:pPr>
        <w:pStyle w:val="Prrafodelista"/>
        <w:ind w:left="1440"/>
        <w:jc w:val="both"/>
        <w:rPr>
          <w:rFonts w:ascii="Arial" w:hAnsi="Arial" w:cs="Arial"/>
          <w:sz w:val="18"/>
          <w:szCs w:val="18"/>
        </w:rPr>
      </w:pPr>
    </w:p>
    <w:p w:rsidR="009D1B13" w:rsidRDefault="009D1B13" w:rsidP="009D1B13">
      <w:pPr>
        <w:pStyle w:val="Prrafodelista"/>
        <w:numPr>
          <w:ilvl w:val="0"/>
          <w:numId w:val="6"/>
        </w:numPr>
        <w:jc w:val="both"/>
        <w:rPr>
          <w:rFonts w:ascii="Arial" w:hAnsi="Arial" w:cs="Arial"/>
          <w:sz w:val="18"/>
          <w:szCs w:val="18"/>
        </w:rPr>
      </w:pPr>
      <w:r>
        <w:rPr>
          <w:rFonts w:ascii="Arial" w:hAnsi="Arial" w:cs="Arial"/>
          <w:sz w:val="18"/>
          <w:szCs w:val="18"/>
        </w:rPr>
        <w:t>LEY DE DISCIPLINA FINANCIERA</w:t>
      </w:r>
    </w:p>
    <w:p w:rsidR="009D1B13" w:rsidRDefault="009D1B13" w:rsidP="009D1B13">
      <w:pPr>
        <w:pStyle w:val="Prrafodelista"/>
        <w:ind w:left="1080"/>
        <w:jc w:val="both"/>
        <w:rPr>
          <w:rFonts w:ascii="Arial" w:hAnsi="Arial" w:cs="Arial"/>
          <w:sz w:val="18"/>
          <w:szCs w:val="18"/>
        </w:rPr>
      </w:pPr>
    </w:p>
    <w:p w:rsidR="009D1B13" w:rsidRDefault="009D1B13" w:rsidP="009D1B13">
      <w:pPr>
        <w:pStyle w:val="Prrafodelista"/>
        <w:numPr>
          <w:ilvl w:val="0"/>
          <w:numId w:val="11"/>
        </w:numPr>
        <w:jc w:val="both"/>
        <w:rPr>
          <w:rFonts w:ascii="Arial" w:hAnsi="Arial" w:cs="Arial"/>
          <w:sz w:val="18"/>
          <w:szCs w:val="18"/>
        </w:rPr>
      </w:pPr>
      <w:r>
        <w:rPr>
          <w:rFonts w:ascii="Arial" w:hAnsi="Arial" w:cs="Arial"/>
          <w:sz w:val="18"/>
          <w:szCs w:val="18"/>
        </w:rPr>
        <w:t>Estado de Situación Financiera Detallado</w:t>
      </w:r>
    </w:p>
    <w:p w:rsidR="009D1B13"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Informe de Analítico de la Deuda Pública y Otros Pasivos</w:t>
      </w:r>
    </w:p>
    <w:p w:rsidR="006E1E0E"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Informe Analítico de Obligaciones Diferentes de Financiamientos</w:t>
      </w:r>
    </w:p>
    <w:p w:rsidR="006E1E0E"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Balance Presupuestario</w:t>
      </w:r>
    </w:p>
    <w:p w:rsidR="006E1E0E"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Estado Analítico de Ingresos Detallado</w:t>
      </w:r>
    </w:p>
    <w:p w:rsidR="006E1E0E" w:rsidRDefault="006E1E0E" w:rsidP="006E1E0E">
      <w:pPr>
        <w:ind w:left="1080"/>
        <w:jc w:val="both"/>
        <w:rPr>
          <w:rFonts w:ascii="Arial" w:hAnsi="Arial" w:cs="Arial"/>
          <w:sz w:val="18"/>
          <w:szCs w:val="18"/>
        </w:rPr>
      </w:pPr>
      <w:r w:rsidRPr="006E1E0E">
        <w:rPr>
          <w:rFonts w:ascii="Arial" w:hAnsi="Arial" w:cs="Arial"/>
          <w:sz w:val="18"/>
          <w:szCs w:val="18"/>
        </w:rPr>
        <w:t>6a. Estado Analítico del Ejercicio del Presupuesto de Egresos Detallado</w:t>
      </w:r>
    </w:p>
    <w:p w:rsidR="006E1E0E" w:rsidRDefault="004C7F7B" w:rsidP="006E1E0E">
      <w:pPr>
        <w:ind w:left="1080"/>
        <w:jc w:val="both"/>
        <w:rPr>
          <w:rFonts w:ascii="Arial" w:hAnsi="Arial" w:cs="Arial"/>
          <w:sz w:val="18"/>
          <w:szCs w:val="18"/>
        </w:rPr>
      </w:pPr>
      <w:r>
        <w:rPr>
          <w:rFonts w:ascii="Arial" w:hAnsi="Arial" w:cs="Arial"/>
          <w:sz w:val="18"/>
          <w:szCs w:val="18"/>
        </w:rPr>
        <w:tab/>
        <w:t>Clasificación por Objeto del Gasto (Capítulo y Concepto)</w:t>
      </w:r>
    </w:p>
    <w:p w:rsidR="006E1E0E" w:rsidRDefault="006E1E0E" w:rsidP="006E1E0E">
      <w:pPr>
        <w:ind w:left="1080"/>
        <w:jc w:val="both"/>
        <w:rPr>
          <w:rFonts w:ascii="Arial" w:hAnsi="Arial" w:cs="Arial"/>
          <w:sz w:val="18"/>
          <w:szCs w:val="18"/>
        </w:rPr>
      </w:pPr>
      <w:r>
        <w:rPr>
          <w:rFonts w:ascii="Arial" w:hAnsi="Arial" w:cs="Arial"/>
          <w:sz w:val="18"/>
          <w:szCs w:val="18"/>
        </w:rPr>
        <w:t>6b. Estado Analítico del Ejercicio de Presupuesto de Egresos Detallado</w:t>
      </w:r>
    </w:p>
    <w:p w:rsidR="004C7F7B" w:rsidRDefault="004C7F7B" w:rsidP="006E1E0E">
      <w:pPr>
        <w:ind w:left="1080"/>
        <w:jc w:val="both"/>
        <w:rPr>
          <w:rFonts w:ascii="Arial" w:hAnsi="Arial" w:cs="Arial"/>
          <w:sz w:val="18"/>
          <w:szCs w:val="18"/>
        </w:rPr>
      </w:pPr>
      <w:r>
        <w:rPr>
          <w:rFonts w:ascii="Arial" w:hAnsi="Arial" w:cs="Arial"/>
          <w:sz w:val="18"/>
          <w:szCs w:val="18"/>
        </w:rPr>
        <w:tab/>
        <w:t>Clasificación Administrativa</w:t>
      </w:r>
    </w:p>
    <w:p w:rsidR="006E1E0E" w:rsidRDefault="006E1E0E" w:rsidP="006E1E0E">
      <w:pPr>
        <w:ind w:left="1080"/>
        <w:jc w:val="both"/>
        <w:rPr>
          <w:rFonts w:ascii="Arial" w:hAnsi="Arial" w:cs="Arial"/>
          <w:sz w:val="18"/>
          <w:szCs w:val="18"/>
        </w:rPr>
      </w:pPr>
      <w:r>
        <w:rPr>
          <w:rFonts w:ascii="Arial" w:hAnsi="Arial" w:cs="Arial"/>
          <w:sz w:val="18"/>
          <w:szCs w:val="18"/>
        </w:rPr>
        <w:t>6c. Estado Analítico del Ejercicio del Presupuesto de Egresos Detallado</w:t>
      </w:r>
    </w:p>
    <w:p w:rsidR="004C7F7B" w:rsidRDefault="004C7F7B" w:rsidP="006E1E0E">
      <w:pPr>
        <w:ind w:left="1080"/>
        <w:jc w:val="both"/>
        <w:rPr>
          <w:rFonts w:ascii="Arial" w:hAnsi="Arial" w:cs="Arial"/>
          <w:sz w:val="18"/>
          <w:szCs w:val="18"/>
        </w:rPr>
      </w:pPr>
      <w:r>
        <w:rPr>
          <w:rFonts w:ascii="Arial" w:hAnsi="Arial" w:cs="Arial"/>
          <w:sz w:val="18"/>
          <w:szCs w:val="18"/>
        </w:rPr>
        <w:tab/>
        <w:t>Clasificación Funcional (Funcionalidad y Función)</w:t>
      </w:r>
    </w:p>
    <w:p w:rsidR="006E1E0E" w:rsidRDefault="006E1E0E" w:rsidP="006E1E0E">
      <w:pPr>
        <w:ind w:left="1080"/>
        <w:jc w:val="both"/>
        <w:rPr>
          <w:rFonts w:ascii="Arial" w:hAnsi="Arial" w:cs="Arial"/>
          <w:sz w:val="18"/>
          <w:szCs w:val="18"/>
        </w:rPr>
      </w:pPr>
      <w:r>
        <w:rPr>
          <w:rFonts w:ascii="Arial" w:hAnsi="Arial" w:cs="Arial"/>
          <w:sz w:val="18"/>
          <w:szCs w:val="18"/>
        </w:rPr>
        <w:t>6d. Estado Analítico del Ejercicio del Presupuesto de Egresos Detallado</w:t>
      </w:r>
    </w:p>
    <w:p w:rsidR="004C7F7B" w:rsidRDefault="004C7F7B" w:rsidP="006E1E0E">
      <w:pPr>
        <w:ind w:left="1080"/>
        <w:jc w:val="both"/>
        <w:rPr>
          <w:rFonts w:ascii="Arial" w:hAnsi="Arial" w:cs="Arial"/>
          <w:sz w:val="18"/>
          <w:szCs w:val="18"/>
        </w:rPr>
      </w:pPr>
      <w:r>
        <w:rPr>
          <w:rFonts w:ascii="Arial" w:hAnsi="Arial" w:cs="Arial"/>
          <w:sz w:val="18"/>
          <w:szCs w:val="18"/>
        </w:rPr>
        <w:tab/>
        <w:t>Clasificación de Servicios Personales por Categoría</w:t>
      </w:r>
    </w:p>
    <w:p w:rsidR="004C7F7B" w:rsidRPr="006E1E0E" w:rsidRDefault="004C7F7B" w:rsidP="006E1E0E">
      <w:pPr>
        <w:ind w:left="1080"/>
        <w:jc w:val="both"/>
        <w:rPr>
          <w:rFonts w:ascii="Arial" w:hAnsi="Arial" w:cs="Arial"/>
          <w:sz w:val="18"/>
          <w:szCs w:val="18"/>
        </w:rPr>
      </w:pPr>
    </w:p>
    <w:sectPr w:rsidR="004C7F7B" w:rsidRPr="006E1E0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66" w:rsidRDefault="00F64866" w:rsidP="00EA5418">
      <w:pPr>
        <w:spacing w:after="0" w:line="240" w:lineRule="auto"/>
      </w:pPr>
      <w:r>
        <w:separator/>
      </w:r>
    </w:p>
  </w:endnote>
  <w:endnote w:type="continuationSeparator" w:id="0">
    <w:p w:rsidR="00F64866" w:rsidRDefault="00F6486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34CD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41A0E" w:rsidRPr="00441A0E">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A40F0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41A0E" w:rsidRPr="00441A0E">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66" w:rsidRDefault="00F64866" w:rsidP="00EA5418">
      <w:pPr>
        <w:spacing w:after="0" w:line="240" w:lineRule="auto"/>
      </w:pPr>
      <w:r>
        <w:separator/>
      </w:r>
    </w:p>
  </w:footnote>
  <w:footnote w:type="continuationSeparator" w:id="0">
    <w:p w:rsidR="00F64866" w:rsidRDefault="00F6486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C2917">
                                <w:rPr>
                                  <w:rFonts w:ascii="Soberana Titular" w:hAnsi="Soberana Titular" w:cs="Arial"/>
                                  <w:color w:val="808080" w:themeColor="background1" w:themeShade="80"/>
                                  <w:sz w:val="42"/>
                                  <w:szCs w:val="42"/>
                                </w:rPr>
                                <w:t>7</w:t>
                              </w:r>
                            </w:p>
                            <w:p w:rsidR="002C2917" w:rsidRDefault="002C2917"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C2917">
                          <w:rPr>
                            <w:rFonts w:ascii="Soberana Titular" w:hAnsi="Soberana Titular" w:cs="Arial"/>
                            <w:color w:val="808080" w:themeColor="background1" w:themeShade="80"/>
                            <w:sz w:val="42"/>
                            <w:szCs w:val="42"/>
                          </w:rPr>
                          <w:t>7</w:t>
                        </w:r>
                      </w:p>
                      <w:p w:rsidR="002C2917" w:rsidRDefault="002C2917"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C379D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64A0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02F6363"/>
    <w:multiLevelType w:val="hybridMultilevel"/>
    <w:tmpl w:val="90EAC9B6"/>
    <w:lvl w:ilvl="0" w:tplc="4EE4F33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B810D20"/>
    <w:multiLevelType w:val="hybridMultilevel"/>
    <w:tmpl w:val="8AC2BB52"/>
    <w:lvl w:ilvl="0" w:tplc="867CE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3A3023"/>
    <w:multiLevelType w:val="hybridMultilevel"/>
    <w:tmpl w:val="10D28C6A"/>
    <w:lvl w:ilvl="0" w:tplc="085ADD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36902E3"/>
    <w:multiLevelType w:val="hybridMultilevel"/>
    <w:tmpl w:val="D732397C"/>
    <w:lvl w:ilvl="0" w:tplc="9DFC400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1C42F0D"/>
    <w:multiLevelType w:val="hybridMultilevel"/>
    <w:tmpl w:val="24900CEC"/>
    <w:lvl w:ilvl="0" w:tplc="4336FA1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D347564"/>
    <w:multiLevelType w:val="hybridMultilevel"/>
    <w:tmpl w:val="734CACFE"/>
    <w:lvl w:ilvl="0" w:tplc="45BCC9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7D991EFF"/>
    <w:multiLevelType w:val="hybridMultilevel"/>
    <w:tmpl w:val="358EDA72"/>
    <w:lvl w:ilvl="0" w:tplc="4A1EED90">
      <w:start w:val="1"/>
      <w:numFmt w:val="lowerRoman"/>
      <w:lvlText w:val="%1."/>
      <w:lvlJc w:val="left"/>
      <w:pPr>
        <w:ind w:left="1080" w:hanging="72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5"/>
  </w:num>
  <w:num w:numId="7">
    <w:abstractNumId w:val="9"/>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3E3"/>
    <w:rsid w:val="000037D6"/>
    <w:rsid w:val="00006F1F"/>
    <w:rsid w:val="00040466"/>
    <w:rsid w:val="00056042"/>
    <w:rsid w:val="000759F1"/>
    <w:rsid w:val="00112C82"/>
    <w:rsid w:val="0013011C"/>
    <w:rsid w:val="00133AAD"/>
    <w:rsid w:val="001537CF"/>
    <w:rsid w:val="001646D9"/>
    <w:rsid w:val="001B1B72"/>
    <w:rsid w:val="002865A7"/>
    <w:rsid w:val="002A70B3"/>
    <w:rsid w:val="002C2917"/>
    <w:rsid w:val="002E5897"/>
    <w:rsid w:val="00307635"/>
    <w:rsid w:val="003460B0"/>
    <w:rsid w:val="00355821"/>
    <w:rsid w:val="003575A4"/>
    <w:rsid w:val="003610E0"/>
    <w:rsid w:val="00372F40"/>
    <w:rsid w:val="003D5DBF"/>
    <w:rsid w:val="003E7FD0"/>
    <w:rsid w:val="00441A0E"/>
    <w:rsid w:val="0044253C"/>
    <w:rsid w:val="00486AE1"/>
    <w:rsid w:val="00497D8B"/>
    <w:rsid w:val="004B63B8"/>
    <w:rsid w:val="004C7F7B"/>
    <w:rsid w:val="004D41B8"/>
    <w:rsid w:val="004F1C53"/>
    <w:rsid w:val="00502D8E"/>
    <w:rsid w:val="005117F4"/>
    <w:rsid w:val="00522632"/>
    <w:rsid w:val="00526762"/>
    <w:rsid w:val="00531310"/>
    <w:rsid w:val="00534982"/>
    <w:rsid w:val="00540418"/>
    <w:rsid w:val="00582405"/>
    <w:rsid w:val="005859FA"/>
    <w:rsid w:val="005B6C40"/>
    <w:rsid w:val="006048D2"/>
    <w:rsid w:val="00611E39"/>
    <w:rsid w:val="006216F8"/>
    <w:rsid w:val="00655D8D"/>
    <w:rsid w:val="00656D62"/>
    <w:rsid w:val="00676A23"/>
    <w:rsid w:val="006B729B"/>
    <w:rsid w:val="006E1E0E"/>
    <w:rsid w:val="006E6B8E"/>
    <w:rsid w:val="006E77DD"/>
    <w:rsid w:val="006F451F"/>
    <w:rsid w:val="00703A12"/>
    <w:rsid w:val="00724B8C"/>
    <w:rsid w:val="00727186"/>
    <w:rsid w:val="00741A26"/>
    <w:rsid w:val="0075305B"/>
    <w:rsid w:val="00783049"/>
    <w:rsid w:val="0079582C"/>
    <w:rsid w:val="007B145A"/>
    <w:rsid w:val="007B5824"/>
    <w:rsid w:val="007D6E9A"/>
    <w:rsid w:val="00807A25"/>
    <w:rsid w:val="00841EB9"/>
    <w:rsid w:val="00850E90"/>
    <w:rsid w:val="008A6E4D"/>
    <w:rsid w:val="008B0017"/>
    <w:rsid w:val="008D4272"/>
    <w:rsid w:val="008E3652"/>
    <w:rsid w:val="0094454A"/>
    <w:rsid w:val="00986C92"/>
    <w:rsid w:val="009D1B13"/>
    <w:rsid w:val="00A11EBA"/>
    <w:rsid w:val="00A14B74"/>
    <w:rsid w:val="00A43705"/>
    <w:rsid w:val="00AB13B7"/>
    <w:rsid w:val="00B17423"/>
    <w:rsid w:val="00B42A02"/>
    <w:rsid w:val="00B849EE"/>
    <w:rsid w:val="00BC4EFF"/>
    <w:rsid w:val="00C27F12"/>
    <w:rsid w:val="00C44F01"/>
    <w:rsid w:val="00CA2D37"/>
    <w:rsid w:val="00CC5CB6"/>
    <w:rsid w:val="00D055EC"/>
    <w:rsid w:val="00D17165"/>
    <w:rsid w:val="00D25636"/>
    <w:rsid w:val="00D404ED"/>
    <w:rsid w:val="00D51261"/>
    <w:rsid w:val="00D748D3"/>
    <w:rsid w:val="00D937D2"/>
    <w:rsid w:val="00DC6C73"/>
    <w:rsid w:val="00DD230F"/>
    <w:rsid w:val="00E202D8"/>
    <w:rsid w:val="00E23B2F"/>
    <w:rsid w:val="00E32708"/>
    <w:rsid w:val="00E41B63"/>
    <w:rsid w:val="00E41C47"/>
    <w:rsid w:val="00EA5418"/>
    <w:rsid w:val="00F64866"/>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420F0F-3056-4BD2-8197-42C1E957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5F05-C4E5-4902-B63B-59F449FE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Usuario24</cp:lastModifiedBy>
  <cp:revision>20</cp:revision>
  <cp:lastPrinted>2017-10-04T15:59:00Z</cp:lastPrinted>
  <dcterms:created xsi:type="dcterms:W3CDTF">2015-07-01T23:47:00Z</dcterms:created>
  <dcterms:modified xsi:type="dcterms:W3CDTF">2017-12-19T15:18:00Z</dcterms:modified>
</cp:coreProperties>
</file>