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40" w:rsidRDefault="00372F40" w:rsidP="008E3652">
      <w:pPr>
        <w:jc w:val="center"/>
      </w:pPr>
    </w:p>
    <w:p w:rsidR="00372F40" w:rsidRDefault="00372F40" w:rsidP="00522632">
      <w:pPr>
        <w:jc w:val="center"/>
      </w:pPr>
    </w:p>
    <w:p w:rsidR="00540418" w:rsidRPr="001E7F03" w:rsidRDefault="00540418" w:rsidP="001E7F03">
      <w:pPr>
        <w:ind w:left="360"/>
        <w:rPr>
          <w:rFonts w:ascii="Arial" w:hAnsi="Arial" w:cs="Arial"/>
          <w:sz w:val="18"/>
          <w:szCs w:val="18"/>
        </w:rPr>
      </w:pPr>
    </w:p>
    <w:p w:rsidR="00540418" w:rsidRPr="0073056A" w:rsidRDefault="00540418" w:rsidP="0073056A">
      <w:pPr>
        <w:pStyle w:val="Texto"/>
        <w:spacing w:after="0" w:line="276" w:lineRule="auto"/>
        <w:jc w:val="center"/>
        <w:rPr>
          <w:b/>
          <w:szCs w:val="18"/>
        </w:rPr>
      </w:pPr>
      <w:r w:rsidRPr="0073056A">
        <w:rPr>
          <w:b/>
          <w:szCs w:val="18"/>
        </w:rPr>
        <w:t>NOTAS A LOS ESTADOS FINANCIEROS</w:t>
      </w:r>
    </w:p>
    <w:p w:rsidR="00540418" w:rsidRDefault="00540418" w:rsidP="0073056A">
      <w:pPr>
        <w:pStyle w:val="Texto"/>
        <w:spacing w:after="0" w:line="276" w:lineRule="auto"/>
        <w:jc w:val="center"/>
        <w:rPr>
          <w:b/>
          <w:szCs w:val="18"/>
        </w:rPr>
      </w:pPr>
    </w:p>
    <w:p w:rsidR="00540418" w:rsidRPr="0073056A" w:rsidRDefault="00540418" w:rsidP="0073056A">
      <w:pPr>
        <w:pStyle w:val="Texto"/>
        <w:spacing w:after="0" w:line="276" w:lineRule="auto"/>
        <w:jc w:val="center"/>
        <w:rPr>
          <w:szCs w:val="18"/>
        </w:rPr>
      </w:pPr>
      <w:r w:rsidRPr="0073056A">
        <w:rPr>
          <w:b/>
          <w:szCs w:val="18"/>
        </w:rPr>
        <w:t>a) NOTAS DE DESGLOSE</w:t>
      </w:r>
    </w:p>
    <w:p w:rsidR="00540418" w:rsidRDefault="00540418" w:rsidP="0073056A">
      <w:pPr>
        <w:pStyle w:val="Texto"/>
        <w:spacing w:after="0" w:line="276" w:lineRule="auto"/>
        <w:rPr>
          <w:szCs w:val="18"/>
          <w:lang w:val="es-MX"/>
        </w:rPr>
      </w:pPr>
    </w:p>
    <w:p w:rsidR="0073056A" w:rsidRPr="0073056A" w:rsidRDefault="0073056A" w:rsidP="0073056A">
      <w:pPr>
        <w:pStyle w:val="Texto"/>
        <w:spacing w:after="0" w:line="276" w:lineRule="auto"/>
        <w:rPr>
          <w:szCs w:val="18"/>
          <w:lang w:val="es-MX"/>
        </w:rPr>
      </w:pPr>
    </w:p>
    <w:p w:rsidR="00540418" w:rsidRPr="0073056A" w:rsidRDefault="00540418" w:rsidP="0073056A">
      <w:pPr>
        <w:pStyle w:val="INCISO"/>
        <w:numPr>
          <w:ilvl w:val="0"/>
          <w:numId w:val="6"/>
        </w:numPr>
        <w:spacing w:after="0" w:line="276" w:lineRule="auto"/>
        <w:ind w:left="284" w:hanging="284"/>
        <w:rPr>
          <w:b/>
          <w:smallCaps/>
        </w:rPr>
      </w:pPr>
      <w:r w:rsidRPr="0073056A">
        <w:rPr>
          <w:b/>
          <w:smallCaps/>
        </w:rPr>
        <w:t>Notas al Estado de Situación Financiera</w:t>
      </w:r>
    </w:p>
    <w:p w:rsidR="00540418" w:rsidRPr="0073056A" w:rsidRDefault="00540418" w:rsidP="0073056A">
      <w:pPr>
        <w:pStyle w:val="Texto"/>
        <w:spacing w:after="0" w:line="276" w:lineRule="auto"/>
        <w:rPr>
          <w:b/>
          <w:szCs w:val="18"/>
          <w:lang w:val="es-MX"/>
        </w:rPr>
      </w:pPr>
    </w:p>
    <w:p w:rsidR="00540418" w:rsidRPr="0073056A" w:rsidRDefault="00540418" w:rsidP="0073056A">
      <w:pPr>
        <w:pStyle w:val="Texto"/>
        <w:spacing w:after="0" w:line="276" w:lineRule="auto"/>
        <w:rPr>
          <w:b/>
          <w:szCs w:val="18"/>
          <w:lang w:val="es-MX"/>
        </w:rPr>
      </w:pPr>
      <w:r w:rsidRPr="0073056A">
        <w:rPr>
          <w:b/>
          <w:szCs w:val="18"/>
          <w:lang w:val="es-MX"/>
        </w:rPr>
        <w:t>Activo</w:t>
      </w:r>
    </w:p>
    <w:p w:rsidR="003527CD" w:rsidRPr="0073056A" w:rsidRDefault="003527CD" w:rsidP="0073056A">
      <w:pPr>
        <w:ind w:left="284"/>
        <w:jc w:val="both"/>
        <w:rPr>
          <w:rFonts w:ascii="Arial" w:hAnsi="Arial" w:cs="Arial"/>
          <w:sz w:val="18"/>
          <w:szCs w:val="18"/>
        </w:rPr>
      </w:pPr>
      <w:r w:rsidRPr="0073056A">
        <w:rPr>
          <w:rFonts w:ascii="Arial" w:hAnsi="Arial" w:cs="Arial"/>
          <w:sz w:val="18"/>
          <w:szCs w:val="18"/>
        </w:rPr>
        <w:t>Al activo los conforman los recursos a cargo del Poder Ejecutivo del Estado de Tlaxcala, mismos que son identificados y cuantificados en términos monetarios, de los que se esperan beneficios económicos futuros, derivado de operaciones ocurridas en el pasado.</w:t>
      </w:r>
    </w:p>
    <w:p w:rsidR="00C50527" w:rsidRDefault="00C50527" w:rsidP="0073056A">
      <w:pPr>
        <w:pStyle w:val="Texto"/>
        <w:spacing w:after="0" w:line="276" w:lineRule="auto"/>
        <w:ind w:firstLine="284"/>
        <w:rPr>
          <w:b/>
          <w:szCs w:val="18"/>
          <w:lang w:val="es-MX"/>
        </w:rPr>
      </w:pPr>
    </w:p>
    <w:p w:rsidR="00540418" w:rsidRPr="0073056A" w:rsidRDefault="00540418" w:rsidP="0073056A">
      <w:pPr>
        <w:pStyle w:val="Texto"/>
        <w:spacing w:after="0" w:line="276" w:lineRule="auto"/>
        <w:ind w:firstLine="284"/>
        <w:rPr>
          <w:b/>
          <w:szCs w:val="18"/>
          <w:lang w:val="es-MX"/>
        </w:rPr>
      </w:pPr>
      <w:r w:rsidRPr="0073056A">
        <w:rPr>
          <w:b/>
          <w:szCs w:val="18"/>
          <w:lang w:val="es-MX"/>
        </w:rPr>
        <w:t>Efectivo y Equivalentes</w:t>
      </w:r>
    </w:p>
    <w:p w:rsidR="003527CD" w:rsidRPr="0073056A" w:rsidRDefault="003527CD" w:rsidP="0073056A">
      <w:pPr>
        <w:ind w:left="284"/>
        <w:jc w:val="both"/>
        <w:rPr>
          <w:rFonts w:ascii="Arial" w:hAnsi="Arial" w:cs="Arial"/>
          <w:sz w:val="18"/>
          <w:szCs w:val="18"/>
        </w:rPr>
      </w:pPr>
      <w:r w:rsidRPr="0073056A">
        <w:rPr>
          <w:rFonts w:ascii="Arial" w:hAnsi="Arial" w:cs="Arial"/>
          <w:sz w:val="18"/>
          <w:szCs w:val="18"/>
        </w:rPr>
        <w:t>Su saldo representa el monto de dinero propiedad del Gobierno del Estado en instituciones bancarias, el total disponible asciende a una cantidad de $</w:t>
      </w:r>
      <w:r w:rsidR="000E1BD7">
        <w:rPr>
          <w:rFonts w:ascii="Arial" w:hAnsi="Arial" w:cs="Arial"/>
          <w:sz w:val="18"/>
          <w:szCs w:val="18"/>
        </w:rPr>
        <w:t>1,751,687,171</w:t>
      </w:r>
      <w:r w:rsidRPr="0073056A">
        <w:rPr>
          <w:rFonts w:ascii="Arial" w:hAnsi="Arial" w:cs="Arial"/>
          <w:sz w:val="18"/>
          <w:szCs w:val="18"/>
        </w:rPr>
        <w:t>, mi</w:t>
      </w:r>
      <w:r w:rsidR="00876082">
        <w:rPr>
          <w:rFonts w:ascii="Arial" w:hAnsi="Arial" w:cs="Arial"/>
          <w:sz w:val="18"/>
          <w:szCs w:val="18"/>
        </w:rPr>
        <w:t>s</w:t>
      </w:r>
      <w:r w:rsidRPr="0073056A">
        <w:rPr>
          <w:rFonts w:ascii="Arial" w:hAnsi="Arial" w:cs="Arial"/>
          <w:sz w:val="18"/>
          <w:szCs w:val="18"/>
        </w:rPr>
        <w:t>mos que presenta</w:t>
      </w:r>
      <w:r w:rsidR="000E1BD7">
        <w:rPr>
          <w:rFonts w:ascii="Arial" w:hAnsi="Arial" w:cs="Arial"/>
          <w:sz w:val="18"/>
          <w:szCs w:val="18"/>
        </w:rPr>
        <w:t>n</w:t>
      </w:r>
      <w:r w:rsidRPr="0073056A">
        <w:rPr>
          <w:rFonts w:ascii="Arial" w:hAnsi="Arial" w:cs="Arial"/>
          <w:sz w:val="18"/>
          <w:szCs w:val="18"/>
        </w:rPr>
        <w:t xml:space="preserve"> una variación del </w:t>
      </w:r>
      <w:r w:rsidR="000E1BD7">
        <w:rPr>
          <w:rFonts w:ascii="Arial" w:hAnsi="Arial" w:cs="Arial"/>
          <w:sz w:val="18"/>
          <w:szCs w:val="18"/>
        </w:rPr>
        <w:t>8.8</w:t>
      </w:r>
      <w:r w:rsidRPr="0073056A">
        <w:rPr>
          <w:rFonts w:ascii="Arial" w:hAnsi="Arial" w:cs="Arial"/>
          <w:sz w:val="18"/>
          <w:szCs w:val="18"/>
        </w:rPr>
        <w:t>%, con respecto al ejercicio 201</w:t>
      </w:r>
      <w:r w:rsidR="00C34FA5">
        <w:rPr>
          <w:rFonts w:ascii="Arial" w:hAnsi="Arial" w:cs="Arial"/>
          <w:sz w:val="18"/>
          <w:szCs w:val="18"/>
        </w:rPr>
        <w:t>4</w:t>
      </w:r>
      <w:r w:rsidRPr="0073056A">
        <w:rPr>
          <w:rFonts w:ascii="Arial" w:hAnsi="Arial" w:cs="Arial"/>
          <w:sz w:val="18"/>
          <w:szCs w:val="18"/>
        </w:rPr>
        <w:t>; recursos destinados para el pago de compromisos adquiridos con terceros durante el ejercicio, por la adquisición de bienes y servicios, para el pago de remuneraciones complementarias al personal, el entero de impuestos y retenciones realizadas a los trabajadores y de fondos a terceros.</w:t>
      </w:r>
    </w:p>
    <w:p w:rsidR="003527CD" w:rsidRPr="0073056A" w:rsidRDefault="003527CD" w:rsidP="0073056A">
      <w:pPr>
        <w:ind w:left="284"/>
        <w:jc w:val="both"/>
        <w:rPr>
          <w:rFonts w:ascii="Arial" w:hAnsi="Arial" w:cs="Arial"/>
          <w:sz w:val="18"/>
          <w:szCs w:val="18"/>
        </w:rPr>
      </w:pPr>
      <w:r w:rsidRPr="0073056A">
        <w:rPr>
          <w:rFonts w:ascii="Arial" w:hAnsi="Arial" w:cs="Arial"/>
          <w:sz w:val="18"/>
          <w:szCs w:val="18"/>
        </w:rPr>
        <w:t xml:space="preserve">Estos recursos son obtenidos principalmente por el cobro de contribuciones aprobadas por el </w:t>
      </w:r>
      <w:r w:rsidR="00C34FA5">
        <w:rPr>
          <w:rFonts w:ascii="Arial" w:hAnsi="Arial" w:cs="Arial"/>
          <w:sz w:val="18"/>
          <w:szCs w:val="18"/>
        </w:rPr>
        <w:t xml:space="preserve">H. </w:t>
      </w:r>
      <w:r w:rsidRPr="0073056A">
        <w:rPr>
          <w:rFonts w:ascii="Arial" w:hAnsi="Arial" w:cs="Arial"/>
          <w:sz w:val="18"/>
          <w:szCs w:val="18"/>
        </w:rPr>
        <w:t>Congresos del Estado, participaciones y aportaciones federales y de recursos federales convenidos, principalmente.</w:t>
      </w:r>
    </w:p>
    <w:tbl>
      <w:tblPr>
        <w:tblStyle w:val="Tablaconcuadrcula"/>
        <w:tblW w:w="0" w:type="auto"/>
        <w:tblInd w:w="2358" w:type="dxa"/>
        <w:tblLook w:val="04A0" w:firstRow="1" w:lastRow="0" w:firstColumn="1" w:lastColumn="0" w:noHBand="0" w:noVBand="1"/>
      </w:tblPr>
      <w:tblGrid>
        <w:gridCol w:w="1795"/>
        <w:gridCol w:w="1795"/>
        <w:gridCol w:w="1796"/>
        <w:gridCol w:w="1796"/>
        <w:gridCol w:w="1796"/>
      </w:tblGrid>
      <w:tr w:rsidR="003527CD" w:rsidRPr="0073056A" w:rsidTr="0073056A">
        <w:tc>
          <w:tcPr>
            <w:tcW w:w="1795" w:type="dxa"/>
            <w:vMerge w:val="restart"/>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201</w:t>
            </w:r>
            <w:r w:rsidR="00C34FA5">
              <w:rPr>
                <w:rFonts w:ascii="Arial" w:hAnsi="Arial" w:cs="Arial"/>
                <w:b/>
                <w:sz w:val="18"/>
                <w:szCs w:val="18"/>
              </w:rPr>
              <w:t>5</w:t>
            </w:r>
          </w:p>
        </w:tc>
        <w:tc>
          <w:tcPr>
            <w:tcW w:w="1796" w:type="dxa"/>
            <w:vMerge w:val="restart"/>
            <w:shd w:val="pct10" w:color="auto" w:fill="auto"/>
            <w:vAlign w:val="center"/>
          </w:tcPr>
          <w:p w:rsidR="003527CD" w:rsidRPr="0073056A" w:rsidRDefault="003527CD" w:rsidP="00C34FA5">
            <w:pPr>
              <w:spacing w:line="276" w:lineRule="auto"/>
              <w:jc w:val="center"/>
              <w:rPr>
                <w:rFonts w:ascii="Arial" w:hAnsi="Arial" w:cs="Arial"/>
                <w:b/>
                <w:sz w:val="18"/>
                <w:szCs w:val="18"/>
              </w:rPr>
            </w:pPr>
            <w:r w:rsidRPr="0073056A">
              <w:rPr>
                <w:rFonts w:ascii="Arial" w:hAnsi="Arial" w:cs="Arial"/>
                <w:b/>
                <w:sz w:val="18"/>
                <w:szCs w:val="18"/>
              </w:rPr>
              <w:t>201</w:t>
            </w:r>
            <w:r w:rsidR="00C34FA5">
              <w:rPr>
                <w:rFonts w:ascii="Arial" w:hAnsi="Arial" w:cs="Arial"/>
                <w:b/>
                <w:sz w:val="18"/>
                <w:szCs w:val="18"/>
              </w:rPr>
              <w:t>4</w:t>
            </w:r>
          </w:p>
        </w:tc>
        <w:tc>
          <w:tcPr>
            <w:tcW w:w="3592" w:type="dxa"/>
            <w:gridSpan w:val="2"/>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Variación</w:t>
            </w:r>
          </w:p>
        </w:tc>
      </w:tr>
      <w:tr w:rsidR="003527CD" w:rsidRPr="0073056A" w:rsidTr="0073056A">
        <w:tc>
          <w:tcPr>
            <w:tcW w:w="1795" w:type="dxa"/>
            <w:vMerge/>
            <w:shd w:val="pct10" w:color="auto" w:fill="auto"/>
            <w:vAlign w:val="center"/>
          </w:tcPr>
          <w:p w:rsidR="003527CD" w:rsidRPr="0073056A" w:rsidRDefault="003527CD" w:rsidP="0073056A">
            <w:pPr>
              <w:spacing w:line="276" w:lineRule="auto"/>
              <w:jc w:val="center"/>
              <w:rPr>
                <w:rFonts w:ascii="Arial" w:hAnsi="Arial" w:cs="Arial"/>
                <w:b/>
                <w:sz w:val="18"/>
                <w:szCs w:val="18"/>
              </w:rPr>
            </w:pPr>
          </w:p>
        </w:tc>
        <w:tc>
          <w:tcPr>
            <w:tcW w:w="1795" w:type="dxa"/>
            <w:vMerge/>
            <w:shd w:val="pct10" w:color="auto" w:fill="auto"/>
            <w:vAlign w:val="center"/>
          </w:tcPr>
          <w:p w:rsidR="003527CD" w:rsidRPr="0073056A" w:rsidRDefault="003527CD" w:rsidP="0073056A">
            <w:pPr>
              <w:spacing w:line="276" w:lineRule="auto"/>
              <w:jc w:val="center"/>
              <w:rPr>
                <w:rFonts w:ascii="Arial" w:hAnsi="Arial" w:cs="Arial"/>
                <w:b/>
                <w:sz w:val="18"/>
                <w:szCs w:val="18"/>
              </w:rPr>
            </w:pPr>
          </w:p>
        </w:tc>
        <w:tc>
          <w:tcPr>
            <w:tcW w:w="1796" w:type="dxa"/>
            <w:vMerge/>
            <w:shd w:val="pct10" w:color="auto" w:fill="auto"/>
            <w:vAlign w:val="center"/>
          </w:tcPr>
          <w:p w:rsidR="003527CD" w:rsidRPr="0073056A" w:rsidRDefault="003527CD" w:rsidP="0073056A">
            <w:pPr>
              <w:spacing w:line="276" w:lineRule="auto"/>
              <w:jc w:val="center"/>
              <w:rPr>
                <w:rFonts w:ascii="Arial" w:hAnsi="Arial" w:cs="Arial"/>
                <w:b/>
                <w:sz w:val="18"/>
                <w:szCs w:val="18"/>
              </w:rPr>
            </w:pPr>
          </w:p>
        </w:tc>
        <w:tc>
          <w:tcPr>
            <w:tcW w:w="1796" w:type="dxa"/>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Porcentaje</w:t>
            </w:r>
          </w:p>
        </w:tc>
      </w:tr>
      <w:tr w:rsidR="003527CD" w:rsidRPr="0073056A" w:rsidTr="003527CD">
        <w:tc>
          <w:tcPr>
            <w:tcW w:w="1795" w:type="dxa"/>
            <w:vAlign w:val="center"/>
          </w:tcPr>
          <w:p w:rsidR="003527CD" w:rsidRPr="0073056A" w:rsidRDefault="003527CD" w:rsidP="0073056A">
            <w:pPr>
              <w:spacing w:line="276" w:lineRule="auto"/>
              <w:jc w:val="center"/>
              <w:rPr>
                <w:rFonts w:ascii="Arial" w:hAnsi="Arial" w:cs="Arial"/>
                <w:sz w:val="18"/>
                <w:szCs w:val="18"/>
              </w:rPr>
            </w:pPr>
            <w:r w:rsidRPr="0073056A">
              <w:rPr>
                <w:rFonts w:ascii="Arial" w:hAnsi="Arial" w:cs="Arial"/>
                <w:sz w:val="18"/>
                <w:szCs w:val="18"/>
              </w:rPr>
              <w:t>Caja/Bancos</w:t>
            </w:r>
          </w:p>
        </w:tc>
        <w:tc>
          <w:tcPr>
            <w:tcW w:w="1795" w:type="dxa"/>
            <w:vAlign w:val="center"/>
          </w:tcPr>
          <w:p w:rsidR="003527CD" w:rsidRPr="0073056A" w:rsidRDefault="003527CD" w:rsidP="001E46CF">
            <w:pPr>
              <w:spacing w:line="276" w:lineRule="auto"/>
              <w:jc w:val="right"/>
              <w:rPr>
                <w:rFonts w:ascii="Arial" w:hAnsi="Arial" w:cs="Arial"/>
                <w:sz w:val="18"/>
                <w:szCs w:val="18"/>
              </w:rPr>
            </w:pPr>
            <w:r w:rsidRPr="0073056A">
              <w:rPr>
                <w:rFonts w:ascii="Arial" w:hAnsi="Arial" w:cs="Arial"/>
                <w:sz w:val="18"/>
                <w:szCs w:val="18"/>
              </w:rPr>
              <w:t>$</w:t>
            </w:r>
            <w:r w:rsidR="00876082">
              <w:rPr>
                <w:rFonts w:ascii="Arial" w:hAnsi="Arial" w:cs="Arial"/>
                <w:sz w:val="18"/>
                <w:szCs w:val="18"/>
              </w:rPr>
              <w:t xml:space="preserve"> </w:t>
            </w:r>
            <w:r w:rsidR="000E1BD7">
              <w:rPr>
                <w:rFonts w:ascii="Arial" w:hAnsi="Arial" w:cs="Arial"/>
                <w:sz w:val="18"/>
                <w:szCs w:val="18"/>
              </w:rPr>
              <w:t>1,751,687,171</w:t>
            </w:r>
          </w:p>
        </w:tc>
        <w:tc>
          <w:tcPr>
            <w:tcW w:w="1796" w:type="dxa"/>
            <w:vAlign w:val="center"/>
          </w:tcPr>
          <w:p w:rsidR="003527CD" w:rsidRPr="0073056A" w:rsidRDefault="00C34FA5" w:rsidP="001E46CF">
            <w:pPr>
              <w:spacing w:line="276" w:lineRule="auto"/>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1,609,942,786</w:t>
            </w:r>
          </w:p>
        </w:tc>
        <w:tc>
          <w:tcPr>
            <w:tcW w:w="1796" w:type="dxa"/>
            <w:vAlign w:val="center"/>
          </w:tcPr>
          <w:p w:rsidR="003527CD" w:rsidRPr="0073056A" w:rsidRDefault="003527CD" w:rsidP="000E1BD7">
            <w:pPr>
              <w:spacing w:line="276" w:lineRule="auto"/>
              <w:jc w:val="right"/>
              <w:rPr>
                <w:rFonts w:ascii="Arial" w:hAnsi="Arial" w:cs="Arial"/>
                <w:sz w:val="18"/>
                <w:szCs w:val="18"/>
              </w:rPr>
            </w:pPr>
            <w:r w:rsidRPr="0073056A">
              <w:rPr>
                <w:rFonts w:ascii="Arial" w:hAnsi="Arial" w:cs="Arial"/>
                <w:sz w:val="18"/>
                <w:szCs w:val="18"/>
              </w:rPr>
              <w:t>$</w:t>
            </w:r>
            <w:r w:rsidR="00876082">
              <w:rPr>
                <w:rFonts w:ascii="Arial" w:hAnsi="Arial" w:cs="Arial"/>
                <w:sz w:val="18"/>
                <w:szCs w:val="18"/>
              </w:rPr>
              <w:t xml:space="preserve"> </w:t>
            </w:r>
            <w:r w:rsidR="000E1BD7">
              <w:rPr>
                <w:rFonts w:ascii="Arial" w:hAnsi="Arial" w:cs="Arial"/>
                <w:sz w:val="18"/>
                <w:szCs w:val="18"/>
              </w:rPr>
              <w:t>141,744,385</w:t>
            </w:r>
          </w:p>
        </w:tc>
        <w:tc>
          <w:tcPr>
            <w:tcW w:w="1796" w:type="dxa"/>
            <w:vAlign w:val="center"/>
          </w:tcPr>
          <w:p w:rsidR="003527CD" w:rsidRPr="0073056A" w:rsidRDefault="000E1BD7" w:rsidP="0073056A">
            <w:pPr>
              <w:spacing w:line="276" w:lineRule="auto"/>
              <w:jc w:val="center"/>
              <w:rPr>
                <w:rFonts w:ascii="Arial" w:hAnsi="Arial" w:cs="Arial"/>
                <w:sz w:val="18"/>
                <w:szCs w:val="18"/>
              </w:rPr>
            </w:pPr>
            <w:r>
              <w:rPr>
                <w:rFonts w:ascii="Arial" w:hAnsi="Arial" w:cs="Arial"/>
                <w:sz w:val="18"/>
                <w:szCs w:val="18"/>
              </w:rPr>
              <w:t>8.8</w:t>
            </w:r>
            <w:r w:rsidR="00876082">
              <w:rPr>
                <w:rFonts w:ascii="Arial" w:hAnsi="Arial" w:cs="Arial"/>
                <w:sz w:val="18"/>
                <w:szCs w:val="18"/>
              </w:rPr>
              <w:t>%</w:t>
            </w:r>
          </w:p>
        </w:tc>
      </w:tr>
    </w:tbl>
    <w:p w:rsidR="003527CD" w:rsidRPr="0073056A" w:rsidRDefault="003527CD" w:rsidP="0073056A">
      <w:pPr>
        <w:jc w:val="both"/>
        <w:rPr>
          <w:rFonts w:ascii="Arial" w:hAnsi="Arial" w:cs="Arial"/>
          <w:sz w:val="18"/>
          <w:szCs w:val="18"/>
        </w:rPr>
      </w:pPr>
    </w:p>
    <w:p w:rsidR="00F6319C" w:rsidRDefault="00F6319C" w:rsidP="0073056A">
      <w:pPr>
        <w:pStyle w:val="ROMANOS"/>
        <w:spacing w:after="0" w:line="276" w:lineRule="auto"/>
        <w:rPr>
          <w:lang w:val="es-MX"/>
        </w:rPr>
      </w:pPr>
    </w:p>
    <w:p w:rsidR="00540418" w:rsidRPr="0073056A" w:rsidRDefault="00540418" w:rsidP="0073056A">
      <w:pPr>
        <w:pStyle w:val="ROMANOS"/>
        <w:tabs>
          <w:tab w:val="clear" w:pos="720"/>
          <w:tab w:val="left" w:pos="284"/>
        </w:tabs>
        <w:spacing w:after="0" w:line="276" w:lineRule="auto"/>
        <w:ind w:left="284" w:firstLine="4"/>
        <w:rPr>
          <w:b/>
          <w:lang w:val="es-MX"/>
        </w:rPr>
      </w:pPr>
      <w:r w:rsidRPr="0073056A">
        <w:rPr>
          <w:b/>
          <w:lang w:val="es-MX"/>
        </w:rPr>
        <w:t>Derechos a recibir Efectivo y Equivalentes y Bienes o Servicios a Recibir</w:t>
      </w:r>
    </w:p>
    <w:p w:rsidR="003527CD" w:rsidRPr="0073056A" w:rsidRDefault="003527CD" w:rsidP="0073056A">
      <w:pPr>
        <w:ind w:left="284"/>
        <w:jc w:val="both"/>
        <w:rPr>
          <w:rFonts w:ascii="Arial" w:hAnsi="Arial" w:cs="Arial"/>
          <w:sz w:val="18"/>
          <w:szCs w:val="18"/>
        </w:rPr>
      </w:pPr>
      <w:r w:rsidRPr="0073056A">
        <w:rPr>
          <w:rFonts w:ascii="Arial" w:hAnsi="Arial" w:cs="Arial"/>
          <w:sz w:val="18"/>
          <w:szCs w:val="18"/>
        </w:rPr>
        <w:t>El importe de $</w:t>
      </w:r>
      <w:r w:rsidR="00876082">
        <w:rPr>
          <w:rFonts w:ascii="Arial" w:hAnsi="Arial" w:cs="Arial"/>
          <w:sz w:val="18"/>
          <w:szCs w:val="18"/>
        </w:rPr>
        <w:t xml:space="preserve"> </w:t>
      </w:r>
      <w:r w:rsidR="000E1BD7">
        <w:rPr>
          <w:rFonts w:ascii="Arial" w:hAnsi="Arial" w:cs="Arial"/>
          <w:sz w:val="18"/>
          <w:szCs w:val="18"/>
        </w:rPr>
        <w:t>25</w:t>
      </w:r>
      <w:proofErr w:type="gramStart"/>
      <w:r w:rsidR="000E1BD7">
        <w:rPr>
          <w:rFonts w:ascii="Arial" w:hAnsi="Arial" w:cs="Arial"/>
          <w:sz w:val="18"/>
          <w:szCs w:val="18"/>
        </w:rPr>
        <w:t>,301,033</w:t>
      </w:r>
      <w:proofErr w:type="gramEnd"/>
      <w:r w:rsidRPr="0073056A">
        <w:rPr>
          <w:rFonts w:ascii="Arial" w:hAnsi="Arial" w:cs="Arial"/>
          <w:sz w:val="18"/>
          <w:szCs w:val="18"/>
        </w:rPr>
        <w:t xml:space="preserve"> que se tiene al cierre del ejercicio</w:t>
      </w:r>
      <w:r w:rsidR="000E1BD7">
        <w:rPr>
          <w:rFonts w:ascii="Arial" w:hAnsi="Arial" w:cs="Arial"/>
          <w:sz w:val="18"/>
          <w:szCs w:val="18"/>
        </w:rPr>
        <w:t>,</w:t>
      </w:r>
      <w:r w:rsidRPr="0073056A">
        <w:rPr>
          <w:rFonts w:ascii="Arial" w:hAnsi="Arial" w:cs="Arial"/>
          <w:sz w:val="18"/>
          <w:szCs w:val="18"/>
        </w:rPr>
        <w:t xml:space="preserve"> corresponde principalmente a ingresos por cobrar a corto plazo, constituidos por anticipos de gastos otorgados a dependencias y organismos</w:t>
      </w:r>
      <w:r w:rsidR="00A52E18">
        <w:rPr>
          <w:rFonts w:ascii="Arial" w:hAnsi="Arial" w:cs="Arial"/>
          <w:sz w:val="18"/>
          <w:szCs w:val="18"/>
        </w:rPr>
        <w:t xml:space="preserve"> e impuestos y derechos a favor.</w:t>
      </w:r>
    </w:p>
    <w:tbl>
      <w:tblPr>
        <w:tblStyle w:val="Tablaconcuadrcula"/>
        <w:tblW w:w="0" w:type="auto"/>
        <w:tblInd w:w="2358" w:type="dxa"/>
        <w:tblLook w:val="04A0" w:firstRow="1" w:lastRow="0" w:firstColumn="1" w:lastColumn="0" w:noHBand="0" w:noVBand="1"/>
      </w:tblPr>
      <w:tblGrid>
        <w:gridCol w:w="1795"/>
        <w:gridCol w:w="1795"/>
        <w:gridCol w:w="1796"/>
        <w:gridCol w:w="1796"/>
        <w:gridCol w:w="1796"/>
      </w:tblGrid>
      <w:tr w:rsidR="003527CD" w:rsidRPr="0073056A" w:rsidTr="0073056A">
        <w:tc>
          <w:tcPr>
            <w:tcW w:w="1795" w:type="dxa"/>
            <w:vMerge w:val="restart"/>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201</w:t>
            </w:r>
            <w:r w:rsidR="00C34FA5">
              <w:rPr>
                <w:rFonts w:ascii="Arial" w:hAnsi="Arial" w:cs="Arial"/>
                <w:b/>
                <w:sz w:val="18"/>
                <w:szCs w:val="18"/>
              </w:rPr>
              <w:t>5</w:t>
            </w:r>
          </w:p>
        </w:tc>
        <w:tc>
          <w:tcPr>
            <w:tcW w:w="1796" w:type="dxa"/>
            <w:vMerge w:val="restart"/>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201</w:t>
            </w:r>
            <w:r w:rsidR="00C34FA5">
              <w:rPr>
                <w:rFonts w:ascii="Arial" w:hAnsi="Arial" w:cs="Arial"/>
                <w:b/>
                <w:sz w:val="18"/>
                <w:szCs w:val="18"/>
              </w:rPr>
              <w:t>4</w:t>
            </w:r>
          </w:p>
        </w:tc>
        <w:tc>
          <w:tcPr>
            <w:tcW w:w="3592" w:type="dxa"/>
            <w:gridSpan w:val="2"/>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Variación</w:t>
            </w:r>
          </w:p>
        </w:tc>
      </w:tr>
      <w:tr w:rsidR="003527CD" w:rsidRPr="0073056A" w:rsidTr="0073056A">
        <w:tc>
          <w:tcPr>
            <w:tcW w:w="1795" w:type="dxa"/>
            <w:vMerge/>
            <w:shd w:val="pct10" w:color="auto" w:fill="auto"/>
            <w:vAlign w:val="center"/>
          </w:tcPr>
          <w:p w:rsidR="003527CD" w:rsidRPr="0073056A" w:rsidRDefault="003527CD" w:rsidP="0073056A">
            <w:pPr>
              <w:spacing w:line="276" w:lineRule="auto"/>
              <w:jc w:val="center"/>
              <w:rPr>
                <w:rFonts w:ascii="Arial" w:hAnsi="Arial" w:cs="Arial"/>
                <w:b/>
                <w:sz w:val="18"/>
                <w:szCs w:val="18"/>
              </w:rPr>
            </w:pPr>
          </w:p>
        </w:tc>
        <w:tc>
          <w:tcPr>
            <w:tcW w:w="1795" w:type="dxa"/>
            <w:vMerge/>
            <w:shd w:val="pct10" w:color="auto" w:fill="auto"/>
            <w:vAlign w:val="center"/>
          </w:tcPr>
          <w:p w:rsidR="003527CD" w:rsidRPr="0073056A" w:rsidRDefault="003527CD" w:rsidP="0073056A">
            <w:pPr>
              <w:spacing w:line="276" w:lineRule="auto"/>
              <w:jc w:val="center"/>
              <w:rPr>
                <w:rFonts w:ascii="Arial" w:hAnsi="Arial" w:cs="Arial"/>
                <w:b/>
                <w:sz w:val="18"/>
                <w:szCs w:val="18"/>
              </w:rPr>
            </w:pPr>
          </w:p>
        </w:tc>
        <w:tc>
          <w:tcPr>
            <w:tcW w:w="1796" w:type="dxa"/>
            <w:vMerge/>
            <w:shd w:val="pct10" w:color="auto" w:fill="auto"/>
            <w:vAlign w:val="center"/>
          </w:tcPr>
          <w:p w:rsidR="003527CD" w:rsidRPr="0073056A" w:rsidRDefault="003527CD" w:rsidP="0073056A">
            <w:pPr>
              <w:spacing w:line="276" w:lineRule="auto"/>
              <w:jc w:val="center"/>
              <w:rPr>
                <w:rFonts w:ascii="Arial" w:hAnsi="Arial" w:cs="Arial"/>
                <w:b/>
                <w:sz w:val="18"/>
                <w:szCs w:val="18"/>
              </w:rPr>
            </w:pPr>
          </w:p>
        </w:tc>
        <w:tc>
          <w:tcPr>
            <w:tcW w:w="1796" w:type="dxa"/>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Porcentaje</w:t>
            </w:r>
          </w:p>
        </w:tc>
      </w:tr>
      <w:tr w:rsidR="003527CD" w:rsidRPr="0073056A" w:rsidTr="0073056A">
        <w:tc>
          <w:tcPr>
            <w:tcW w:w="1795" w:type="dxa"/>
            <w:vAlign w:val="center"/>
          </w:tcPr>
          <w:p w:rsidR="003527CD" w:rsidRPr="0073056A" w:rsidRDefault="003527CD" w:rsidP="0073056A">
            <w:pPr>
              <w:spacing w:line="276" w:lineRule="auto"/>
              <w:jc w:val="center"/>
              <w:rPr>
                <w:rFonts w:ascii="Arial" w:hAnsi="Arial" w:cs="Arial"/>
                <w:sz w:val="18"/>
                <w:szCs w:val="18"/>
              </w:rPr>
            </w:pPr>
            <w:r w:rsidRPr="00C50527">
              <w:rPr>
                <w:rFonts w:ascii="Arial" w:hAnsi="Arial" w:cs="Arial"/>
                <w:sz w:val="16"/>
                <w:szCs w:val="18"/>
              </w:rPr>
              <w:lastRenderedPageBreak/>
              <w:t>Derechos a Recibir Efectivo o Equivalentes</w:t>
            </w:r>
          </w:p>
        </w:tc>
        <w:tc>
          <w:tcPr>
            <w:tcW w:w="1795" w:type="dxa"/>
            <w:vAlign w:val="center"/>
          </w:tcPr>
          <w:p w:rsidR="003527CD" w:rsidRPr="0073056A" w:rsidRDefault="003527CD" w:rsidP="000E1BD7">
            <w:pPr>
              <w:spacing w:line="276" w:lineRule="auto"/>
              <w:jc w:val="right"/>
              <w:rPr>
                <w:rFonts w:ascii="Arial" w:hAnsi="Arial" w:cs="Arial"/>
                <w:sz w:val="18"/>
                <w:szCs w:val="18"/>
              </w:rPr>
            </w:pPr>
            <w:r w:rsidRPr="0073056A">
              <w:rPr>
                <w:rFonts w:ascii="Arial" w:hAnsi="Arial" w:cs="Arial"/>
                <w:sz w:val="18"/>
                <w:szCs w:val="18"/>
              </w:rPr>
              <w:t>$</w:t>
            </w:r>
            <w:r w:rsidR="00876082">
              <w:rPr>
                <w:rFonts w:ascii="Arial" w:hAnsi="Arial" w:cs="Arial"/>
                <w:sz w:val="18"/>
                <w:szCs w:val="18"/>
              </w:rPr>
              <w:t xml:space="preserve"> </w:t>
            </w:r>
            <w:r w:rsidR="000E1BD7">
              <w:rPr>
                <w:rFonts w:ascii="Arial" w:hAnsi="Arial" w:cs="Arial"/>
                <w:sz w:val="18"/>
                <w:szCs w:val="18"/>
              </w:rPr>
              <w:t>25,301,033</w:t>
            </w:r>
          </w:p>
        </w:tc>
        <w:tc>
          <w:tcPr>
            <w:tcW w:w="1796" w:type="dxa"/>
            <w:vAlign w:val="center"/>
          </w:tcPr>
          <w:p w:rsidR="003527CD" w:rsidRPr="0073056A" w:rsidRDefault="00C34FA5" w:rsidP="001E46CF">
            <w:pPr>
              <w:spacing w:line="276" w:lineRule="auto"/>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299,351,510</w:t>
            </w:r>
          </w:p>
        </w:tc>
        <w:tc>
          <w:tcPr>
            <w:tcW w:w="1796" w:type="dxa"/>
            <w:vAlign w:val="center"/>
          </w:tcPr>
          <w:p w:rsidR="003527CD" w:rsidRPr="0073056A" w:rsidRDefault="003527CD" w:rsidP="00C34FA5">
            <w:pPr>
              <w:spacing w:line="276" w:lineRule="auto"/>
              <w:jc w:val="right"/>
              <w:rPr>
                <w:rFonts w:ascii="Arial" w:hAnsi="Arial" w:cs="Arial"/>
                <w:sz w:val="18"/>
                <w:szCs w:val="18"/>
              </w:rPr>
            </w:pPr>
            <w:r w:rsidRPr="0073056A">
              <w:rPr>
                <w:rFonts w:ascii="Arial" w:hAnsi="Arial" w:cs="Arial"/>
                <w:sz w:val="18"/>
                <w:szCs w:val="18"/>
              </w:rPr>
              <w:t>$</w:t>
            </w:r>
            <w:r w:rsidR="00876082">
              <w:rPr>
                <w:rFonts w:ascii="Arial" w:hAnsi="Arial" w:cs="Arial"/>
                <w:sz w:val="18"/>
                <w:szCs w:val="18"/>
              </w:rPr>
              <w:t xml:space="preserve"> </w:t>
            </w:r>
            <w:r w:rsidR="000E1BD7">
              <w:rPr>
                <w:rFonts w:ascii="Arial" w:hAnsi="Arial" w:cs="Arial"/>
                <w:sz w:val="18"/>
                <w:szCs w:val="18"/>
              </w:rPr>
              <w:t>- 274,050,477</w:t>
            </w:r>
            <w:r w:rsidR="00876082">
              <w:rPr>
                <w:rFonts w:ascii="Arial" w:hAnsi="Arial" w:cs="Arial"/>
                <w:sz w:val="18"/>
                <w:szCs w:val="18"/>
              </w:rPr>
              <w:t xml:space="preserve">   </w:t>
            </w:r>
          </w:p>
        </w:tc>
        <w:tc>
          <w:tcPr>
            <w:tcW w:w="1796" w:type="dxa"/>
            <w:vAlign w:val="center"/>
          </w:tcPr>
          <w:p w:rsidR="003527CD" w:rsidRPr="0073056A" w:rsidRDefault="000E1BD7" w:rsidP="0073056A">
            <w:pPr>
              <w:spacing w:line="276" w:lineRule="auto"/>
              <w:jc w:val="center"/>
              <w:rPr>
                <w:rFonts w:ascii="Arial" w:hAnsi="Arial" w:cs="Arial"/>
                <w:sz w:val="18"/>
                <w:szCs w:val="18"/>
              </w:rPr>
            </w:pPr>
            <w:r>
              <w:rPr>
                <w:rFonts w:ascii="Arial" w:hAnsi="Arial" w:cs="Arial"/>
                <w:sz w:val="18"/>
                <w:szCs w:val="18"/>
              </w:rPr>
              <w:t>-91.5</w:t>
            </w:r>
            <w:r w:rsidR="00876082">
              <w:rPr>
                <w:rFonts w:ascii="Arial" w:hAnsi="Arial" w:cs="Arial"/>
                <w:sz w:val="18"/>
                <w:szCs w:val="18"/>
              </w:rPr>
              <w:t>%</w:t>
            </w:r>
          </w:p>
        </w:tc>
      </w:tr>
    </w:tbl>
    <w:p w:rsidR="00C50527" w:rsidRDefault="00C50527" w:rsidP="00C50527">
      <w:pPr>
        <w:spacing w:after="0"/>
        <w:ind w:left="284"/>
        <w:jc w:val="both"/>
        <w:rPr>
          <w:rFonts w:ascii="Arial" w:hAnsi="Arial" w:cs="Arial"/>
          <w:sz w:val="18"/>
          <w:szCs w:val="18"/>
        </w:rPr>
      </w:pPr>
    </w:p>
    <w:p w:rsidR="00A52E18" w:rsidRDefault="00A52E18" w:rsidP="00C50527">
      <w:pPr>
        <w:spacing w:after="0"/>
        <w:ind w:left="284"/>
        <w:jc w:val="both"/>
        <w:rPr>
          <w:rFonts w:ascii="Arial" w:hAnsi="Arial" w:cs="Arial"/>
          <w:sz w:val="18"/>
          <w:szCs w:val="18"/>
        </w:rPr>
      </w:pPr>
    </w:p>
    <w:p w:rsidR="00A52E18" w:rsidRDefault="00A52E18" w:rsidP="00C50527">
      <w:pPr>
        <w:spacing w:after="0"/>
        <w:ind w:left="284"/>
        <w:jc w:val="both"/>
        <w:rPr>
          <w:rFonts w:ascii="Arial" w:hAnsi="Arial" w:cs="Arial"/>
          <w:sz w:val="18"/>
          <w:szCs w:val="18"/>
        </w:rPr>
      </w:pPr>
    </w:p>
    <w:p w:rsidR="00A52E18" w:rsidRDefault="00A52E18" w:rsidP="00C50527">
      <w:pPr>
        <w:spacing w:after="0"/>
        <w:ind w:left="284"/>
        <w:jc w:val="both"/>
        <w:rPr>
          <w:rFonts w:ascii="Arial" w:hAnsi="Arial" w:cs="Arial"/>
          <w:sz w:val="18"/>
          <w:szCs w:val="18"/>
        </w:rPr>
      </w:pPr>
    </w:p>
    <w:p w:rsidR="003527CD" w:rsidRPr="0073056A" w:rsidRDefault="003527CD" w:rsidP="00C50527">
      <w:pPr>
        <w:spacing w:after="0"/>
        <w:ind w:left="284"/>
        <w:jc w:val="both"/>
        <w:rPr>
          <w:rFonts w:ascii="Arial" w:hAnsi="Arial" w:cs="Arial"/>
          <w:sz w:val="18"/>
          <w:szCs w:val="18"/>
        </w:rPr>
      </w:pPr>
      <w:r w:rsidRPr="0073056A">
        <w:rPr>
          <w:rFonts w:ascii="Arial" w:hAnsi="Arial" w:cs="Arial"/>
          <w:sz w:val="18"/>
          <w:szCs w:val="18"/>
        </w:rPr>
        <w:t xml:space="preserve">Por otra parte, </w:t>
      </w:r>
      <w:r w:rsidR="00876082">
        <w:rPr>
          <w:rFonts w:ascii="Arial" w:hAnsi="Arial" w:cs="Arial"/>
          <w:sz w:val="18"/>
          <w:szCs w:val="18"/>
        </w:rPr>
        <w:t>la cuenta de</w:t>
      </w:r>
      <w:r w:rsidRPr="0073056A">
        <w:rPr>
          <w:rFonts w:ascii="Arial" w:hAnsi="Arial" w:cs="Arial"/>
          <w:sz w:val="18"/>
          <w:szCs w:val="18"/>
        </w:rPr>
        <w:t xml:space="preserve"> Derechos a Recibir Bienes o Servicios, </w:t>
      </w:r>
      <w:r w:rsidR="00876082">
        <w:rPr>
          <w:rFonts w:ascii="Arial" w:hAnsi="Arial" w:cs="Arial"/>
          <w:sz w:val="18"/>
          <w:szCs w:val="18"/>
        </w:rPr>
        <w:t xml:space="preserve">está </w:t>
      </w:r>
      <w:r w:rsidRPr="0073056A">
        <w:rPr>
          <w:rFonts w:ascii="Arial" w:hAnsi="Arial" w:cs="Arial"/>
          <w:sz w:val="18"/>
          <w:szCs w:val="18"/>
        </w:rPr>
        <w:t>representad</w:t>
      </w:r>
      <w:r w:rsidR="00876082">
        <w:rPr>
          <w:rFonts w:ascii="Arial" w:hAnsi="Arial" w:cs="Arial"/>
          <w:sz w:val="18"/>
          <w:szCs w:val="18"/>
        </w:rPr>
        <w:t>a</w:t>
      </w:r>
      <w:r w:rsidRPr="0073056A">
        <w:rPr>
          <w:rFonts w:ascii="Arial" w:hAnsi="Arial" w:cs="Arial"/>
          <w:sz w:val="18"/>
          <w:szCs w:val="18"/>
        </w:rPr>
        <w:t xml:space="preserve"> por anticipos otorgados a contratistas no amortizados al cierre del ejercicio, destinados a la ejecución de obras de interés colectivo y para la entrega de su equipamiento, otorgados por las dependencias y entidades del Poder Ejecutivo</w:t>
      </w:r>
      <w:r w:rsidR="000E1BD7">
        <w:rPr>
          <w:rFonts w:ascii="Arial" w:hAnsi="Arial" w:cs="Arial"/>
          <w:sz w:val="18"/>
          <w:szCs w:val="18"/>
        </w:rPr>
        <w:t>, reportándose en $0, respecto del ejercicio 2014</w:t>
      </w:r>
      <w:r w:rsidRPr="0073056A">
        <w:rPr>
          <w:rFonts w:ascii="Arial" w:hAnsi="Arial" w:cs="Arial"/>
          <w:sz w:val="18"/>
          <w:szCs w:val="18"/>
        </w:rPr>
        <w:t>.</w:t>
      </w:r>
    </w:p>
    <w:p w:rsidR="00C50527" w:rsidRDefault="00C50527" w:rsidP="00C50527">
      <w:pPr>
        <w:spacing w:after="0"/>
        <w:ind w:left="284"/>
        <w:jc w:val="both"/>
        <w:rPr>
          <w:rFonts w:ascii="Arial" w:hAnsi="Arial" w:cs="Arial"/>
          <w:sz w:val="18"/>
          <w:szCs w:val="18"/>
        </w:rPr>
      </w:pPr>
    </w:p>
    <w:tbl>
      <w:tblPr>
        <w:tblStyle w:val="Tablaconcuadrcula"/>
        <w:tblW w:w="0" w:type="auto"/>
        <w:tblInd w:w="2358" w:type="dxa"/>
        <w:tblLook w:val="04A0" w:firstRow="1" w:lastRow="0" w:firstColumn="1" w:lastColumn="0" w:noHBand="0" w:noVBand="1"/>
      </w:tblPr>
      <w:tblGrid>
        <w:gridCol w:w="1795"/>
        <w:gridCol w:w="1795"/>
        <w:gridCol w:w="1796"/>
        <w:gridCol w:w="1796"/>
        <w:gridCol w:w="1796"/>
      </w:tblGrid>
      <w:tr w:rsidR="003527CD" w:rsidRPr="0073056A" w:rsidTr="00C50527">
        <w:tc>
          <w:tcPr>
            <w:tcW w:w="1795" w:type="dxa"/>
            <w:vMerge w:val="restart"/>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3527CD" w:rsidRPr="0073056A" w:rsidRDefault="00776479" w:rsidP="0073056A">
            <w:pPr>
              <w:spacing w:line="276" w:lineRule="auto"/>
              <w:jc w:val="center"/>
              <w:rPr>
                <w:rFonts w:ascii="Arial" w:hAnsi="Arial" w:cs="Arial"/>
                <w:b/>
                <w:sz w:val="18"/>
                <w:szCs w:val="18"/>
              </w:rPr>
            </w:pPr>
            <w:r>
              <w:rPr>
                <w:rFonts w:ascii="Arial" w:hAnsi="Arial" w:cs="Arial"/>
                <w:b/>
                <w:sz w:val="18"/>
                <w:szCs w:val="18"/>
              </w:rPr>
              <w:t>2015</w:t>
            </w:r>
          </w:p>
        </w:tc>
        <w:tc>
          <w:tcPr>
            <w:tcW w:w="1796" w:type="dxa"/>
            <w:vMerge w:val="restart"/>
            <w:shd w:val="pct10" w:color="auto" w:fill="auto"/>
            <w:vAlign w:val="center"/>
          </w:tcPr>
          <w:p w:rsidR="003527CD" w:rsidRPr="0073056A" w:rsidRDefault="003527CD" w:rsidP="00776479">
            <w:pPr>
              <w:spacing w:line="276" w:lineRule="auto"/>
              <w:jc w:val="center"/>
              <w:rPr>
                <w:rFonts w:ascii="Arial" w:hAnsi="Arial" w:cs="Arial"/>
                <w:b/>
                <w:sz w:val="18"/>
                <w:szCs w:val="18"/>
              </w:rPr>
            </w:pPr>
            <w:r w:rsidRPr="0073056A">
              <w:rPr>
                <w:rFonts w:ascii="Arial" w:hAnsi="Arial" w:cs="Arial"/>
                <w:b/>
                <w:sz w:val="18"/>
                <w:szCs w:val="18"/>
              </w:rPr>
              <w:t>201</w:t>
            </w:r>
            <w:r w:rsidR="00776479">
              <w:rPr>
                <w:rFonts w:ascii="Arial" w:hAnsi="Arial" w:cs="Arial"/>
                <w:b/>
                <w:sz w:val="18"/>
                <w:szCs w:val="18"/>
              </w:rPr>
              <w:t>4</w:t>
            </w:r>
          </w:p>
        </w:tc>
        <w:tc>
          <w:tcPr>
            <w:tcW w:w="3592" w:type="dxa"/>
            <w:gridSpan w:val="2"/>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Variación</w:t>
            </w:r>
          </w:p>
        </w:tc>
      </w:tr>
      <w:tr w:rsidR="003527CD" w:rsidRPr="0073056A" w:rsidTr="00C50527">
        <w:tc>
          <w:tcPr>
            <w:tcW w:w="1795" w:type="dxa"/>
            <w:vMerge/>
            <w:shd w:val="pct10" w:color="auto" w:fill="auto"/>
            <w:vAlign w:val="center"/>
          </w:tcPr>
          <w:p w:rsidR="003527CD" w:rsidRPr="0073056A" w:rsidRDefault="003527CD" w:rsidP="0073056A">
            <w:pPr>
              <w:spacing w:line="276" w:lineRule="auto"/>
              <w:jc w:val="center"/>
              <w:rPr>
                <w:rFonts w:ascii="Arial" w:hAnsi="Arial" w:cs="Arial"/>
                <w:b/>
                <w:sz w:val="18"/>
                <w:szCs w:val="18"/>
              </w:rPr>
            </w:pPr>
          </w:p>
        </w:tc>
        <w:tc>
          <w:tcPr>
            <w:tcW w:w="1795" w:type="dxa"/>
            <w:vMerge/>
            <w:shd w:val="pct10" w:color="auto" w:fill="auto"/>
            <w:vAlign w:val="center"/>
          </w:tcPr>
          <w:p w:rsidR="003527CD" w:rsidRPr="0073056A" w:rsidRDefault="003527CD" w:rsidP="0073056A">
            <w:pPr>
              <w:spacing w:line="276" w:lineRule="auto"/>
              <w:jc w:val="center"/>
              <w:rPr>
                <w:rFonts w:ascii="Arial" w:hAnsi="Arial" w:cs="Arial"/>
                <w:b/>
                <w:sz w:val="18"/>
                <w:szCs w:val="18"/>
              </w:rPr>
            </w:pPr>
          </w:p>
        </w:tc>
        <w:tc>
          <w:tcPr>
            <w:tcW w:w="1796" w:type="dxa"/>
            <w:vMerge/>
            <w:shd w:val="pct10" w:color="auto" w:fill="auto"/>
            <w:vAlign w:val="center"/>
          </w:tcPr>
          <w:p w:rsidR="003527CD" w:rsidRPr="0073056A" w:rsidRDefault="003527CD" w:rsidP="0073056A">
            <w:pPr>
              <w:spacing w:line="276" w:lineRule="auto"/>
              <w:jc w:val="center"/>
              <w:rPr>
                <w:rFonts w:ascii="Arial" w:hAnsi="Arial" w:cs="Arial"/>
                <w:b/>
                <w:sz w:val="18"/>
                <w:szCs w:val="18"/>
              </w:rPr>
            </w:pPr>
          </w:p>
        </w:tc>
        <w:tc>
          <w:tcPr>
            <w:tcW w:w="1796" w:type="dxa"/>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3527CD" w:rsidRPr="0073056A" w:rsidRDefault="003527CD" w:rsidP="0073056A">
            <w:pPr>
              <w:spacing w:line="276" w:lineRule="auto"/>
              <w:jc w:val="center"/>
              <w:rPr>
                <w:rFonts w:ascii="Arial" w:hAnsi="Arial" w:cs="Arial"/>
                <w:b/>
                <w:sz w:val="18"/>
                <w:szCs w:val="18"/>
              </w:rPr>
            </w:pPr>
            <w:r w:rsidRPr="0073056A">
              <w:rPr>
                <w:rFonts w:ascii="Arial" w:hAnsi="Arial" w:cs="Arial"/>
                <w:b/>
                <w:sz w:val="18"/>
                <w:szCs w:val="18"/>
              </w:rPr>
              <w:t>Porcentaje</w:t>
            </w:r>
          </w:p>
        </w:tc>
      </w:tr>
      <w:tr w:rsidR="003527CD" w:rsidRPr="0073056A" w:rsidTr="00C50527">
        <w:tc>
          <w:tcPr>
            <w:tcW w:w="1795" w:type="dxa"/>
            <w:vAlign w:val="center"/>
          </w:tcPr>
          <w:p w:rsidR="003527CD" w:rsidRPr="0073056A" w:rsidRDefault="003527CD" w:rsidP="0073056A">
            <w:pPr>
              <w:spacing w:line="276" w:lineRule="auto"/>
              <w:jc w:val="center"/>
              <w:rPr>
                <w:rFonts w:ascii="Arial" w:hAnsi="Arial" w:cs="Arial"/>
                <w:sz w:val="18"/>
                <w:szCs w:val="18"/>
              </w:rPr>
            </w:pPr>
            <w:r w:rsidRPr="0073056A">
              <w:rPr>
                <w:rFonts w:ascii="Arial" w:hAnsi="Arial" w:cs="Arial"/>
                <w:sz w:val="18"/>
                <w:szCs w:val="18"/>
              </w:rPr>
              <w:t>Derechos a Recibir Bienes o Servicios</w:t>
            </w:r>
          </w:p>
        </w:tc>
        <w:tc>
          <w:tcPr>
            <w:tcW w:w="1795" w:type="dxa"/>
            <w:vAlign w:val="center"/>
          </w:tcPr>
          <w:p w:rsidR="003527CD" w:rsidRPr="0073056A" w:rsidRDefault="003527CD" w:rsidP="000E1BD7">
            <w:pPr>
              <w:spacing w:line="276" w:lineRule="auto"/>
              <w:jc w:val="right"/>
              <w:rPr>
                <w:rFonts w:ascii="Arial" w:hAnsi="Arial" w:cs="Arial"/>
                <w:sz w:val="18"/>
                <w:szCs w:val="18"/>
              </w:rPr>
            </w:pPr>
            <w:r w:rsidRPr="0073056A">
              <w:rPr>
                <w:rFonts w:ascii="Arial" w:hAnsi="Arial" w:cs="Arial"/>
                <w:sz w:val="18"/>
                <w:szCs w:val="18"/>
              </w:rPr>
              <w:t>$</w:t>
            </w:r>
            <w:r w:rsidR="001E46CF">
              <w:rPr>
                <w:rFonts w:ascii="Arial" w:hAnsi="Arial" w:cs="Arial"/>
                <w:sz w:val="18"/>
                <w:szCs w:val="18"/>
              </w:rPr>
              <w:t xml:space="preserve"> </w:t>
            </w:r>
            <w:r w:rsidR="000E1BD7">
              <w:rPr>
                <w:rFonts w:ascii="Arial" w:hAnsi="Arial" w:cs="Arial"/>
                <w:sz w:val="18"/>
                <w:szCs w:val="18"/>
              </w:rPr>
              <w:t>0</w:t>
            </w:r>
          </w:p>
        </w:tc>
        <w:tc>
          <w:tcPr>
            <w:tcW w:w="1796" w:type="dxa"/>
            <w:vAlign w:val="center"/>
          </w:tcPr>
          <w:p w:rsidR="003527CD" w:rsidRPr="0073056A" w:rsidRDefault="003527CD" w:rsidP="000E1BD7">
            <w:pPr>
              <w:spacing w:line="276" w:lineRule="auto"/>
              <w:jc w:val="right"/>
              <w:rPr>
                <w:rFonts w:ascii="Arial" w:hAnsi="Arial" w:cs="Arial"/>
                <w:sz w:val="18"/>
                <w:szCs w:val="18"/>
              </w:rPr>
            </w:pPr>
            <w:r w:rsidRPr="0073056A">
              <w:rPr>
                <w:rFonts w:ascii="Arial" w:hAnsi="Arial" w:cs="Arial"/>
                <w:sz w:val="18"/>
                <w:szCs w:val="18"/>
              </w:rPr>
              <w:t>$</w:t>
            </w:r>
            <w:r w:rsidR="001E46CF">
              <w:rPr>
                <w:rFonts w:ascii="Arial" w:hAnsi="Arial" w:cs="Arial"/>
                <w:sz w:val="18"/>
                <w:szCs w:val="18"/>
              </w:rPr>
              <w:t xml:space="preserve"> </w:t>
            </w:r>
            <w:r w:rsidR="000E1BD7">
              <w:rPr>
                <w:rFonts w:ascii="Arial" w:hAnsi="Arial" w:cs="Arial"/>
                <w:sz w:val="18"/>
                <w:szCs w:val="18"/>
              </w:rPr>
              <w:t>0</w:t>
            </w:r>
          </w:p>
        </w:tc>
        <w:tc>
          <w:tcPr>
            <w:tcW w:w="1796" w:type="dxa"/>
            <w:vAlign w:val="center"/>
          </w:tcPr>
          <w:p w:rsidR="003527CD" w:rsidRPr="0073056A" w:rsidRDefault="003527CD" w:rsidP="00776479">
            <w:pPr>
              <w:spacing w:line="276" w:lineRule="auto"/>
              <w:jc w:val="right"/>
              <w:rPr>
                <w:rFonts w:ascii="Arial" w:hAnsi="Arial" w:cs="Arial"/>
                <w:sz w:val="18"/>
                <w:szCs w:val="18"/>
              </w:rPr>
            </w:pPr>
            <w:r w:rsidRPr="0073056A">
              <w:rPr>
                <w:rFonts w:ascii="Arial" w:hAnsi="Arial" w:cs="Arial"/>
                <w:sz w:val="18"/>
                <w:szCs w:val="18"/>
              </w:rPr>
              <w:t>$</w:t>
            </w:r>
            <w:r w:rsidR="001E46CF">
              <w:rPr>
                <w:rFonts w:ascii="Arial" w:hAnsi="Arial" w:cs="Arial"/>
                <w:sz w:val="18"/>
                <w:szCs w:val="18"/>
              </w:rPr>
              <w:t xml:space="preserve"> </w:t>
            </w:r>
            <w:r w:rsidR="000E1BD7">
              <w:rPr>
                <w:rFonts w:ascii="Arial" w:hAnsi="Arial" w:cs="Arial"/>
                <w:sz w:val="18"/>
                <w:szCs w:val="18"/>
              </w:rPr>
              <w:t>0</w:t>
            </w:r>
            <w:r w:rsidR="001E46CF">
              <w:rPr>
                <w:rFonts w:ascii="Arial" w:hAnsi="Arial" w:cs="Arial"/>
                <w:sz w:val="18"/>
                <w:szCs w:val="18"/>
              </w:rPr>
              <w:t xml:space="preserve">  </w:t>
            </w:r>
          </w:p>
        </w:tc>
        <w:tc>
          <w:tcPr>
            <w:tcW w:w="1796" w:type="dxa"/>
            <w:vAlign w:val="center"/>
          </w:tcPr>
          <w:p w:rsidR="003527CD" w:rsidRPr="0073056A" w:rsidRDefault="000E1BD7" w:rsidP="0073056A">
            <w:pPr>
              <w:spacing w:line="276" w:lineRule="auto"/>
              <w:jc w:val="center"/>
              <w:rPr>
                <w:rFonts w:ascii="Arial" w:hAnsi="Arial" w:cs="Arial"/>
                <w:sz w:val="18"/>
                <w:szCs w:val="18"/>
              </w:rPr>
            </w:pPr>
            <w:r>
              <w:rPr>
                <w:rFonts w:ascii="Arial" w:hAnsi="Arial" w:cs="Arial"/>
                <w:sz w:val="18"/>
                <w:szCs w:val="18"/>
              </w:rPr>
              <w:t>0.0</w:t>
            </w:r>
            <w:r w:rsidR="001E46CF">
              <w:rPr>
                <w:rFonts w:ascii="Arial" w:hAnsi="Arial" w:cs="Arial"/>
                <w:sz w:val="18"/>
                <w:szCs w:val="18"/>
              </w:rPr>
              <w:t>%</w:t>
            </w:r>
          </w:p>
        </w:tc>
      </w:tr>
    </w:tbl>
    <w:p w:rsidR="00C50527" w:rsidRPr="0073056A" w:rsidRDefault="00C50527" w:rsidP="00AE47E9">
      <w:pPr>
        <w:spacing w:after="0"/>
        <w:ind w:left="284"/>
        <w:jc w:val="both"/>
        <w:rPr>
          <w:rFonts w:ascii="Arial" w:hAnsi="Arial" w:cs="Arial"/>
          <w:sz w:val="18"/>
          <w:szCs w:val="18"/>
        </w:rPr>
      </w:pPr>
    </w:p>
    <w:p w:rsidR="00540418" w:rsidRPr="0073056A" w:rsidRDefault="00540418" w:rsidP="00C50527">
      <w:pPr>
        <w:pStyle w:val="ROMANOS"/>
        <w:tabs>
          <w:tab w:val="clear" w:pos="720"/>
          <w:tab w:val="left" w:pos="284"/>
        </w:tabs>
        <w:spacing w:after="0" w:line="276" w:lineRule="auto"/>
        <w:ind w:left="284" w:firstLine="0"/>
        <w:rPr>
          <w:b/>
          <w:lang w:val="es-MX"/>
        </w:rPr>
      </w:pPr>
      <w:r w:rsidRPr="0073056A">
        <w:rPr>
          <w:b/>
          <w:lang w:val="es-MX"/>
        </w:rPr>
        <w:t>Bienes Disponibles para su Transformación o Consumo (inventarios)</w:t>
      </w:r>
    </w:p>
    <w:p w:rsidR="003527CD" w:rsidRPr="0073056A" w:rsidRDefault="001E46CF" w:rsidP="00C50527">
      <w:pPr>
        <w:ind w:left="284"/>
        <w:jc w:val="both"/>
        <w:rPr>
          <w:rFonts w:ascii="Arial" w:hAnsi="Arial" w:cs="Arial"/>
          <w:sz w:val="18"/>
          <w:szCs w:val="18"/>
        </w:rPr>
      </w:pPr>
      <w:r>
        <w:rPr>
          <w:rFonts w:ascii="Arial" w:hAnsi="Arial" w:cs="Arial"/>
          <w:sz w:val="18"/>
          <w:szCs w:val="18"/>
        </w:rPr>
        <w:t>No aplica</w:t>
      </w:r>
      <w:r w:rsidR="001E7F03">
        <w:rPr>
          <w:rFonts w:ascii="Arial" w:hAnsi="Arial" w:cs="Arial"/>
          <w:sz w:val="18"/>
          <w:szCs w:val="18"/>
        </w:rPr>
        <w:t>, no se realizan trabajos de manufactura.</w:t>
      </w:r>
    </w:p>
    <w:p w:rsidR="00C50527" w:rsidRPr="0073056A" w:rsidRDefault="00C50527" w:rsidP="0073056A">
      <w:pPr>
        <w:jc w:val="both"/>
        <w:rPr>
          <w:rFonts w:ascii="Arial" w:hAnsi="Arial" w:cs="Arial"/>
          <w:sz w:val="18"/>
          <w:szCs w:val="18"/>
        </w:rPr>
      </w:pPr>
    </w:p>
    <w:p w:rsidR="00540418" w:rsidRPr="0073056A" w:rsidRDefault="00540418" w:rsidP="00C50527">
      <w:pPr>
        <w:pStyle w:val="ROMANOS"/>
        <w:tabs>
          <w:tab w:val="clear" w:pos="720"/>
          <w:tab w:val="left" w:pos="851"/>
        </w:tabs>
        <w:spacing w:after="0" w:line="276" w:lineRule="auto"/>
        <w:ind w:left="284" w:firstLine="0"/>
        <w:rPr>
          <w:b/>
          <w:lang w:val="es-MX"/>
        </w:rPr>
      </w:pPr>
      <w:r w:rsidRPr="0073056A">
        <w:rPr>
          <w:b/>
          <w:lang w:val="es-MX"/>
        </w:rPr>
        <w:t>Inversiones Financieras</w:t>
      </w:r>
    </w:p>
    <w:p w:rsidR="001E46CF" w:rsidRPr="0073056A" w:rsidRDefault="009014C0" w:rsidP="001E46CF">
      <w:pPr>
        <w:ind w:left="284"/>
        <w:jc w:val="both"/>
        <w:rPr>
          <w:rFonts w:ascii="Arial" w:hAnsi="Arial" w:cs="Arial"/>
          <w:sz w:val="18"/>
          <w:szCs w:val="18"/>
        </w:rPr>
      </w:pPr>
      <w:r>
        <w:rPr>
          <w:rFonts w:ascii="Arial" w:hAnsi="Arial" w:cs="Arial"/>
          <w:sz w:val="18"/>
          <w:szCs w:val="18"/>
        </w:rPr>
        <w:t>Corresponde a los importes afectados a los Fideicomisos Fondos Metropolitanos Puebla</w:t>
      </w:r>
      <w:r w:rsidR="007A52C8">
        <w:rPr>
          <w:rFonts w:ascii="Arial" w:hAnsi="Arial" w:cs="Arial"/>
          <w:sz w:val="18"/>
          <w:szCs w:val="18"/>
        </w:rPr>
        <w:t>-Tlaxcala</w:t>
      </w:r>
      <w:r>
        <w:rPr>
          <w:rFonts w:ascii="Arial" w:hAnsi="Arial" w:cs="Arial"/>
          <w:sz w:val="18"/>
          <w:szCs w:val="18"/>
        </w:rPr>
        <w:t xml:space="preserve"> y Tlaxcala Apizaco</w:t>
      </w:r>
      <w:r w:rsidR="00A52E18">
        <w:rPr>
          <w:rFonts w:ascii="Arial" w:hAnsi="Arial" w:cs="Arial"/>
          <w:sz w:val="18"/>
          <w:szCs w:val="18"/>
        </w:rPr>
        <w:t xml:space="preserve"> correspondientes al ejercicio 2015</w:t>
      </w:r>
      <w:r>
        <w:rPr>
          <w:rFonts w:ascii="Arial" w:hAnsi="Arial" w:cs="Arial"/>
          <w:sz w:val="18"/>
          <w:szCs w:val="18"/>
        </w:rPr>
        <w:t>.</w:t>
      </w:r>
    </w:p>
    <w:p w:rsidR="003527CD" w:rsidRPr="0073056A" w:rsidRDefault="003527CD" w:rsidP="0073056A">
      <w:pPr>
        <w:jc w:val="both"/>
        <w:rPr>
          <w:rFonts w:ascii="Arial" w:hAnsi="Arial" w:cs="Arial"/>
          <w:sz w:val="18"/>
          <w:szCs w:val="18"/>
        </w:rPr>
      </w:pPr>
    </w:p>
    <w:p w:rsidR="00540418" w:rsidRPr="0073056A" w:rsidRDefault="00540418" w:rsidP="00C50527">
      <w:pPr>
        <w:pStyle w:val="ROMANOS"/>
        <w:tabs>
          <w:tab w:val="clear" w:pos="720"/>
          <w:tab w:val="left" w:pos="284"/>
        </w:tabs>
        <w:spacing w:after="0" w:line="276" w:lineRule="auto"/>
        <w:ind w:left="284" w:firstLine="0"/>
        <w:rPr>
          <w:b/>
          <w:lang w:val="es-MX"/>
        </w:rPr>
      </w:pPr>
      <w:r w:rsidRPr="0073056A">
        <w:rPr>
          <w:b/>
          <w:lang w:val="es-MX"/>
        </w:rPr>
        <w:t>Bienes Muebles, Inmuebles e Intangibles</w:t>
      </w:r>
    </w:p>
    <w:p w:rsidR="003527CD" w:rsidRPr="0073056A" w:rsidRDefault="003527CD" w:rsidP="00C50527">
      <w:pPr>
        <w:tabs>
          <w:tab w:val="left" w:pos="284"/>
        </w:tabs>
        <w:ind w:left="284"/>
        <w:jc w:val="both"/>
        <w:rPr>
          <w:rFonts w:ascii="Arial" w:hAnsi="Arial" w:cs="Arial"/>
          <w:sz w:val="18"/>
          <w:szCs w:val="18"/>
        </w:rPr>
      </w:pPr>
      <w:r w:rsidRPr="0073056A">
        <w:rPr>
          <w:rFonts w:ascii="Arial" w:hAnsi="Arial" w:cs="Arial"/>
          <w:sz w:val="18"/>
          <w:szCs w:val="18"/>
        </w:rPr>
        <w:t>Al 31 de diciembre de 201</w:t>
      </w:r>
      <w:r w:rsidR="00776479">
        <w:rPr>
          <w:rFonts w:ascii="Arial" w:hAnsi="Arial" w:cs="Arial"/>
          <w:sz w:val="18"/>
          <w:szCs w:val="18"/>
        </w:rPr>
        <w:t>5</w:t>
      </w:r>
      <w:r w:rsidRPr="0073056A">
        <w:rPr>
          <w:rFonts w:ascii="Arial" w:hAnsi="Arial" w:cs="Arial"/>
          <w:sz w:val="18"/>
          <w:szCs w:val="18"/>
        </w:rPr>
        <w:t>, el saldo reflejado es de $</w:t>
      </w:r>
      <w:r w:rsidR="001E46CF">
        <w:rPr>
          <w:rFonts w:ascii="Arial" w:hAnsi="Arial" w:cs="Arial"/>
          <w:sz w:val="18"/>
          <w:szCs w:val="18"/>
        </w:rPr>
        <w:t xml:space="preserve"> </w:t>
      </w:r>
      <w:r w:rsidR="00E02D66">
        <w:rPr>
          <w:rFonts w:ascii="Arial" w:hAnsi="Arial" w:cs="Arial"/>
          <w:sz w:val="18"/>
          <w:szCs w:val="18"/>
        </w:rPr>
        <w:t>980</w:t>
      </w:r>
      <w:proofErr w:type="gramStart"/>
      <w:r w:rsidR="00E02D66">
        <w:rPr>
          <w:rFonts w:ascii="Arial" w:hAnsi="Arial" w:cs="Arial"/>
          <w:sz w:val="18"/>
          <w:szCs w:val="18"/>
        </w:rPr>
        <w:t>,089,670</w:t>
      </w:r>
      <w:proofErr w:type="gramEnd"/>
      <w:r w:rsidRPr="0073056A">
        <w:rPr>
          <w:rFonts w:ascii="Arial" w:hAnsi="Arial" w:cs="Arial"/>
          <w:sz w:val="18"/>
          <w:szCs w:val="18"/>
        </w:rPr>
        <w:t xml:space="preserve">, integrado por mobiliario y equipo de oficina; educacional y recreativo; instrumental médico y de laboratorio; equipo de transporte; equipo de defensa y seguridad; maquinaria, otros equipos y herramientas y otros activos necesarios para el cumplimiento y desarrollo de las funciones de derecho público; actualmente no se encuentran otorgados en garantía </w:t>
      </w:r>
      <w:r w:rsidR="00A52E18">
        <w:rPr>
          <w:rFonts w:ascii="Arial" w:hAnsi="Arial" w:cs="Arial"/>
          <w:sz w:val="18"/>
          <w:szCs w:val="18"/>
        </w:rPr>
        <w:t xml:space="preserve">de </w:t>
      </w:r>
      <w:r w:rsidRPr="0073056A">
        <w:rPr>
          <w:rFonts w:ascii="Arial" w:hAnsi="Arial" w:cs="Arial"/>
          <w:sz w:val="18"/>
          <w:szCs w:val="18"/>
        </w:rPr>
        <w:t>créditos y est</w:t>
      </w:r>
      <w:r w:rsidR="007525F8">
        <w:rPr>
          <w:rFonts w:ascii="Arial" w:hAnsi="Arial" w:cs="Arial"/>
          <w:sz w:val="18"/>
          <w:szCs w:val="18"/>
        </w:rPr>
        <w:t>a</w:t>
      </w:r>
      <w:r w:rsidR="007C53EF">
        <w:rPr>
          <w:rFonts w:ascii="Arial" w:hAnsi="Arial" w:cs="Arial"/>
          <w:sz w:val="18"/>
          <w:szCs w:val="18"/>
        </w:rPr>
        <w:t>r</w:t>
      </w:r>
      <w:r w:rsidRPr="0073056A">
        <w:rPr>
          <w:rFonts w:ascii="Arial" w:hAnsi="Arial" w:cs="Arial"/>
          <w:sz w:val="18"/>
          <w:szCs w:val="18"/>
        </w:rPr>
        <w:t>án sujetos a depreciación.</w:t>
      </w:r>
    </w:p>
    <w:p w:rsidR="003527CD" w:rsidRPr="0073056A" w:rsidRDefault="003527CD" w:rsidP="00C50527">
      <w:pPr>
        <w:tabs>
          <w:tab w:val="left" w:pos="284"/>
        </w:tabs>
        <w:ind w:left="284"/>
        <w:jc w:val="both"/>
        <w:rPr>
          <w:rFonts w:ascii="Arial" w:hAnsi="Arial" w:cs="Arial"/>
          <w:sz w:val="18"/>
          <w:szCs w:val="18"/>
        </w:rPr>
      </w:pPr>
    </w:p>
    <w:tbl>
      <w:tblPr>
        <w:tblStyle w:val="Tablaconcuadrcula"/>
        <w:tblW w:w="0" w:type="auto"/>
        <w:tblInd w:w="2093" w:type="dxa"/>
        <w:tblLook w:val="04A0" w:firstRow="1" w:lastRow="0" w:firstColumn="1" w:lastColumn="0" w:noHBand="0" w:noVBand="1"/>
      </w:tblPr>
      <w:tblGrid>
        <w:gridCol w:w="1843"/>
        <w:gridCol w:w="2012"/>
        <w:gridCol w:w="1957"/>
        <w:gridCol w:w="1842"/>
        <w:gridCol w:w="1606"/>
      </w:tblGrid>
      <w:tr w:rsidR="003527CD" w:rsidRPr="0073056A" w:rsidTr="001E46CF">
        <w:tc>
          <w:tcPr>
            <w:tcW w:w="1843" w:type="dxa"/>
            <w:vMerge w:val="restart"/>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2012" w:type="dxa"/>
            <w:vMerge w:val="restart"/>
            <w:shd w:val="pct10" w:color="auto" w:fill="auto"/>
            <w:vAlign w:val="center"/>
          </w:tcPr>
          <w:p w:rsidR="003527CD" w:rsidRPr="0073056A" w:rsidRDefault="003527CD" w:rsidP="00776479">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776479">
              <w:rPr>
                <w:rFonts w:ascii="Arial" w:hAnsi="Arial" w:cs="Arial"/>
                <w:b/>
                <w:sz w:val="18"/>
                <w:szCs w:val="18"/>
              </w:rPr>
              <w:t>5</w:t>
            </w:r>
          </w:p>
        </w:tc>
        <w:tc>
          <w:tcPr>
            <w:tcW w:w="1957" w:type="dxa"/>
            <w:vMerge w:val="restart"/>
            <w:shd w:val="pct10" w:color="auto" w:fill="auto"/>
            <w:vAlign w:val="center"/>
          </w:tcPr>
          <w:p w:rsidR="003527CD" w:rsidRPr="0073056A" w:rsidRDefault="003527CD" w:rsidP="00776479">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776479">
              <w:rPr>
                <w:rFonts w:ascii="Arial" w:hAnsi="Arial" w:cs="Arial"/>
                <w:b/>
                <w:sz w:val="18"/>
                <w:szCs w:val="18"/>
              </w:rPr>
              <w:t>4</w:t>
            </w:r>
          </w:p>
        </w:tc>
        <w:tc>
          <w:tcPr>
            <w:tcW w:w="3448" w:type="dxa"/>
            <w:gridSpan w:val="2"/>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3527CD" w:rsidRPr="0073056A" w:rsidTr="001E46CF">
        <w:tc>
          <w:tcPr>
            <w:tcW w:w="1843" w:type="dxa"/>
            <w:vMerge/>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p>
        </w:tc>
        <w:tc>
          <w:tcPr>
            <w:tcW w:w="2012" w:type="dxa"/>
            <w:vMerge/>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p>
        </w:tc>
        <w:tc>
          <w:tcPr>
            <w:tcW w:w="1957" w:type="dxa"/>
            <w:vMerge/>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p>
        </w:tc>
        <w:tc>
          <w:tcPr>
            <w:tcW w:w="1842" w:type="dxa"/>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606" w:type="dxa"/>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3527CD" w:rsidRPr="0073056A" w:rsidTr="001E46CF">
        <w:tc>
          <w:tcPr>
            <w:tcW w:w="1843" w:type="dxa"/>
            <w:vAlign w:val="center"/>
          </w:tcPr>
          <w:p w:rsidR="003527CD" w:rsidRPr="0073056A" w:rsidRDefault="003527CD" w:rsidP="00C50527">
            <w:pPr>
              <w:tabs>
                <w:tab w:val="left" w:pos="284"/>
              </w:tabs>
              <w:spacing w:line="276" w:lineRule="auto"/>
              <w:ind w:left="284"/>
              <w:jc w:val="center"/>
              <w:rPr>
                <w:rFonts w:ascii="Arial" w:hAnsi="Arial" w:cs="Arial"/>
                <w:sz w:val="18"/>
                <w:szCs w:val="18"/>
              </w:rPr>
            </w:pPr>
            <w:r w:rsidRPr="0073056A">
              <w:rPr>
                <w:rFonts w:ascii="Arial" w:hAnsi="Arial" w:cs="Arial"/>
                <w:sz w:val="18"/>
                <w:szCs w:val="18"/>
              </w:rPr>
              <w:t>Bienes Muebles</w:t>
            </w:r>
          </w:p>
        </w:tc>
        <w:tc>
          <w:tcPr>
            <w:tcW w:w="2012" w:type="dxa"/>
            <w:vAlign w:val="center"/>
          </w:tcPr>
          <w:p w:rsidR="003527CD" w:rsidRPr="0073056A" w:rsidRDefault="003527CD" w:rsidP="00E02D66">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1E46CF">
              <w:rPr>
                <w:rFonts w:ascii="Arial" w:hAnsi="Arial" w:cs="Arial"/>
                <w:sz w:val="18"/>
                <w:szCs w:val="18"/>
              </w:rPr>
              <w:t xml:space="preserve"> </w:t>
            </w:r>
            <w:r w:rsidR="00E02D66">
              <w:rPr>
                <w:rFonts w:ascii="Arial" w:hAnsi="Arial" w:cs="Arial"/>
                <w:sz w:val="18"/>
                <w:szCs w:val="18"/>
              </w:rPr>
              <w:t>980,089,670</w:t>
            </w:r>
          </w:p>
        </w:tc>
        <w:tc>
          <w:tcPr>
            <w:tcW w:w="1957" w:type="dxa"/>
            <w:vAlign w:val="center"/>
          </w:tcPr>
          <w:p w:rsidR="003527CD" w:rsidRPr="0073056A" w:rsidRDefault="003527CD" w:rsidP="00E02D66">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1E46CF">
              <w:rPr>
                <w:rFonts w:ascii="Arial" w:hAnsi="Arial" w:cs="Arial"/>
                <w:sz w:val="18"/>
                <w:szCs w:val="18"/>
              </w:rPr>
              <w:t xml:space="preserve"> </w:t>
            </w:r>
            <w:r w:rsidR="00776479">
              <w:rPr>
                <w:rFonts w:ascii="Arial" w:hAnsi="Arial" w:cs="Arial"/>
                <w:sz w:val="18"/>
                <w:szCs w:val="18"/>
              </w:rPr>
              <w:t>843,798,353</w:t>
            </w:r>
          </w:p>
        </w:tc>
        <w:tc>
          <w:tcPr>
            <w:tcW w:w="1842" w:type="dxa"/>
            <w:vAlign w:val="center"/>
          </w:tcPr>
          <w:p w:rsidR="003527CD" w:rsidRPr="0073056A" w:rsidRDefault="003527CD" w:rsidP="00776479">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E02D66">
              <w:rPr>
                <w:rFonts w:ascii="Arial" w:hAnsi="Arial" w:cs="Arial"/>
                <w:sz w:val="18"/>
                <w:szCs w:val="18"/>
              </w:rPr>
              <w:t xml:space="preserve"> 136,291,317</w:t>
            </w:r>
          </w:p>
        </w:tc>
        <w:tc>
          <w:tcPr>
            <w:tcW w:w="1606" w:type="dxa"/>
            <w:vAlign w:val="center"/>
          </w:tcPr>
          <w:p w:rsidR="003527CD" w:rsidRPr="0073056A" w:rsidRDefault="00E02D66" w:rsidP="000A7AB8">
            <w:pPr>
              <w:tabs>
                <w:tab w:val="left" w:pos="284"/>
              </w:tabs>
              <w:spacing w:line="276" w:lineRule="auto"/>
              <w:ind w:left="284"/>
              <w:jc w:val="center"/>
              <w:rPr>
                <w:rFonts w:ascii="Arial" w:hAnsi="Arial" w:cs="Arial"/>
                <w:sz w:val="18"/>
                <w:szCs w:val="18"/>
              </w:rPr>
            </w:pPr>
            <w:r>
              <w:rPr>
                <w:rFonts w:ascii="Arial" w:hAnsi="Arial" w:cs="Arial"/>
                <w:sz w:val="18"/>
                <w:szCs w:val="18"/>
              </w:rPr>
              <w:t>16.1</w:t>
            </w:r>
            <w:r w:rsidR="001E46CF">
              <w:rPr>
                <w:rFonts w:ascii="Arial" w:hAnsi="Arial" w:cs="Arial"/>
                <w:sz w:val="18"/>
                <w:szCs w:val="18"/>
              </w:rPr>
              <w:t>%</w:t>
            </w:r>
          </w:p>
        </w:tc>
      </w:tr>
    </w:tbl>
    <w:p w:rsidR="007A52C8" w:rsidRDefault="007A52C8" w:rsidP="00C50527">
      <w:pPr>
        <w:tabs>
          <w:tab w:val="left" w:pos="284"/>
        </w:tabs>
        <w:ind w:left="284"/>
        <w:jc w:val="both"/>
        <w:rPr>
          <w:rFonts w:ascii="Arial" w:hAnsi="Arial" w:cs="Arial"/>
          <w:sz w:val="18"/>
          <w:szCs w:val="18"/>
        </w:rPr>
      </w:pPr>
    </w:p>
    <w:p w:rsidR="003527CD" w:rsidRPr="0073056A" w:rsidRDefault="003527CD" w:rsidP="00C50527">
      <w:pPr>
        <w:tabs>
          <w:tab w:val="left" w:pos="284"/>
        </w:tabs>
        <w:ind w:left="284"/>
        <w:jc w:val="both"/>
        <w:rPr>
          <w:rFonts w:ascii="Arial" w:hAnsi="Arial" w:cs="Arial"/>
          <w:sz w:val="18"/>
          <w:szCs w:val="18"/>
        </w:rPr>
      </w:pPr>
      <w:r w:rsidRPr="0073056A">
        <w:rPr>
          <w:rFonts w:ascii="Arial" w:hAnsi="Arial" w:cs="Arial"/>
          <w:sz w:val="18"/>
          <w:szCs w:val="18"/>
        </w:rPr>
        <w:lastRenderedPageBreak/>
        <w:t>El saldo de $</w:t>
      </w:r>
      <w:r w:rsidR="000A7AB8">
        <w:rPr>
          <w:rFonts w:ascii="Arial" w:hAnsi="Arial" w:cs="Arial"/>
          <w:sz w:val="18"/>
          <w:szCs w:val="18"/>
        </w:rPr>
        <w:t xml:space="preserve"> </w:t>
      </w:r>
      <w:r w:rsidR="00E02D66">
        <w:rPr>
          <w:rFonts w:ascii="Arial" w:hAnsi="Arial" w:cs="Arial"/>
          <w:sz w:val="18"/>
          <w:szCs w:val="18"/>
        </w:rPr>
        <w:t>8</w:t>
      </w:r>
      <w:proofErr w:type="gramStart"/>
      <w:r w:rsidR="00E02D66">
        <w:rPr>
          <w:rFonts w:ascii="Arial" w:hAnsi="Arial" w:cs="Arial"/>
          <w:sz w:val="18"/>
          <w:szCs w:val="18"/>
        </w:rPr>
        <w:t>,750,222,078</w:t>
      </w:r>
      <w:proofErr w:type="gramEnd"/>
      <w:r w:rsidR="00E02D66">
        <w:rPr>
          <w:rFonts w:ascii="Arial" w:hAnsi="Arial" w:cs="Arial"/>
          <w:sz w:val="18"/>
          <w:szCs w:val="18"/>
        </w:rPr>
        <w:t xml:space="preserve"> </w:t>
      </w:r>
      <w:r w:rsidRPr="0073056A">
        <w:rPr>
          <w:rFonts w:ascii="Arial" w:hAnsi="Arial" w:cs="Arial"/>
          <w:sz w:val="18"/>
          <w:szCs w:val="18"/>
        </w:rPr>
        <w:t xml:space="preserve">representa el valor de los terrenos, edificios no habitacionales, infraestructura, construcciones en proceso en bienes de dominio público y en bienes propios valuados a su costo de adquisición, destinados para cumplir con las funciones de derecho público, como es proporcionar educación, salud, seguridad, la operatividad y administración del mismo; actualmente no se encuentran otorgados en garantía de créditos </w:t>
      </w:r>
      <w:r w:rsidR="007C53EF">
        <w:rPr>
          <w:rFonts w:ascii="Arial" w:hAnsi="Arial" w:cs="Arial"/>
          <w:sz w:val="18"/>
          <w:szCs w:val="18"/>
        </w:rPr>
        <w:t>y</w:t>
      </w:r>
      <w:r w:rsidRPr="0073056A">
        <w:rPr>
          <w:rFonts w:ascii="Arial" w:hAnsi="Arial" w:cs="Arial"/>
          <w:sz w:val="18"/>
          <w:szCs w:val="18"/>
        </w:rPr>
        <w:t xml:space="preserve"> est</w:t>
      </w:r>
      <w:r w:rsidR="007C53EF">
        <w:rPr>
          <w:rFonts w:ascii="Arial" w:hAnsi="Arial" w:cs="Arial"/>
          <w:sz w:val="18"/>
          <w:szCs w:val="18"/>
        </w:rPr>
        <w:t>ar</w:t>
      </w:r>
      <w:r w:rsidRPr="0073056A">
        <w:rPr>
          <w:rFonts w:ascii="Arial" w:hAnsi="Arial" w:cs="Arial"/>
          <w:sz w:val="18"/>
          <w:szCs w:val="18"/>
        </w:rPr>
        <w:t>án sujetos a depreciación</w:t>
      </w:r>
    </w:p>
    <w:p w:rsidR="003527CD" w:rsidRPr="007A52C8" w:rsidRDefault="003527CD" w:rsidP="00C50527">
      <w:pPr>
        <w:tabs>
          <w:tab w:val="left" w:pos="284"/>
        </w:tabs>
        <w:ind w:left="284"/>
        <w:jc w:val="both"/>
        <w:rPr>
          <w:rFonts w:ascii="Arial" w:hAnsi="Arial" w:cs="Arial"/>
          <w:sz w:val="2"/>
          <w:szCs w:val="18"/>
        </w:rPr>
      </w:pPr>
    </w:p>
    <w:tbl>
      <w:tblPr>
        <w:tblStyle w:val="Tablaconcuadrcula"/>
        <w:tblW w:w="0" w:type="auto"/>
        <w:tblInd w:w="2358" w:type="dxa"/>
        <w:tblLook w:val="04A0" w:firstRow="1" w:lastRow="0" w:firstColumn="1" w:lastColumn="0" w:noHBand="0" w:noVBand="1"/>
      </w:tblPr>
      <w:tblGrid>
        <w:gridCol w:w="1795"/>
        <w:gridCol w:w="1909"/>
        <w:gridCol w:w="1984"/>
        <w:gridCol w:w="1985"/>
        <w:gridCol w:w="1463"/>
      </w:tblGrid>
      <w:tr w:rsidR="003527CD" w:rsidRPr="0073056A" w:rsidTr="000A7AB8">
        <w:tc>
          <w:tcPr>
            <w:tcW w:w="1795" w:type="dxa"/>
            <w:vMerge w:val="restart"/>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909" w:type="dxa"/>
            <w:vMerge w:val="restart"/>
            <w:shd w:val="pct10" w:color="auto" w:fill="auto"/>
            <w:vAlign w:val="center"/>
          </w:tcPr>
          <w:p w:rsidR="003527CD" w:rsidRPr="0073056A" w:rsidRDefault="003527CD" w:rsidP="00776479">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776479">
              <w:rPr>
                <w:rFonts w:ascii="Arial" w:hAnsi="Arial" w:cs="Arial"/>
                <w:b/>
                <w:sz w:val="18"/>
                <w:szCs w:val="18"/>
              </w:rPr>
              <w:t>5</w:t>
            </w:r>
          </w:p>
        </w:tc>
        <w:tc>
          <w:tcPr>
            <w:tcW w:w="1984" w:type="dxa"/>
            <w:vMerge w:val="restart"/>
            <w:shd w:val="pct10" w:color="auto" w:fill="auto"/>
            <w:vAlign w:val="center"/>
          </w:tcPr>
          <w:p w:rsidR="003527CD" w:rsidRPr="0073056A" w:rsidRDefault="003527CD" w:rsidP="00776479">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776479">
              <w:rPr>
                <w:rFonts w:ascii="Arial" w:hAnsi="Arial" w:cs="Arial"/>
                <w:b/>
                <w:sz w:val="18"/>
                <w:szCs w:val="18"/>
              </w:rPr>
              <w:t>4</w:t>
            </w:r>
          </w:p>
        </w:tc>
        <w:tc>
          <w:tcPr>
            <w:tcW w:w="3448" w:type="dxa"/>
            <w:gridSpan w:val="2"/>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3527CD" w:rsidRPr="0073056A" w:rsidTr="000A7AB8">
        <w:tc>
          <w:tcPr>
            <w:tcW w:w="1795" w:type="dxa"/>
            <w:vMerge/>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p>
        </w:tc>
        <w:tc>
          <w:tcPr>
            <w:tcW w:w="1909" w:type="dxa"/>
            <w:vMerge/>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p>
        </w:tc>
        <w:tc>
          <w:tcPr>
            <w:tcW w:w="1984" w:type="dxa"/>
            <w:vMerge/>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p>
        </w:tc>
        <w:tc>
          <w:tcPr>
            <w:tcW w:w="1985" w:type="dxa"/>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463" w:type="dxa"/>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3527CD" w:rsidRPr="0073056A" w:rsidTr="000A7AB8">
        <w:tc>
          <w:tcPr>
            <w:tcW w:w="1795" w:type="dxa"/>
            <w:vAlign w:val="center"/>
          </w:tcPr>
          <w:p w:rsidR="003527CD" w:rsidRPr="0073056A" w:rsidRDefault="003527CD" w:rsidP="00C50527">
            <w:pPr>
              <w:tabs>
                <w:tab w:val="left" w:pos="284"/>
              </w:tabs>
              <w:spacing w:line="276" w:lineRule="auto"/>
              <w:ind w:left="284"/>
              <w:jc w:val="center"/>
              <w:rPr>
                <w:rFonts w:ascii="Arial" w:hAnsi="Arial" w:cs="Arial"/>
                <w:sz w:val="18"/>
                <w:szCs w:val="18"/>
              </w:rPr>
            </w:pPr>
            <w:r w:rsidRPr="0073056A">
              <w:rPr>
                <w:rFonts w:ascii="Arial" w:hAnsi="Arial" w:cs="Arial"/>
                <w:sz w:val="18"/>
                <w:szCs w:val="18"/>
              </w:rPr>
              <w:t>Bienes Inmuebles</w:t>
            </w:r>
          </w:p>
        </w:tc>
        <w:tc>
          <w:tcPr>
            <w:tcW w:w="1909" w:type="dxa"/>
            <w:vAlign w:val="center"/>
          </w:tcPr>
          <w:p w:rsidR="003527CD" w:rsidRPr="0073056A" w:rsidRDefault="00776479" w:rsidP="000A7AB8">
            <w:pPr>
              <w:tabs>
                <w:tab w:val="left" w:pos="284"/>
              </w:tabs>
              <w:spacing w:line="276" w:lineRule="auto"/>
              <w:ind w:left="284"/>
              <w:jc w:val="right"/>
              <w:rPr>
                <w:rFonts w:ascii="Arial" w:hAnsi="Arial" w:cs="Arial"/>
                <w:sz w:val="18"/>
                <w:szCs w:val="18"/>
              </w:rPr>
            </w:pPr>
            <w:r>
              <w:rPr>
                <w:rFonts w:ascii="Arial" w:hAnsi="Arial" w:cs="Arial"/>
                <w:sz w:val="18"/>
                <w:szCs w:val="18"/>
              </w:rPr>
              <w:t>$</w:t>
            </w:r>
            <w:r w:rsidR="00E02D66">
              <w:rPr>
                <w:rFonts w:ascii="Arial" w:hAnsi="Arial" w:cs="Arial"/>
                <w:sz w:val="18"/>
                <w:szCs w:val="18"/>
              </w:rPr>
              <w:t xml:space="preserve"> 8,750,222,078</w:t>
            </w:r>
          </w:p>
        </w:tc>
        <w:tc>
          <w:tcPr>
            <w:tcW w:w="1984" w:type="dxa"/>
            <w:vAlign w:val="center"/>
          </w:tcPr>
          <w:p w:rsidR="003527CD" w:rsidRPr="0073056A" w:rsidRDefault="003527CD" w:rsidP="00E02D66">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0A7AB8">
              <w:rPr>
                <w:rFonts w:ascii="Arial" w:hAnsi="Arial" w:cs="Arial"/>
                <w:sz w:val="18"/>
                <w:szCs w:val="18"/>
              </w:rPr>
              <w:t xml:space="preserve"> </w:t>
            </w:r>
            <w:r w:rsidR="00776479">
              <w:rPr>
                <w:rFonts w:ascii="Arial" w:hAnsi="Arial" w:cs="Arial"/>
                <w:sz w:val="18"/>
                <w:szCs w:val="18"/>
              </w:rPr>
              <w:t>7,934,455,119</w:t>
            </w:r>
          </w:p>
        </w:tc>
        <w:tc>
          <w:tcPr>
            <w:tcW w:w="1985" w:type="dxa"/>
            <w:vAlign w:val="center"/>
          </w:tcPr>
          <w:p w:rsidR="003527CD" w:rsidRPr="0073056A" w:rsidRDefault="003527CD" w:rsidP="00E02D66">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0A7AB8">
              <w:rPr>
                <w:rFonts w:ascii="Arial" w:hAnsi="Arial" w:cs="Arial"/>
                <w:sz w:val="18"/>
                <w:szCs w:val="18"/>
              </w:rPr>
              <w:t xml:space="preserve"> </w:t>
            </w:r>
            <w:r w:rsidR="00E02D66">
              <w:rPr>
                <w:rFonts w:ascii="Arial" w:hAnsi="Arial" w:cs="Arial"/>
                <w:sz w:val="18"/>
                <w:szCs w:val="18"/>
              </w:rPr>
              <w:t>815,766,959</w:t>
            </w:r>
          </w:p>
        </w:tc>
        <w:tc>
          <w:tcPr>
            <w:tcW w:w="1463" w:type="dxa"/>
            <w:vAlign w:val="center"/>
          </w:tcPr>
          <w:p w:rsidR="003527CD" w:rsidRPr="0073056A" w:rsidRDefault="00E02D66" w:rsidP="00C50527">
            <w:pPr>
              <w:tabs>
                <w:tab w:val="left" w:pos="284"/>
              </w:tabs>
              <w:spacing w:line="276" w:lineRule="auto"/>
              <w:ind w:left="284"/>
              <w:jc w:val="center"/>
              <w:rPr>
                <w:rFonts w:ascii="Arial" w:hAnsi="Arial" w:cs="Arial"/>
                <w:sz w:val="18"/>
                <w:szCs w:val="18"/>
              </w:rPr>
            </w:pPr>
            <w:r>
              <w:rPr>
                <w:rFonts w:ascii="Arial" w:hAnsi="Arial" w:cs="Arial"/>
                <w:sz w:val="18"/>
                <w:szCs w:val="18"/>
              </w:rPr>
              <w:t>10.2</w:t>
            </w:r>
            <w:r w:rsidR="000A7AB8">
              <w:rPr>
                <w:rFonts w:ascii="Arial" w:hAnsi="Arial" w:cs="Arial"/>
                <w:sz w:val="18"/>
                <w:szCs w:val="18"/>
              </w:rPr>
              <w:t>%</w:t>
            </w:r>
          </w:p>
        </w:tc>
      </w:tr>
    </w:tbl>
    <w:p w:rsidR="00AE47E9" w:rsidRDefault="00AE47E9" w:rsidP="00C50527">
      <w:pPr>
        <w:tabs>
          <w:tab w:val="left" w:pos="284"/>
        </w:tabs>
        <w:ind w:left="284"/>
        <w:jc w:val="both"/>
        <w:rPr>
          <w:rFonts w:ascii="Arial" w:hAnsi="Arial" w:cs="Arial"/>
          <w:sz w:val="18"/>
          <w:szCs w:val="18"/>
        </w:rPr>
      </w:pPr>
    </w:p>
    <w:p w:rsidR="003527CD" w:rsidRPr="0073056A" w:rsidRDefault="003527CD" w:rsidP="00C50527">
      <w:pPr>
        <w:tabs>
          <w:tab w:val="left" w:pos="284"/>
        </w:tabs>
        <w:ind w:left="284"/>
        <w:jc w:val="both"/>
        <w:rPr>
          <w:rFonts w:ascii="Arial" w:hAnsi="Arial" w:cs="Arial"/>
          <w:sz w:val="18"/>
          <w:szCs w:val="18"/>
        </w:rPr>
      </w:pPr>
      <w:r w:rsidRPr="0073056A">
        <w:rPr>
          <w:rFonts w:ascii="Arial" w:hAnsi="Arial" w:cs="Arial"/>
          <w:sz w:val="18"/>
          <w:szCs w:val="18"/>
        </w:rPr>
        <w:t>El saldo de $</w:t>
      </w:r>
      <w:r w:rsidR="000A7AB8">
        <w:rPr>
          <w:rFonts w:ascii="Arial" w:hAnsi="Arial" w:cs="Arial"/>
          <w:sz w:val="18"/>
          <w:szCs w:val="18"/>
        </w:rPr>
        <w:t xml:space="preserve"> </w:t>
      </w:r>
      <w:r w:rsidR="00E02D66">
        <w:rPr>
          <w:rFonts w:ascii="Arial" w:hAnsi="Arial" w:cs="Arial"/>
          <w:sz w:val="18"/>
          <w:szCs w:val="18"/>
        </w:rPr>
        <w:t>27</w:t>
      </w:r>
      <w:proofErr w:type="gramStart"/>
      <w:r w:rsidR="00E02D66">
        <w:rPr>
          <w:rFonts w:ascii="Arial" w:hAnsi="Arial" w:cs="Arial"/>
          <w:sz w:val="18"/>
          <w:szCs w:val="18"/>
        </w:rPr>
        <w:t>,777,466</w:t>
      </w:r>
      <w:proofErr w:type="gramEnd"/>
      <w:r w:rsidRPr="0073056A">
        <w:rPr>
          <w:rFonts w:ascii="Arial" w:hAnsi="Arial" w:cs="Arial"/>
          <w:sz w:val="18"/>
          <w:szCs w:val="18"/>
        </w:rPr>
        <w:t xml:space="preserve"> lo constituyen activos propiedad del Gobierno del Estado, constituidos por software, patentes, marcas, otros derechos y licencias</w:t>
      </w:r>
      <w:r w:rsidR="00137E93" w:rsidRPr="00137E93">
        <w:rPr>
          <w:rFonts w:ascii="Arial" w:hAnsi="Arial" w:cs="Arial"/>
          <w:sz w:val="18"/>
          <w:szCs w:val="18"/>
        </w:rPr>
        <w:t>.</w:t>
      </w:r>
    </w:p>
    <w:tbl>
      <w:tblPr>
        <w:tblStyle w:val="Tablaconcuadrcula"/>
        <w:tblW w:w="0" w:type="auto"/>
        <w:tblInd w:w="2358" w:type="dxa"/>
        <w:tblLook w:val="04A0" w:firstRow="1" w:lastRow="0" w:firstColumn="1" w:lastColumn="0" w:noHBand="0" w:noVBand="1"/>
      </w:tblPr>
      <w:tblGrid>
        <w:gridCol w:w="1795"/>
        <w:gridCol w:w="1909"/>
        <w:gridCol w:w="1984"/>
        <w:gridCol w:w="1981"/>
        <w:gridCol w:w="1421"/>
      </w:tblGrid>
      <w:tr w:rsidR="003527CD" w:rsidRPr="0073056A" w:rsidTr="000A7AB8">
        <w:tc>
          <w:tcPr>
            <w:tcW w:w="1795" w:type="dxa"/>
            <w:vMerge w:val="restart"/>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909" w:type="dxa"/>
            <w:vMerge w:val="restart"/>
            <w:shd w:val="pct10" w:color="auto" w:fill="auto"/>
            <w:vAlign w:val="center"/>
          </w:tcPr>
          <w:p w:rsidR="003527CD" w:rsidRPr="0073056A" w:rsidRDefault="00776479" w:rsidP="00C50527">
            <w:pPr>
              <w:tabs>
                <w:tab w:val="left" w:pos="284"/>
              </w:tabs>
              <w:spacing w:line="276" w:lineRule="auto"/>
              <w:ind w:left="284"/>
              <w:jc w:val="center"/>
              <w:rPr>
                <w:rFonts w:ascii="Arial" w:hAnsi="Arial" w:cs="Arial"/>
                <w:b/>
                <w:sz w:val="18"/>
                <w:szCs w:val="18"/>
              </w:rPr>
            </w:pPr>
            <w:r>
              <w:rPr>
                <w:rFonts w:ascii="Arial" w:hAnsi="Arial" w:cs="Arial"/>
                <w:b/>
                <w:sz w:val="18"/>
                <w:szCs w:val="18"/>
              </w:rPr>
              <w:t>2015</w:t>
            </w:r>
          </w:p>
        </w:tc>
        <w:tc>
          <w:tcPr>
            <w:tcW w:w="1984" w:type="dxa"/>
            <w:vMerge w:val="restart"/>
            <w:shd w:val="pct10" w:color="auto" w:fill="auto"/>
            <w:vAlign w:val="center"/>
          </w:tcPr>
          <w:p w:rsidR="003527CD" w:rsidRPr="0073056A" w:rsidRDefault="003527CD" w:rsidP="00776479">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776479">
              <w:rPr>
                <w:rFonts w:ascii="Arial" w:hAnsi="Arial" w:cs="Arial"/>
                <w:b/>
                <w:sz w:val="18"/>
                <w:szCs w:val="18"/>
              </w:rPr>
              <w:t>4</w:t>
            </w:r>
          </w:p>
        </w:tc>
        <w:tc>
          <w:tcPr>
            <w:tcW w:w="3402" w:type="dxa"/>
            <w:gridSpan w:val="2"/>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3527CD" w:rsidRPr="0073056A" w:rsidTr="000A7AB8">
        <w:tc>
          <w:tcPr>
            <w:tcW w:w="1795" w:type="dxa"/>
            <w:vMerge/>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p>
        </w:tc>
        <w:tc>
          <w:tcPr>
            <w:tcW w:w="1909" w:type="dxa"/>
            <w:vMerge/>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p>
        </w:tc>
        <w:tc>
          <w:tcPr>
            <w:tcW w:w="1984" w:type="dxa"/>
            <w:vMerge/>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p>
        </w:tc>
        <w:tc>
          <w:tcPr>
            <w:tcW w:w="1981" w:type="dxa"/>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421" w:type="dxa"/>
            <w:shd w:val="pct10" w:color="auto" w:fill="auto"/>
            <w:vAlign w:val="center"/>
          </w:tcPr>
          <w:p w:rsidR="003527CD" w:rsidRPr="0073056A" w:rsidRDefault="003527CD"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3527CD" w:rsidRPr="0073056A" w:rsidTr="000A7AB8">
        <w:tc>
          <w:tcPr>
            <w:tcW w:w="1795" w:type="dxa"/>
            <w:vAlign w:val="center"/>
          </w:tcPr>
          <w:p w:rsidR="003527CD" w:rsidRPr="0073056A" w:rsidRDefault="003527CD" w:rsidP="00C50527">
            <w:pPr>
              <w:tabs>
                <w:tab w:val="left" w:pos="284"/>
              </w:tabs>
              <w:spacing w:line="276" w:lineRule="auto"/>
              <w:ind w:left="284"/>
              <w:jc w:val="center"/>
              <w:rPr>
                <w:rFonts w:ascii="Arial" w:hAnsi="Arial" w:cs="Arial"/>
                <w:sz w:val="18"/>
                <w:szCs w:val="18"/>
              </w:rPr>
            </w:pPr>
            <w:r w:rsidRPr="0073056A">
              <w:rPr>
                <w:rFonts w:ascii="Arial" w:hAnsi="Arial" w:cs="Arial"/>
                <w:sz w:val="18"/>
                <w:szCs w:val="18"/>
              </w:rPr>
              <w:t>Bienes Intangibles</w:t>
            </w:r>
          </w:p>
        </w:tc>
        <w:tc>
          <w:tcPr>
            <w:tcW w:w="1909" w:type="dxa"/>
            <w:vAlign w:val="center"/>
          </w:tcPr>
          <w:p w:rsidR="003527CD" w:rsidRPr="0073056A" w:rsidRDefault="003527CD" w:rsidP="00E02D66">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776479">
              <w:rPr>
                <w:rFonts w:ascii="Arial" w:hAnsi="Arial" w:cs="Arial"/>
                <w:sz w:val="18"/>
                <w:szCs w:val="18"/>
              </w:rPr>
              <w:t xml:space="preserve"> </w:t>
            </w:r>
            <w:r w:rsidR="00E02D66">
              <w:rPr>
                <w:rFonts w:ascii="Arial" w:hAnsi="Arial" w:cs="Arial"/>
                <w:sz w:val="18"/>
                <w:szCs w:val="18"/>
              </w:rPr>
              <w:t>27,777,466</w:t>
            </w:r>
          </w:p>
        </w:tc>
        <w:tc>
          <w:tcPr>
            <w:tcW w:w="1984" w:type="dxa"/>
            <w:vAlign w:val="center"/>
          </w:tcPr>
          <w:p w:rsidR="003527CD" w:rsidRPr="0073056A" w:rsidRDefault="003527CD" w:rsidP="00E02D66">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0A7AB8">
              <w:rPr>
                <w:rFonts w:ascii="Arial" w:hAnsi="Arial" w:cs="Arial"/>
                <w:sz w:val="18"/>
                <w:szCs w:val="18"/>
              </w:rPr>
              <w:t xml:space="preserve"> </w:t>
            </w:r>
            <w:r w:rsidR="00776479">
              <w:rPr>
                <w:rFonts w:ascii="Arial" w:hAnsi="Arial" w:cs="Arial"/>
                <w:sz w:val="18"/>
                <w:szCs w:val="18"/>
              </w:rPr>
              <w:t>27,740,675</w:t>
            </w:r>
          </w:p>
        </w:tc>
        <w:tc>
          <w:tcPr>
            <w:tcW w:w="1981" w:type="dxa"/>
            <w:vAlign w:val="center"/>
          </w:tcPr>
          <w:p w:rsidR="003527CD" w:rsidRPr="0073056A" w:rsidRDefault="003527CD" w:rsidP="00E02D66">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E02D66">
              <w:rPr>
                <w:rFonts w:ascii="Arial" w:hAnsi="Arial" w:cs="Arial"/>
                <w:sz w:val="18"/>
                <w:szCs w:val="18"/>
              </w:rPr>
              <w:t xml:space="preserve"> 36,791</w:t>
            </w:r>
          </w:p>
        </w:tc>
        <w:tc>
          <w:tcPr>
            <w:tcW w:w="1421" w:type="dxa"/>
            <w:vAlign w:val="center"/>
          </w:tcPr>
          <w:p w:rsidR="003527CD" w:rsidRPr="0073056A" w:rsidRDefault="00E02D66" w:rsidP="00776479">
            <w:pPr>
              <w:tabs>
                <w:tab w:val="left" w:pos="284"/>
              </w:tabs>
              <w:spacing w:line="276" w:lineRule="auto"/>
              <w:ind w:left="284"/>
              <w:jc w:val="center"/>
              <w:rPr>
                <w:rFonts w:ascii="Arial" w:hAnsi="Arial" w:cs="Arial"/>
                <w:sz w:val="18"/>
                <w:szCs w:val="18"/>
              </w:rPr>
            </w:pPr>
            <w:r>
              <w:rPr>
                <w:rFonts w:ascii="Arial" w:hAnsi="Arial" w:cs="Arial"/>
                <w:sz w:val="18"/>
                <w:szCs w:val="18"/>
              </w:rPr>
              <w:t>.13</w:t>
            </w:r>
            <w:r w:rsidR="000A7AB8">
              <w:rPr>
                <w:rFonts w:ascii="Arial" w:hAnsi="Arial" w:cs="Arial"/>
                <w:sz w:val="18"/>
                <w:szCs w:val="18"/>
              </w:rPr>
              <w:t>%</w:t>
            </w:r>
          </w:p>
        </w:tc>
      </w:tr>
    </w:tbl>
    <w:p w:rsidR="00540418" w:rsidRPr="0073056A" w:rsidRDefault="00540418" w:rsidP="00C50527">
      <w:pPr>
        <w:pStyle w:val="ROMANOS"/>
        <w:tabs>
          <w:tab w:val="clear" w:pos="720"/>
          <w:tab w:val="left" w:pos="284"/>
        </w:tabs>
        <w:spacing w:after="0" w:line="276" w:lineRule="auto"/>
        <w:ind w:left="284" w:firstLine="0"/>
        <w:rPr>
          <w:lang w:val="es-MX"/>
        </w:rPr>
      </w:pPr>
    </w:p>
    <w:p w:rsidR="00C50527" w:rsidRDefault="00C50527" w:rsidP="00C50527">
      <w:pPr>
        <w:pStyle w:val="ROMANOS"/>
        <w:tabs>
          <w:tab w:val="clear" w:pos="720"/>
          <w:tab w:val="left" w:pos="284"/>
        </w:tabs>
        <w:spacing w:after="0" w:line="276" w:lineRule="auto"/>
        <w:ind w:left="284" w:firstLine="0"/>
        <w:rPr>
          <w:b/>
          <w:lang w:val="es-MX"/>
        </w:rPr>
      </w:pPr>
    </w:p>
    <w:p w:rsidR="00540418" w:rsidRPr="0073056A" w:rsidRDefault="00540418" w:rsidP="00C50527">
      <w:pPr>
        <w:pStyle w:val="ROMANOS"/>
        <w:tabs>
          <w:tab w:val="clear" w:pos="720"/>
          <w:tab w:val="left" w:pos="284"/>
        </w:tabs>
        <w:spacing w:after="0" w:line="276" w:lineRule="auto"/>
        <w:ind w:left="284" w:firstLine="0"/>
        <w:rPr>
          <w:b/>
          <w:lang w:val="es-MX"/>
        </w:rPr>
      </w:pPr>
      <w:r w:rsidRPr="0073056A">
        <w:rPr>
          <w:b/>
          <w:lang w:val="es-MX"/>
        </w:rPr>
        <w:t>Estimaciones y Deterioros</w:t>
      </w:r>
    </w:p>
    <w:p w:rsidR="003527CD" w:rsidRPr="0073056A" w:rsidRDefault="000A7AB8" w:rsidP="00C50527">
      <w:pPr>
        <w:tabs>
          <w:tab w:val="left" w:pos="284"/>
        </w:tabs>
        <w:ind w:left="284"/>
        <w:rPr>
          <w:rFonts w:ascii="Arial" w:hAnsi="Arial" w:cs="Arial"/>
          <w:sz w:val="18"/>
          <w:szCs w:val="18"/>
        </w:rPr>
      </w:pPr>
      <w:r>
        <w:rPr>
          <w:rFonts w:ascii="Arial" w:hAnsi="Arial" w:cs="Arial"/>
          <w:sz w:val="18"/>
          <w:szCs w:val="18"/>
        </w:rPr>
        <w:t>No aplica</w:t>
      </w:r>
      <w:r w:rsidR="007C53EF">
        <w:rPr>
          <w:rFonts w:ascii="Arial" w:hAnsi="Arial" w:cs="Arial"/>
          <w:sz w:val="18"/>
          <w:szCs w:val="18"/>
        </w:rPr>
        <w:t>, Los registros se realizan sobre operaciones efect</w:t>
      </w:r>
      <w:r w:rsidR="007525F8">
        <w:rPr>
          <w:rFonts w:ascii="Arial" w:hAnsi="Arial" w:cs="Arial"/>
          <w:sz w:val="18"/>
          <w:szCs w:val="18"/>
        </w:rPr>
        <w:t>ivamente realizadas por lo que no se estiman los deterioros</w:t>
      </w:r>
      <w:r w:rsidR="007C53EF">
        <w:rPr>
          <w:rFonts w:ascii="Arial" w:hAnsi="Arial" w:cs="Arial"/>
          <w:sz w:val="18"/>
          <w:szCs w:val="18"/>
        </w:rPr>
        <w:t>.</w:t>
      </w:r>
    </w:p>
    <w:p w:rsidR="003527CD" w:rsidRPr="0073056A" w:rsidRDefault="003527CD" w:rsidP="00C50527">
      <w:pPr>
        <w:tabs>
          <w:tab w:val="left" w:pos="284"/>
        </w:tabs>
        <w:ind w:left="284"/>
        <w:jc w:val="both"/>
        <w:rPr>
          <w:rFonts w:ascii="Arial" w:hAnsi="Arial" w:cs="Arial"/>
          <w:sz w:val="18"/>
          <w:szCs w:val="18"/>
        </w:rPr>
      </w:pPr>
    </w:p>
    <w:p w:rsidR="00540418" w:rsidRPr="0073056A" w:rsidRDefault="00540418" w:rsidP="00C50527">
      <w:pPr>
        <w:pStyle w:val="ROMANOS"/>
        <w:tabs>
          <w:tab w:val="clear" w:pos="720"/>
          <w:tab w:val="left" w:pos="284"/>
        </w:tabs>
        <w:spacing w:after="0" w:line="276" w:lineRule="auto"/>
        <w:ind w:left="284" w:firstLine="0"/>
        <w:rPr>
          <w:b/>
          <w:lang w:val="es-MX"/>
        </w:rPr>
      </w:pPr>
      <w:r w:rsidRPr="0073056A">
        <w:rPr>
          <w:b/>
          <w:lang w:val="es-MX"/>
        </w:rPr>
        <w:t>Otros Activos</w:t>
      </w:r>
    </w:p>
    <w:p w:rsidR="003527CD" w:rsidRPr="0073056A" w:rsidRDefault="000A7AB8" w:rsidP="00C50527">
      <w:pPr>
        <w:tabs>
          <w:tab w:val="left" w:pos="284"/>
        </w:tabs>
        <w:ind w:left="284"/>
        <w:jc w:val="both"/>
        <w:rPr>
          <w:rFonts w:ascii="Arial" w:hAnsi="Arial" w:cs="Arial"/>
          <w:sz w:val="18"/>
          <w:szCs w:val="18"/>
        </w:rPr>
      </w:pPr>
      <w:r>
        <w:rPr>
          <w:rFonts w:ascii="Arial" w:hAnsi="Arial" w:cs="Arial"/>
          <w:sz w:val="18"/>
          <w:szCs w:val="18"/>
        </w:rPr>
        <w:t>No aplica</w:t>
      </w:r>
      <w:r w:rsidR="007C53EF">
        <w:rPr>
          <w:rFonts w:ascii="Arial" w:hAnsi="Arial" w:cs="Arial"/>
          <w:sz w:val="18"/>
          <w:szCs w:val="18"/>
        </w:rPr>
        <w:t>, Los registros se afectan a cuentas específicas.</w:t>
      </w:r>
    </w:p>
    <w:p w:rsidR="00F6319C" w:rsidRPr="0073056A" w:rsidRDefault="00F6319C" w:rsidP="00C50527">
      <w:pPr>
        <w:pStyle w:val="ROMANOS"/>
        <w:tabs>
          <w:tab w:val="clear" w:pos="720"/>
          <w:tab w:val="left" w:pos="284"/>
        </w:tabs>
        <w:spacing w:after="0" w:line="276" w:lineRule="auto"/>
        <w:ind w:left="284" w:firstLine="0"/>
        <w:rPr>
          <w:lang w:val="es-MX"/>
        </w:rPr>
      </w:pPr>
    </w:p>
    <w:p w:rsidR="00F6319C" w:rsidRDefault="00F6319C" w:rsidP="00C50527">
      <w:pPr>
        <w:pStyle w:val="ROMANOS"/>
        <w:tabs>
          <w:tab w:val="clear" w:pos="720"/>
          <w:tab w:val="left" w:pos="284"/>
        </w:tabs>
        <w:spacing w:after="0" w:line="276" w:lineRule="auto"/>
        <w:ind w:left="284" w:firstLine="0"/>
        <w:rPr>
          <w:lang w:val="es-MX"/>
        </w:rPr>
      </w:pPr>
    </w:p>
    <w:p w:rsidR="007A52C8" w:rsidRDefault="007A52C8" w:rsidP="00C50527">
      <w:pPr>
        <w:pStyle w:val="ROMANOS"/>
        <w:tabs>
          <w:tab w:val="clear" w:pos="720"/>
          <w:tab w:val="left" w:pos="284"/>
        </w:tabs>
        <w:spacing w:after="0" w:line="276" w:lineRule="auto"/>
        <w:ind w:left="284" w:firstLine="0"/>
        <w:rPr>
          <w:lang w:val="es-MX"/>
        </w:rPr>
      </w:pPr>
    </w:p>
    <w:p w:rsidR="007A52C8" w:rsidRDefault="007A52C8" w:rsidP="00C50527">
      <w:pPr>
        <w:pStyle w:val="ROMANOS"/>
        <w:tabs>
          <w:tab w:val="clear" w:pos="720"/>
          <w:tab w:val="left" w:pos="284"/>
        </w:tabs>
        <w:spacing w:after="0" w:line="276" w:lineRule="auto"/>
        <w:ind w:left="284" w:firstLine="0"/>
        <w:rPr>
          <w:lang w:val="es-MX"/>
        </w:rPr>
      </w:pPr>
    </w:p>
    <w:p w:rsidR="007A52C8" w:rsidRDefault="007A52C8" w:rsidP="00C50527">
      <w:pPr>
        <w:pStyle w:val="ROMANOS"/>
        <w:tabs>
          <w:tab w:val="clear" w:pos="720"/>
          <w:tab w:val="left" w:pos="284"/>
        </w:tabs>
        <w:spacing w:after="0" w:line="276" w:lineRule="auto"/>
        <w:ind w:left="284" w:firstLine="0"/>
        <w:rPr>
          <w:lang w:val="es-MX"/>
        </w:rPr>
      </w:pPr>
    </w:p>
    <w:p w:rsidR="007A52C8" w:rsidRDefault="007A52C8" w:rsidP="00C50527">
      <w:pPr>
        <w:pStyle w:val="ROMANOS"/>
        <w:tabs>
          <w:tab w:val="clear" w:pos="720"/>
          <w:tab w:val="left" w:pos="284"/>
        </w:tabs>
        <w:spacing w:after="0" w:line="276" w:lineRule="auto"/>
        <w:ind w:left="284" w:firstLine="0"/>
        <w:rPr>
          <w:lang w:val="es-MX"/>
        </w:rPr>
      </w:pPr>
    </w:p>
    <w:p w:rsidR="007A52C8" w:rsidRDefault="007A52C8" w:rsidP="00C50527">
      <w:pPr>
        <w:pStyle w:val="ROMANOS"/>
        <w:tabs>
          <w:tab w:val="clear" w:pos="720"/>
          <w:tab w:val="left" w:pos="284"/>
        </w:tabs>
        <w:spacing w:after="0" w:line="276" w:lineRule="auto"/>
        <w:ind w:left="284" w:firstLine="0"/>
        <w:rPr>
          <w:lang w:val="es-MX"/>
        </w:rPr>
      </w:pPr>
    </w:p>
    <w:p w:rsidR="007A52C8" w:rsidRDefault="007A52C8" w:rsidP="00C50527">
      <w:pPr>
        <w:pStyle w:val="ROMANOS"/>
        <w:tabs>
          <w:tab w:val="clear" w:pos="720"/>
          <w:tab w:val="left" w:pos="284"/>
        </w:tabs>
        <w:spacing w:after="0" w:line="276" w:lineRule="auto"/>
        <w:ind w:left="284" w:firstLine="0"/>
        <w:rPr>
          <w:lang w:val="es-MX"/>
        </w:rPr>
      </w:pPr>
    </w:p>
    <w:p w:rsidR="007A52C8" w:rsidRDefault="007A52C8" w:rsidP="00C50527">
      <w:pPr>
        <w:pStyle w:val="ROMANOS"/>
        <w:tabs>
          <w:tab w:val="clear" w:pos="720"/>
          <w:tab w:val="left" w:pos="284"/>
        </w:tabs>
        <w:spacing w:after="0" w:line="276" w:lineRule="auto"/>
        <w:ind w:left="284" w:firstLine="0"/>
        <w:rPr>
          <w:lang w:val="es-MX"/>
        </w:rPr>
      </w:pPr>
    </w:p>
    <w:p w:rsidR="007A52C8" w:rsidRDefault="007A52C8" w:rsidP="00C50527">
      <w:pPr>
        <w:pStyle w:val="ROMANOS"/>
        <w:tabs>
          <w:tab w:val="clear" w:pos="720"/>
          <w:tab w:val="left" w:pos="284"/>
        </w:tabs>
        <w:spacing w:after="0" w:line="276" w:lineRule="auto"/>
        <w:ind w:left="284" w:firstLine="0"/>
        <w:rPr>
          <w:lang w:val="es-MX"/>
        </w:rPr>
      </w:pPr>
    </w:p>
    <w:p w:rsidR="007A52C8" w:rsidRDefault="007A52C8" w:rsidP="00C50527">
      <w:pPr>
        <w:pStyle w:val="ROMANOS"/>
        <w:tabs>
          <w:tab w:val="clear" w:pos="720"/>
          <w:tab w:val="left" w:pos="284"/>
        </w:tabs>
        <w:spacing w:after="0" w:line="276" w:lineRule="auto"/>
        <w:ind w:left="284" w:firstLine="0"/>
        <w:rPr>
          <w:lang w:val="es-MX"/>
        </w:rPr>
      </w:pPr>
    </w:p>
    <w:p w:rsidR="007A52C8" w:rsidRDefault="007A52C8" w:rsidP="00C50527">
      <w:pPr>
        <w:pStyle w:val="ROMANOS"/>
        <w:tabs>
          <w:tab w:val="clear" w:pos="720"/>
          <w:tab w:val="left" w:pos="284"/>
        </w:tabs>
        <w:spacing w:after="0" w:line="276" w:lineRule="auto"/>
        <w:ind w:left="284" w:firstLine="0"/>
        <w:rPr>
          <w:lang w:val="es-MX"/>
        </w:rPr>
      </w:pPr>
    </w:p>
    <w:p w:rsidR="007A52C8" w:rsidRDefault="007A52C8" w:rsidP="00C50527">
      <w:pPr>
        <w:pStyle w:val="ROMANOS"/>
        <w:tabs>
          <w:tab w:val="clear" w:pos="720"/>
          <w:tab w:val="left" w:pos="284"/>
        </w:tabs>
        <w:spacing w:after="0" w:line="276" w:lineRule="auto"/>
        <w:ind w:left="284" w:firstLine="0"/>
        <w:rPr>
          <w:lang w:val="es-MX"/>
        </w:rPr>
      </w:pPr>
    </w:p>
    <w:p w:rsidR="007A52C8" w:rsidRDefault="007A52C8" w:rsidP="00C50527">
      <w:pPr>
        <w:pStyle w:val="ROMANOS"/>
        <w:tabs>
          <w:tab w:val="clear" w:pos="720"/>
          <w:tab w:val="left" w:pos="284"/>
        </w:tabs>
        <w:spacing w:after="0" w:line="276" w:lineRule="auto"/>
        <w:ind w:left="284" w:firstLine="0"/>
        <w:rPr>
          <w:lang w:val="es-MX"/>
        </w:rPr>
      </w:pPr>
    </w:p>
    <w:p w:rsidR="000A7AB8" w:rsidRDefault="000A7AB8" w:rsidP="00C50527">
      <w:pPr>
        <w:pStyle w:val="ROMANOS"/>
        <w:tabs>
          <w:tab w:val="clear" w:pos="720"/>
          <w:tab w:val="left" w:pos="284"/>
        </w:tabs>
        <w:spacing w:after="0" w:line="276" w:lineRule="auto"/>
        <w:ind w:left="284" w:firstLine="0"/>
        <w:rPr>
          <w:lang w:val="es-MX"/>
        </w:rPr>
      </w:pPr>
    </w:p>
    <w:p w:rsidR="000A7AB8" w:rsidRDefault="000A7AB8" w:rsidP="00C50527">
      <w:pPr>
        <w:pStyle w:val="ROMANOS"/>
        <w:tabs>
          <w:tab w:val="clear" w:pos="720"/>
          <w:tab w:val="left" w:pos="284"/>
        </w:tabs>
        <w:spacing w:after="0" w:line="276" w:lineRule="auto"/>
        <w:ind w:left="284" w:firstLine="0"/>
        <w:rPr>
          <w:lang w:val="es-MX"/>
        </w:rPr>
      </w:pPr>
    </w:p>
    <w:p w:rsidR="000A7AB8" w:rsidRDefault="000A7AB8" w:rsidP="00C50527">
      <w:pPr>
        <w:pStyle w:val="ROMANOS"/>
        <w:tabs>
          <w:tab w:val="clear" w:pos="720"/>
          <w:tab w:val="left" w:pos="284"/>
        </w:tabs>
        <w:spacing w:after="0" w:line="276" w:lineRule="auto"/>
        <w:ind w:left="284" w:firstLine="0"/>
        <w:rPr>
          <w:lang w:val="es-MX"/>
        </w:rPr>
      </w:pPr>
    </w:p>
    <w:p w:rsidR="000A7AB8" w:rsidRDefault="000A7AB8" w:rsidP="00C50527">
      <w:pPr>
        <w:pStyle w:val="ROMANOS"/>
        <w:tabs>
          <w:tab w:val="clear" w:pos="720"/>
          <w:tab w:val="left" w:pos="284"/>
        </w:tabs>
        <w:spacing w:after="0" w:line="276" w:lineRule="auto"/>
        <w:ind w:left="284" w:firstLine="0"/>
        <w:rPr>
          <w:lang w:val="es-MX"/>
        </w:rPr>
      </w:pPr>
    </w:p>
    <w:p w:rsidR="000A7AB8" w:rsidRDefault="000A7AB8" w:rsidP="00C50527">
      <w:pPr>
        <w:pStyle w:val="ROMANOS"/>
        <w:tabs>
          <w:tab w:val="clear" w:pos="720"/>
          <w:tab w:val="left" w:pos="284"/>
        </w:tabs>
        <w:spacing w:after="0" w:line="276" w:lineRule="auto"/>
        <w:ind w:left="284" w:firstLine="0"/>
        <w:rPr>
          <w:lang w:val="es-MX"/>
        </w:rPr>
      </w:pPr>
    </w:p>
    <w:p w:rsidR="000A7AB8" w:rsidRDefault="000A7AB8" w:rsidP="00C50527">
      <w:pPr>
        <w:pStyle w:val="ROMANOS"/>
        <w:tabs>
          <w:tab w:val="clear" w:pos="720"/>
          <w:tab w:val="left" w:pos="284"/>
        </w:tabs>
        <w:spacing w:after="0" w:line="276" w:lineRule="auto"/>
        <w:ind w:left="284" w:firstLine="0"/>
        <w:rPr>
          <w:lang w:val="es-MX"/>
        </w:rPr>
      </w:pPr>
    </w:p>
    <w:p w:rsidR="00AE47E9" w:rsidRDefault="00AE47E9" w:rsidP="00C50527">
      <w:pPr>
        <w:pStyle w:val="ROMANOS"/>
        <w:tabs>
          <w:tab w:val="clear" w:pos="720"/>
          <w:tab w:val="left" w:pos="284"/>
        </w:tabs>
        <w:spacing w:after="0" w:line="276" w:lineRule="auto"/>
        <w:ind w:left="284" w:firstLine="0"/>
        <w:rPr>
          <w:lang w:val="es-MX"/>
        </w:rPr>
      </w:pPr>
    </w:p>
    <w:p w:rsidR="000A7AB8" w:rsidRPr="0073056A" w:rsidRDefault="000A7AB8" w:rsidP="00C50527">
      <w:pPr>
        <w:pStyle w:val="ROMANOS"/>
        <w:tabs>
          <w:tab w:val="clear" w:pos="720"/>
          <w:tab w:val="left" w:pos="284"/>
        </w:tabs>
        <w:spacing w:after="0" w:line="276" w:lineRule="auto"/>
        <w:ind w:left="284" w:firstLine="0"/>
        <w:rPr>
          <w:lang w:val="es-MX"/>
        </w:rPr>
      </w:pPr>
    </w:p>
    <w:p w:rsidR="00540418" w:rsidRPr="0073056A" w:rsidRDefault="00540418" w:rsidP="00C50527">
      <w:pPr>
        <w:pStyle w:val="ROMANOS"/>
        <w:tabs>
          <w:tab w:val="clear" w:pos="720"/>
          <w:tab w:val="left" w:pos="284"/>
        </w:tabs>
        <w:spacing w:after="0" w:line="276" w:lineRule="auto"/>
        <w:ind w:left="284" w:firstLine="0"/>
        <w:rPr>
          <w:b/>
          <w:lang w:val="es-MX"/>
        </w:rPr>
      </w:pPr>
      <w:r w:rsidRPr="0073056A">
        <w:rPr>
          <w:b/>
          <w:lang w:val="es-MX"/>
        </w:rPr>
        <w:t>Pasivo</w:t>
      </w:r>
    </w:p>
    <w:p w:rsidR="003527CD" w:rsidRPr="0073056A" w:rsidRDefault="003527CD" w:rsidP="00C50527">
      <w:pPr>
        <w:tabs>
          <w:tab w:val="left" w:pos="284"/>
        </w:tabs>
        <w:ind w:left="284"/>
        <w:jc w:val="both"/>
        <w:rPr>
          <w:rFonts w:ascii="Arial" w:hAnsi="Arial" w:cs="Arial"/>
          <w:sz w:val="18"/>
          <w:szCs w:val="18"/>
        </w:rPr>
      </w:pPr>
      <w:r w:rsidRPr="0073056A">
        <w:rPr>
          <w:rFonts w:ascii="Arial" w:hAnsi="Arial" w:cs="Arial"/>
          <w:sz w:val="18"/>
          <w:szCs w:val="18"/>
        </w:rPr>
        <w:t>Son las obligaciones presentes del Gobierno del Estado, ineludibles, identificadas, cuantificadas monetariamente y que representan una disminución futura de beneficios económicos, derivadas de operaciones ocurridas en el pasado que le han afectado económicamente.</w:t>
      </w:r>
    </w:p>
    <w:p w:rsidR="00C50527" w:rsidRDefault="00C50527" w:rsidP="00C50527">
      <w:pPr>
        <w:tabs>
          <w:tab w:val="left" w:pos="284"/>
        </w:tabs>
        <w:ind w:left="284"/>
        <w:jc w:val="both"/>
        <w:rPr>
          <w:rFonts w:ascii="Arial" w:hAnsi="Arial" w:cs="Arial"/>
          <w:b/>
          <w:sz w:val="18"/>
          <w:szCs w:val="18"/>
        </w:rPr>
      </w:pPr>
    </w:p>
    <w:p w:rsidR="00C013A1" w:rsidRPr="0073056A" w:rsidRDefault="00390936" w:rsidP="00C50527">
      <w:pPr>
        <w:tabs>
          <w:tab w:val="left" w:pos="284"/>
        </w:tabs>
        <w:spacing w:after="0"/>
        <w:ind w:left="284"/>
        <w:jc w:val="both"/>
        <w:rPr>
          <w:rFonts w:ascii="Arial" w:hAnsi="Arial" w:cs="Arial"/>
          <w:b/>
          <w:sz w:val="18"/>
          <w:szCs w:val="18"/>
        </w:rPr>
      </w:pPr>
      <w:r>
        <w:rPr>
          <w:rFonts w:ascii="Arial" w:hAnsi="Arial" w:cs="Arial"/>
          <w:b/>
          <w:sz w:val="18"/>
          <w:szCs w:val="18"/>
        </w:rPr>
        <w:t>Obligaciones</w:t>
      </w:r>
      <w:r w:rsidR="00C013A1" w:rsidRPr="0073056A">
        <w:rPr>
          <w:rFonts w:ascii="Arial" w:hAnsi="Arial" w:cs="Arial"/>
          <w:b/>
          <w:sz w:val="18"/>
          <w:szCs w:val="18"/>
        </w:rPr>
        <w:t xml:space="preserve"> a Corto Plazo</w:t>
      </w:r>
    </w:p>
    <w:p w:rsidR="001528B7" w:rsidRDefault="00C013A1" w:rsidP="00C50527">
      <w:pPr>
        <w:tabs>
          <w:tab w:val="left" w:pos="284"/>
        </w:tabs>
        <w:ind w:left="284"/>
        <w:jc w:val="both"/>
        <w:rPr>
          <w:rFonts w:ascii="Arial" w:hAnsi="Arial" w:cs="Arial"/>
          <w:sz w:val="18"/>
          <w:szCs w:val="18"/>
        </w:rPr>
      </w:pPr>
      <w:r w:rsidRPr="001528B7">
        <w:rPr>
          <w:rFonts w:ascii="Arial" w:hAnsi="Arial" w:cs="Arial"/>
          <w:sz w:val="18"/>
          <w:szCs w:val="18"/>
        </w:rPr>
        <w:t>El saldo de $</w:t>
      </w:r>
      <w:r w:rsidR="00776479">
        <w:rPr>
          <w:rFonts w:ascii="Arial" w:hAnsi="Arial" w:cs="Arial"/>
          <w:sz w:val="18"/>
          <w:szCs w:val="18"/>
        </w:rPr>
        <w:t xml:space="preserve"> </w:t>
      </w:r>
      <w:r w:rsidR="008E725C">
        <w:rPr>
          <w:rFonts w:ascii="Arial" w:hAnsi="Arial" w:cs="Arial"/>
          <w:sz w:val="18"/>
          <w:szCs w:val="18"/>
        </w:rPr>
        <w:t>1</w:t>
      </w:r>
      <w:proofErr w:type="gramStart"/>
      <w:r w:rsidR="008E725C">
        <w:rPr>
          <w:rFonts w:ascii="Arial" w:hAnsi="Arial" w:cs="Arial"/>
          <w:sz w:val="18"/>
          <w:szCs w:val="18"/>
        </w:rPr>
        <w:t>,258,597,530</w:t>
      </w:r>
      <w:proofErr w:type="gramEnd"/>
      <w:r w:rsidR="00776479">
        <w:rPr>
          <w:rFonts w:ascii="Arial" w:hAnsi="Arial" w:cs="Arial"/>
          <w:sz w:val="18"/>
          <w:szCs w:val="18"/>
        </w:rPr>
        <w:t>,</w:t>
      </w:r>
      <w:r w:rsidRPr="001528B7">
        <w:rPr>
          <w:rFonts w:ascii="Arial" w:hAnsi="Arial" w:cs="Arial"/>
          <w:sz w:val="18"/>
          <w:szCs w:val="18"/>
        </w:rPr>
        <w:t xml:space="preserve"> lo constituyen adeudos originados por la adquisición de bienes y servicios necesarios para la realización de funciones de derecho público</w:t>
      </w:r>
      <w:r w:rsidR="001528B7" w:rsidRPr="001528B7">
        <w:rPr>
          <w:rFonts w:ascii="Arial" w:hAnsi="Arial" w:cs="Arial"/>
          <w:sz w:val="18"/>
          <w:szCs w:val="18"/>
        </w:rPr>
        <w:t>, adeudos contraídos por la ejecución de obra pública, así como por las retenciones realizadas a los trabajadores derivadas del pago de sueldos y salarios, que se enteran en el mes inmediato posterior en los plazos establecidos en las disposiciones legales que le son aplicables.</w:t>
      </w:r>
      <w:r w:rsidRPr="001528B7">
        <w:rPr>
          <w:rFonts w:ascii="Arial" w:hAnsi="Arial" w:cs="Arial"/>
          <w:sz w:val="18"/>
          <w:szCs w:val="18"/>
        </w:rPr>
        <w:t xml:space="preserve"> </w:t>
      </w:r>
    </w:p>
    <w:p w:rsidR="00C013A1" w:rsidRPr="001528B7" w:rsidRDefault="00C013A1" w:rsidP="00C50527">
      <w:pPr>
        <w:tabs>
          <w:tab w:val="left" w:pos="284"/>
        </w:tabs>
        <w:ind w:left="284"/>
        <w:jc w:val="both"/>
        <w:rPr>
          <w:rFonts w:ascii="Arial" w:hAnsi="Arial" w:cs="Arial"/>
          <w:sz w:val="18"/>
          <w:szCs w:val="18"/>
        </w:rPr>
      </w:pPr>
    </w:p>
    <w:tbl>
      <w:tblPr>
        <w:tblStyle w:val="Tablaconcuadrcula"/>
        <w:tblW w:w="0" w:type="auto"/>
        <w:tblInd w:w="2357" w:type="dxa"/>
        <w:tblLook w:val="04A0" w:firstRow="1" w:lastRow="0" w:firstColumn="1" w:lastColumn="0" w:noHBand="0" w:noVBand="1"/>
      </w:tblPr>
      <w:tblGrid>
        <w:gridCol w:w="1795"/>
        <w:gridCol w:w="1795"/>
        <w:gridCol w:w="1796"/>
        <w:gridCol w:w="1796"/>
        <w:gridCol w:w="1796"/>
      </w:tblGrid>
      <w:tr w:rsidR="00C013A1" w:rsidRPr="0073056A" w:rsidTr="008C155F">
        <w:tc>
          <w:tcPr>
            <w:tcW w:w="1795" w:type="dxa"/>
            <w:vMerge w:val="restart"/>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C013A1" w:rsidRPr="0073056A" w:rsidRDefault="00776479" w:rsidP="00C50527">
            <w:pPr>
              <w:tabs>
                <w:tab w:val="left" w:pos="284"/>
              </w:tabs>
              <w:spacing w:line="276" w:lineRule="auto"/>
              <w:ind w:left="284"/>
              <w:jc w:val="center"/>
              <w:rPr>
                <w:rFonts w:ascii="Arial" w:hAnsi="Arial" w:cs="Arial"/>
                <w:b/>
                <w:sz w:val="18"/>
                <w:szCs w:val="18"/>
              </w:rPr>
            </w:pPr>
            <w:r>
              <w:rPr>
                <w:rFonts w:ascii="Arial" w:hAnsi="Arial" w:cs="Arial"/>
                <w:b/>
                <w:sz w:val="18"/>
                <w:szCs w:val="18"/>
              </w:rPr>
              <w:t>2015</w:t>
            </w:r>
          </w:p>
        </w:tc>
        <w:tc>
          <w:tcPr>
            <w:tcW w:w="1796" w:type="dxa"/>
            <w:vMerge w:val="restart"/>
            <w:shd w:val="pct10" w:color="auto" w:fill="auto"/>
            <w:vAlign w:val="center"/>
          </w:tcPr>
          <w:p w:rsidR="00C013A1" w:rsidRPr="0073056A" w:rsidRDefault="008659FD" w:rsidP="00776479">
            <w:pPr>
              <w:tabs>
                <w:tab w:val="left" w:pos="284"/>
              </w:tabs>
              <w:spacing w:line="276" w:lineRule="auto"/>
              <w:ind w:left="284"/>
              <w:jc w:val="center"/>
              <w:rPr>
                <w:rFonts w:ascii="Arial" w:hAnsi="Arial" w:cs="Arial"/>
                <w:b/>
                <w:sz w:val="18"/>
                <w:szCs w:val="18"/>
              </w:rPr>
            </w:pPr>
            <w:r>
              <w:rPr>
                <w:rFonts w:ascii="Arial" w:hAnsi="Arial" w:cs="Arial"/>
                <w:b/>
                <w:sz w:val="18"/>
                <w:szCs w:val="18"/>
              </w:rPr>
              <w:t>201</w:t>
            </w:r>
            <w:r w:rsidR="00776479">
              <w:rPr>
                <w:rFonts w:ascii="Arial" w:hAnsi="Arial" w:cs="Arial"/>
                <w:b/>
                <w:sz w:val="18"/>
                <w:szCs w:val="18"/>
              </w:rPr>
              <w:t>4</w:t>
            </w:r>
          </w:p>
        </w:tc>
        <w:tc>
          <w:tcPr>
            <w:tcW w:w="3592" w:type="dxa"/>
            <w:gridSpan w:val="2"/>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C013A1" w:rsidRPr="0073056A" w:rsidTr="008C155F">
        <w:tc>
          <w:tcPr>
            <w:tcW w:w="1795" w:type="dxa"/>
            <w:vMerge/>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p>
        </w:tc>
        <w:tc>
          <w:tcPr>
            <w:tcW w:w="1795" w:type="dxa"/>
            <w:vMerge/>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p>
        </w:tc>
        <w:tc>
          <w:tcPr>
            <w:tcW w:w="1796" w:type="dxa"/>
            <w:vMerge/>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p>
        </w:tc>
        <w:tc>
          <w:tcPr>
            <w:tcW w:w="1796" w:type="dxa"/>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8659FD" w:rsidRPr="0073056A" w:rsidTr="008659FD">
        <w:tc>
          <w:tcPr>
            <w:tcW w:w="1795" w:type="dxa"/>
            <w:vAlign w:val="center"/>
          </w:tcPr>
          <w:p w:rsidR="008659FD" w:rsidRPr="0073056A" w:rsidRDefault="008659FD" w:rsidP="00390936">
            <w:pPr>
              <w:tabs>
                <w:tab w:val="left" w:pos="53"/>
              </w:tabs>
              <w:spacing w:line="276" w:lineRule="auto"/>
              <w:ind w:left="53"/>
              <w:rPr>
                <w:rFonts w:ascii="Arial" w:hAnsi="Arial" w:cs="Arial"/>
                <w:sz w:val="18"/>
                <w:szCs w:val="18"/>
              </w:rPr>
            </w:pPr>
            <w:r>
              <w:rPr>
                <w:rFonts w:ascii="Arial" w:hAnsi="Arial" w:cs="Arial"/>
                <w:sz w:val="18"/>
                <w:szCs w:val="18"/>
              </w:rPr>
              <w:t>Cuentas</w:t>
            </w:r>
            <w:r w:rsidRPr="0073056A">
              <w:rPr>
                <w:rFonts w:ascii="Arial" w:hAnsi="Arial" w:cs="Arial"/>
                <w:sz w:val="18"/>
                <w:szCs w:val="18"/>
              </w:rPr>
              <w:t xml:space="preserve"> por pagar a Corto Plazo</w:t>
            </w:r>
          </w:p>
        </w:tc>
        <w:tc>
          <w:tcPr>
            <w:tcW w:w="1795" w:type="dxa"/>
            <w:vAlign w:val="center"/>
          </w:tcPr>
          <w:p w:rsidR="008659FD" w:rsidRPr="0073056A" w:rsidRDefault="008659FD" w:rsidP="00E02D66">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776479">
              <w:rPr>
                <w:rFonts w:ascii="Arial" w:hAnsi="Arial" w:cs="Arial"/>
                <w:sz w:val="18"/>
                <w:szCs w:val="18"/>
              </w:rPr>
              <w:t xml:space="preserve"> </w:t>
            </w:r>
            <w:r w:rsidR="00E02D66">
              <w:rPr>
                <w:rFonts w:ascii="Arial" w:hAnsi="Arial" w:cs="Arial"/>
                <w:sz w:val="18"/>
                <w:szCs w:val="18"/>
              </w:rPr>
              <w:t>93,625,586</w:t>
            </w:r>
          </w:p>
        </w:tc>
        <w:tc>
          <w:tcPr>
            <w:tcW w:w="1796" w:type="dxa"/>
            <w:vAlign w:val="center"/>
          </w:tcPr>
          <w:p w:rsidR="008659FD" w:rsidRPr="0073056A" w:rsidRDefault="00776479" w:rsidP="00441BCD">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195,635,734</w:t>
            </w:r>
          </w:p>
        </w:tc>
        <w:tc>
          <w:tcPr>
            <w:tcW w:w="1796" w:type="dxa"/>
            <w:vAlign w:val="center"/>
          </w:tcPr>
          <w:p w:rsidR="008659FD" w:rsidRPr="00FA426C" w:rsidRDefault="00776479" w:rsidP="00776479">
            <w:pPr>
              <w:jc w:val="right"/>
              <w:rPr>
                <w:rFonts w:ascii="Arial" w:hAnsi="Arial" w:cs="Arial"/>
                <w:sz w:val="18"/>
                <w:szCs w:val="18"/>
              </w:rPr>
            </w:pPr>
            <w:r>
              <w:rPr>
                <w:rFonts w:ascii="Arial" w:hAnsi="Arial" w:cs="Arial"/>
                <w:sz w:val="18"/>
                <w:szCs w:val="18"/>
              </w:rPr>
              <w:t>$</w:t>
            </w:r>
            <w:r w:rsidR="00441BCD">
              <w:rPr>
                <w:rFonts w:ascii="Arial" w:hAnsi="Arial" w:cs="Arial"/>
                <w:sz w:val="18"/>
                <w:szCs w:val="18"/>
              </w:rPr>
              <w:t xml:space="preserve"> -102,010,148</w:t>
            </w:r>
          </w:p>
        </w:tc>
        <w:tc>
          <w:tcPr>
            <w:tcW w:w="1796" w:type="dxa"/>
            <w:vAlign w:val="center"/>
          </w:tcPr>
          <w:p w:rsidR="008659FD" w:rsidRPr="0073056A" w:rsidRDefault="00441BCD" w:rsidP="00776479">
            <w:pPr>
              <w:tabs>
                <w:tab w:val="left" w:pos="284"/>
              </w:tabs>
              <w:spacing w:line="276" w:lineRule="auto"/>
              <w:ind w:left="284"/>
              <w:jc w:val="center"/>
              <w:rPr>
                <w:rFonts w:ascii="Arial" w:hAnsi="Arial" w:cs="Arial"/>
                <w:sz w:val="18"/>
                <w:szCs w:val="18"/>
              </w:rPr>
            </w:pPr>
            <w:r>
              <w:rPr>
                <w:rFonts w:ascii="Arial" w:hAnsi="Arial" w:cs="Arial"/>
                <w:sz w:val="18"/>
                <w:szCs w:val="18"/>
              </w:rPr>
              <w:t>-52.1</w:t>
            </w:r>
            <w:r w:rsidR="008659FD">
              <w:rPr>
                <w:rFonts w:ascii="Arial" w:hAnsi="Arial" w:cs="Arial"/>
                <w:sz w:val="18"/>
                <w:szCs w:val="18"/>
              </w:rPr>
              <w:t>%</w:t>
            </w:r>
          </w:p>
        </w:tc>
      </w:tr>
      <w:tr w:rsidR="008659FD" w:rsidRPr="0073056A" w:rsidTr="008659FD">
        <w:tc>
          <w:tcPr>
            <w:tcW w:w="1795" w:type="dxa"/>
            <w:vAlign w:val="center"/>
          </w:tcPr>
          <w:p w:rsidR="008659FD" w:rsidRPr="0073056A" w:rsidRDefault="008659FD" w:rsidP="00390936">
            <w:pPr>
              <w:tabs>
                <w:tab w:val="left" w:pos="53"/>
              </w:tabs>
              <w:spacing w:line="276" w:lineRule="auto"/>
              <w:ind w:left="53"/>
              <w:rPr>
                <w:rFonts w:ascii="Arial" w:hAnsi="Arial" w:cs="Arial"/>
                <w:sz w:val="18"/>
                <w:szCs w:val="18"/>
              </w:rPr>
            </w:pPr>
            <w:r>
              <w:rPr>
                <w:rFonts w:ascii="Arial" w:hAnsi="Arial" w:cs="Arial"/>
                <w:sz w:val="18"/>
                <w:szCs w:val="18"/>
              </w:rPr>
              <w:t>Documentos</w:t>
            </w:r>
            <w:r w:rsidRPr="0073056A">
              <w:rPr>
                <w:rFonts w:ascii="Arial" w:hAnsi="Arial" w:cs="Arial"/>
                <w:sz w:val="18"/>
                <w:szCs w:val="18"/>
              </w:rPr>
              <w:t xml:space="preserve"> por pagar a Corto Plazo</w:t>
            </w:r>
          </w:p>
        </w:tc>
        <w:tc>
          <w:tcPr>
            <w:tcW w:w="1795" w:type="dxa"/>
            <w:vAlign w:val="center"/>
          </w:tcPr>
          <w:p w:rsidR="008659FD" w:rsidRPr="0073056A" w:rsidRDefault="008659FD" w:rsidP="00E02D66">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w:t>
            </w:r>
            <w:r w:rsidR="00E02D66">
              <w:rPr>
                <w:rFonts w:ascii="Arial" w:hAnsi="Arial" w:cs="Arial"/>
                <w:sz w:val="18"/>
                <w:szCs w:val="18"/>
              </w:rPr>
              <w:t>455,499,360</w:t>
            </w:r>
          </w:p>
        </w:tc>
        <w:tc>
          <w:tcPr>
            <w:tcW w:w="1796" w:type="dxa"/>
            <w:vAlign w:val="center"/>
          </w:tcPr>
          <w:p w:rsidR="008659FD" w:rsidRPr="0073056A" w:rsidRDefault="00776479" w:rsidP="00441BCD">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552,508,658</w:t>
            </w:r>
          </w:p>
        </w:tc>
        <w:tc>
          <w:tcPr>
            <w:tcW w:w="1796" w:type="dxa"/>
            <w:vAlign w:val="center"/>
          </w:tcPr>
          <w:p w:rsidR="008659FD" w:rsidRPr="00FA426C" w:rsidRDefault="00776479" w:rsidP="00776479">
            <w:pPr>
              <w:jc w:val="right"/>
              <w:rPr>
                <w:rFonts w:ascii="Arial" w:hAnsi="Arial" w:cs="Arial"/>
                <w:sz w:val="18"/>
                <w:szCs w:val="18"/>
              </w:rPr>
            </w:pPr>
            <w:r>
              <w:rPr>
                <w:rFonts w:ascii="Arial" w:hAnsi="Arial" w:cs="Arial"/>
                <w:sz w:val="18"/>
                <w:szCs w:val="18"/>
              </w:rPr>
              <w:t>$</w:t>
            </w:r>
            <w:r w:rsidR="00441BCD">
              <w:rPr>
                <w:rFonts w:ascii="Arial" w:hAnsi="Arial" w:cs="Arial"/>
                <w:sz w:val="18"/>
                <w:szCs w:val="18"/>
              </w:rPr>
              <w:t xml:space="preserve"> -97,009,298</w:t>
            </w:r>
          </w:p>
        </w:tc>
        <w:tc>
          <w:tcPr>
            <w:tcW w:w="1796" w:type="dxa"/>
            <w:vAlign w:val="center"/>
          </w:tcPr>
          <w:p w:rsidR="008659FD" w:rsidRPr="0073056A" w:rsidRDefault="00441BCD" w:rsidP="008659FD">
            <w:pPr>
              <w:tabs>
                <w:tab w:val="left" w:pos="284"/>
              </w:tabs>
              <w:ind w:left="284"/>
              <w:jc w:val="center"/>
              <w:rPr>
                <w:rFonts w:ascii="Arial" w:hAnsi="Arial" w:cs="Arial"/>
                <w:sz w:val="18"/>
                <w:szCs w:val="18"/>
              </w:rPr>
            </w:pPr>
            <w:r>
              <w:rPr>
                <w:rFonts w:ascii="Arial" w:hAnsi="Arial" w:cs="Arial"/>
                <w:sz w:val="18"/>
                <w:szCs w:val="18"/>
              </w:rPr>
              <w:t>-17.5</w:t>
            </w:r>
            <w:r w:rsidR="008659FD">
              <w:rPr>
                <w:rFonts w:ascii="Arial" w:hAnsi="Arial" w:cs="Arial"/>
                <w:sz w:val="18"/>
                <w:szCs w:val="18"/>
              </w:rPr>
              <w:t>%</w:t>
            </w:r>
          </w:p>
        </w:tc>
      </w:tr>
      <w:tr w:rsidR="008659FD" w:rsidRPr="0073056A" w:rsidTr="008659FD">
        <w:tc>
          <w:tcPr>
            <w:tcW w:w="1795" w:type="dxa"/>
            <w:vAlign w:val="center"/>
          </w:tcPr>
          <w:p w:rsidR="008659FD" w:rsidRPr="0073056A" w:rsidRDefault="008659FD" w:rsidP="00390936">
            <w:pPr>
              <w:tabs>
                <w:tab w:val="left" w:pos="53"/>
              </w:tabs>
              <w:spacing w:line="276" w:lineRule="auto"/>
              <w:ind w:left="53"/>
              <w:rPr>
                <w:rFonts w:ascii="Arial" w:hAnsi="Arial" w:cs="Arial"/>
                <w:sz w:val="18"/>
                <w:szCs w:val="18"/>
              </w:rPr>
            </w:pPr>
            <w:r w:rsidRPr="00390936">
              <w:rPr>
                <w:rFonts w:ascii="Arial" w:hAnsi="Arial" w:cs="Arial"/>
                <w:sz w:val="18"/>
                <w:szCs w:val="18"/>
              </w:rPr>
              <w:t>Fondos y Bienes de Terceros en Garantía y/o Administración a Corto Plazo</w:t>
            </w:r>
          </w:p>
        </w:tc>
        <w:tc>
          <w:tcPr>
            <w:tcW w:w="1795" w:type="dxa"/>
            <w:vAlign w:val="center"/>
          </w:tcPr>
          <w:p w:rsidR="008659FD" w:rsidRPr="0073056A" w:rsidRDefault="008659FD" w:rsidP="00E02D66">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w:t>
            </w:r>
            <w:r w:rsidR="00E02D66">
              <w:rPr>
                <w:rFonts w:ascii="Arial" w:hAnsi="Arial" w:cs="Arial"/>
                <w:sz w:val="18"/>
                <w:szCs w:val="18"/>
              </w:rPr>
              <w:t>36,697,950</w:t>
            </w:r>
          </w:p>
        </w:tc>
        <w:tc>
          <w:tcPr>
            <w:tcW w:w="1796" w:type="dxa"/>
            <w:vAlign w:val="center"/>
          </w:tcPr>
          <w:p w:rsidR="008659FD" w:rsidRPr="0073056A" w:rsidRDefault="00776479" w:rsidP="00441BCD">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28,977,789</w:t>
            </w:r>
          </w:p>
        </w:tc>
        <w:tc>
          <w:tcPr>
            <w:tcW w:w="1796" w:type="dxa"/>
            <w:vAlign w:val="center"/>
          </w:tcPr>
          <w:p w:rsidR="008659FD" w:rsidRPr="00FA426C" w:rsidRDefault="00776479">
            <w:pPr>
              <w:jc w:val="right"/>
              <w:rPr>
                <w:rFonts w:ascii="Arial" w:hAnsi="Arial" w:cs="Arial"/>
                <w:sz w:val="18"/>
                <w:szCs w:val="18"/>
              </w:rPr>
            </w:pPr>
            <w:r>
              <w:rPr>
                <w:rFonts w:ascii="Arial" w:hAnsi="Arial" w:cs="Arial"/>
                <w:sz w:val="18"/>
                <w:szCs w:val="18"/>
              </w:rPr>
              <w:t>$</w:t>
            </w:r>
            <w:r w:rsidR="00441BCD">
              <w:rPr>
                <w:rFonts w:ascii="Arial" w:hAnsi="Arial" w:cs="Arial"/>
                <w:sz w:val="18"/>
                <w:szCs w:val="18"/>
              </w:rPr>
              <w:t xml:space="preserve"> 7,720,161</w:t>
            </w:r>
          </w:p>
        </w:tc>
        <w:tc>
          <w:tcPr>
            <w:tcW w:w="1796" w:type="dxa"/>
            <w:vAlign w:val="center"/>
          </w:tcPr>
          <w:p w:rsidR="008659FD" w:rsidRPr="0073056A" w:rsidRDefault="00441BCD" w:rsidP="008659FD">
            <w:pPr>
              <w:tabs>
                <w:tab w:val="left" w:pos="284"/>
              </w:tabs>
              <w:ind w:left="284"/>
              <w:jc w:val="center"/>
              <w:rPr>
                <w:rFonts w:ascii="Arial" w:hAnsi="Arial" w:cs="Arial"/>
                <w:sz w:val="18"/>
                <w:szCs w:val="18"/>
              </w:rPr>
            </w:pPr>
            <w:r>
              <w:rPr>
                <w:rFonts w:ascii="Arial" w:hAnsi="Arial" w:cs="Arial"/>
                <w:sz w:val="18"/>
                <w:szCs w:val="18"/>
              </w:rPr>
              <w:t>26.6</w:t>
            </w:r>
            <w:r w:rsidR="008659FD">
              <w:rPr>
                <w:rFonts w:ascii="Arial" w:hAnsi="Arial" w:cs="Arial"/>
                <w:sz w:val="18"/>
                <w:szCs w:val="18"/>
              </w:rPr>
              <w:t>%</w:t>
            </w:r>
          </w:p>
        </w:tc>
      </w:tr>
      <w:tr w:rsidR="008659FD" w:rsidRPr="0073056A" w:rsidTr="008659FD">
        <w:tc>
          <w:tcPr>
            <w:tcW w:w="1795" w:type="dxa"/>
            <w:vAlign w:val="center"/>
          </w:tcPr>
          <w:p w:rsidR="008659FD" w:rsidRPr="0073056A" w:rsidRDefault="008659FD" w:rsidP="00390936">
            <w:pPr>
              <w:tabs>
                <w:tab w:val="left" w:pos="53"/>
              </w:tabs>
              <w:spacing w:line="276" w:lineRule="auto"/>
              <w:ind w:left="53"/>
              <w:rPr>
                <w:rFonts w:ascii="Arial" w:hAnsi="Arial" w:cs="Arial"/>
                <w:sz w:val="18"/>
                <w:szCs w:val="18"/>
              </w:rPr>
            </w:pPr>
            <w:r w:rsidRPr="00390936">
              <w:rPr>
                <w:rFonts w:ascii="Arial" w:hAnsi="Arial" w:cs="Arial"/>
                <w:sz w:val="18"/>
                <w:szCs w:val="18"/>
              </w:rPr>
              <w:t>Provisiones a Corto Plazo</w:t>
            </w:r>
          </w:p>
        </w:tc>
        <w:tc>
          <w:tcPr>
            <w:tcW w:w="1795" w:type="dxa"/>
            <w:vAlign w:val="center"/>
          </w:tcPr>
          <w:p w:rsidR="008659FD" w:rsidRPr="0073056A" w:rsidRDefault="008659FD" w:rsidP="00E02D66">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E02D66">
              <w:rPr>
                <w:rFonts w:ascii="Arial" w:hAnsi="Arial" w:cs="Arial"/>
                <w:sz w:val="18"/>
                <w:szCs w:val="18"/>
              </w:rPr>
              <w:t>537,705,273</w:t>
            </w:r>
            <w:r>
              <w:rPr>
                <w:rFonts w:ascii="Arial" w:hAnsi="Arial" w:cs="Arial"/>
                <w:sz w:val="18"/>
                <w:szCs w:val="18"/>
              </w:rPr>
              <w:t xml:space="preserve"> </w:t>
            </w:r>
          </w:p>
        </w:tc>
        <w:tc>
          <w:tcPr>
            <w:tcW w:w="1796" w:type="dxa"/>
            <w:vAlign w:val="center"/>
          </w:tcPr>
          <w:p w:rsidR="008659FD" w:rsidRPr="0073056A" w:rsidRDefault="00776479" w:rsidP="00441BCD">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556,405,812</w:t>
            </w:r>
          </w:p>
        </w:tc>
        <w:tc>
          <w:tcPr>
            <w:tcW w:w="1796" w:type="dxa"/>
            <w:vAlign w:val="center"/>
          </w:tcPr>
          <w:p w:rsidR="008659FD" w:rsidRDefault="008659FD" w:rsidP="00776479">
            <w:pPr>
              <w:jc w:val="right"/>
              <w:rPr>
                <w:rFonts w:ascii="Arial" w:hAnsi="Arial" w:cs="Arial"/>
                <w:color w:val="000000"/>
                <w:sz w:val="18"/>
                <w:szCs w:val="18"/>
              </w:rPr>
            </w:pPr>
            <w:r>
              <w:rPr>
                <w:rFonts w:ascii="Arial" w:hAnsi="Arial" w:cs="Arial"/>
                <w:color w:val="000000"/>
                <w:sz w:val="18"/>
                <w:szCs w:val="18"/>
              </w:rPr>
              <w:t>$</w:t>
            </w:r>
            <w:r w:rsidR="00441BCD">
              <w:rPr>
                <w:rFonts w:ascii="Arial" w:hAnsi="Arial" w:cs="Arial"/>
                <w:color w:val="000000"/>
                <w:sz w:val="18"/>
                <w:szCs w:val="18"/>
              </w:rPr>
              <w:t xml:space="preserve"> -18,700,539</w:t>
            </w:r>
          </w:p>
        </w:tc>
        <w:tc>
          <w:tcPr>
            <w:tcW w:w="1796" w:type="dxa"/>
            <w:vAlign w:val="center"/>
          </w:tcPr>
          <w:p w:rsidR="008659FD" w:rsidRPr="0073056A" w:rsidRDefault="00441BCD" w:rsidP="008659FD">
            <w:pPr>
              <w:tabs>
                <w:tab w:val="left" w:pos="284"/>
              </w:tabs>
              <w:ind w:left="284"/>
              <w:jc w:val="center"/>
              <w:rPr>
                <w:rFonts w:ascii="Arial" w:hAnsi="Arial" w:cs="Arial"/>
                <w:sz w:val="18"/>
                <w:szCs w:val="18"/>
              </w:rPr>
            </w:pPr>
            <w:r>
              <w:rPr>
                <w:rFonts w:ascii="Arial" w:hAnsi="Arial" w:cs="Arial"/>
                <w:sz w:val="18"/>
                <w:szCs w:val="18"/>
              </w:rPr>
              <w:t>-3.3</w:t>
            </w:r>
            <w:r w:rsidR="008659FD">
              <w:rPr>
                <w:rFonts w:ascii="Arial" w:hAnsi="Arial" w:cs="Arial"/>
                <w:sz w:val="18"/>
                <w:szCs w:val="18"/>
              </w:rPr>
              <w:t>%</w:t>
            </w:r>
          </w:p>
        </w:tc>
      </w:tr>
      <w:tr w:rsidR="008659FD" w:rsidRPr="0073056A" w:rsidTr="008659FD">
        <w:tc>
          <w:tcPr>
            <w:tcW w:w="1795" w:type="dxa"/>
            <w:vAlign w:val="center"/>
          </w:tcPr>
          <w:p w:rsidR="008659FD" w:rsidRPr="0073056A" w:rsidRDefault="008659FD" w:rsidP="00390936">
            <w:pPr>
              <w:tabs>
                <w:tab w:val="left" w:pos="53"/>
              </w:tabs>
              <w:spacing w:line="276" w:lineRule="auto"/>
              <w:ind w:left="53"/>
              <w:rPr>
                <w:rFonts w:ascii="Arial" w:hAnsi="Arial" w:cs="Arial"/>
                <w:sz w:val="18"/>
                <w:szCs w:val="18"/>
              </w:rPr>
            </w:pPr>
            <w:r w:rsidRPr="00390936">
              <w:rPr>
                <w:rFonts w:ascii="Arial" w:hAnsi="Arial" w:cs="Arial"/>
                <w:sz w:val="18"/>
                <w:szCs w:val="18"/>
              </w:rPr>
              <w:t>Otros Pasivos a Corto Plazo</w:t>
            </w:r>
          </w:p>
        </w:tc>
        <w:tc>
          <w:tcPr>
            <w:tcW w:w="1795" w:type="dxa"/>
            <w:vAlign w:val="center"/>
          </w:tcPr>
          <w:p w:rsidR="008659FD" w:rsidRPr="0073056A" w:rsidRDefault="008659FD" w:rsidP="00E02D66">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w:t>
            </w:r>
            <w:r w:rsidR="00E02D66">
              <w:rPr>
                <w:rFonts w:ascii="Arial" w:hAnsi="Arial" w:cs="Arial"/>
                <w:sz w:val="18"/>
                <w:szCs w:val="18"/>
              </w:rPr>
              <w:t>235,069,361</w:t>
            </w:r>
          </w:p>
        </w:tc>
        <w:tc>
          <w:tcPr>
            <w:tcW w:w="1796" w:type="dxa"/>
            <w:vAlign w:val="center"/>
          </w:tcPr>
          <w:p w:rsidR="008659FD" w:rsidRPr="0073056A" w:rsidRDefault="00776479" w:rsidP="00441BCD">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85,433,700</w:t>
            </w:r>
          </w:p>
        </w:tc>
        <w:tc>
          <w:tcPr>
            <w:tcW w:w="1796" w:type="dxa"/>
            <w:vAlign w:val="center"/>
          </w:tcPr>
          <w:p w:rsidR="008659FD" w:rsidRDefault="00776479">
            <w:pPr>
              <w:jc w:val="right"/>
              <w:rPr>
                <w:rFonts w:ascii="Arial" w:hAnsi="Arial" w:cs="Arial"/>
                <w:color w:val="000000"/>
                <w:sz w:val="18"/>
                <w:szCs w:val="18"/>
              </w:rPr>
            </w:pPr>
            <w:r>
              <w:rPr>
                <w:rFonts w:ascii="Arial" w:hAnsi="Arial" w:cs="Arial"/>
                <w:color w:val="000000"/>
                <w:sz w:val="18"/>
                <w:szCs w:val="18"/>
              </w:rPr>
              <w:t>$</w:t>
            </w:r>
            <w:r w:rsidR="00441BCD">
              <w:rPr>
                <w:rFonts w:ascii="Arial" w:hAnsi="Arial" w:cs="Arial"/>
                <w:color w:val="000000"/>
                <w:sz w:val="18"/>
                <w:szCs w:val="18"/>
              </w:rPr>
              <w:t xml:space="preserve"> </w:t>
            </w:r>
            <w:r w:rsidR="008E725C">
              <w:rPr>
                <w:rFonts w:ascii="Arial" w:hAnsi="Arial" w:cs="Arial"/>
                <w:color w:val="000000"/>
                <w:sz w:val="18"/>
                <w:szCs w:val="18"/>
              </w:rPr>
              <w:t>149,635,661</w:t>
            </w:r>
          </w:p>
        </w:tc>
        <w:tc>
          <w:tcPr>
            <w:tcW w:w="1796" w:type="dxa"/>
            <w:vAlign w:val="center"/>
          </w:tcPr>
          <w:p w:rsidR="008659FD" w:rsidRPr="0073056A" w:rsidRDefault="008E725C" w:rsidP="008659FD">
            <w:pPr>
              <w:tabs>
                <w:tab w:val="left" w:pos="284"/>
              </w:tabs>
              <w:ind w:left="284"/>
              <w:jc w:val="center"/>
              <w:rPr>
                <w:rFonts w:ascii="Arial" w:hAnsi="Arial" w:cs="Arial"/>
                <w:sz w:val="18"/>
                <w:szCs w:val="18"/>
              </w:rPr>
            </w:pPr>
            <w:r>
              <w:rPr>
                <w:rFonts w:ascii="Arial" w:hAnsi="Arial" w:cs="Arial"/>
                <w:sz w:val="18"/>
                <w:szCs w:val="18"/>
              </w:rPr>
              <w:t>175.1</w:t>
            </w:r>
            <w:r w:rsidR="008659FD">
              <w:rPr>
                <w:rFonts w:ascii="Arial" w:hAnsi="Arial" w:cs="Arial"/>
                <w:sz w:val="18"/>
                <w:szCs w:val="18"/>
              </w:rPr>
              <w:t>%</w:t>
            </w:r>
          </w:p>
        </w:tc>
      </w:tr>
      <w:tr w:rsidR="008659FD" w:rsidRPr="0073056A" w:rsidTr="008C155F">
        <w:tc>
          <w:tcPr>
            <w:tcW w:w="1795" w:type="dxa"/>
            <w:vAlign w:val="center"/>
          </w:tcPr>
          <w:p w:rsidR="008659FD" w:rsidRPr="0073056A" w:rsidRDefault="008659FD" w:rsidP="00C50527">
            <w:pPr>
              <w:tabs>
                <w:tab w:val="left" w:pos="284"/>
              </w:tabs>
              <w:ind w:left="284"/>
              <w:jc w:val="center"/>
              <w:rPr>
                <w:rFonts w:ascii="Arial" w:hAnsi="Arial" w:cs="Arial"/>
                <w:sz w:val="18"/>
                <w:szCs w:val="18"/>
              </w:rPr>
            </w:pPr>
          </w:p>
        </w:tc>
        <w:tc>
          <w:tcPr>
            <w:tcW w:w="1795" w:type="dxa"/>
            <w:vAlign w:val="center"/>
          </w:tcPr>
          <w:p w:rsidR="008659FD" w:rsidRPr="008659FD" w:rsidRDefault="008659FD" w:rsidP="00441BCD">
            <w:pPr>
              <w:tabs>
                <w:tab w:val="left" w:pos="101"/>
              </w:tabs>
              <w:ind w:left="243"/>
              <w:jc w:val="center"/>
              <w:rPr>
                <w:rFonts w:ascii="Arial" w:hAnsi="Arial" w:cs="Arial"/>
                <w:b/>
                <w:sz w:val="18"/>
                <w:szCs w:val="18"/>
              </w:rPr>
            </w:pPr>
            <w:r w:rsidRPr="008659FD">
              <w:rPr>
                <w:rFonts w:ascii="Arial" w:hAnsi="Arial" w:cs="Arial"/>
                <w:b/>
                <w:sz w:val="18"/>
                <w:szCs w:val="18"/>
              </w:rPr>
              <w:t>$</w:t>
            </w:r>
            <w:r w:rsidR="00441BCD">
              <w:rPr>
                <w:rFonts w:ascii="Arial" w:hAnsi="Arial" w:cs="Arial"/>
                <w:b/>
                <w:sz w:val="18"/>
                <w:szCs w:val="18"/>
              </w:rPr>
              <w:t xml:space="preserve"> </w:t>
            </w:r>
            <w:r w:rsidR="00E02D66">
              <w:rPr>
                <w:rFonts w:ascii="Arial" w:hAnsi="Arial" w:cs="Arial"/>
                <w:b/>
                <w:sz w:val="18"/>
                <w:szCs w:val="18"/>
              </w:rPr>
              <w:t>1,358</w:t>
            </w:r>
            <w:r w:rsidR="00441BCD">
              <w:rPr>
                <w:rFonts w:ascii="Arial" w:hAnsi="Arial" w:cs="Arial"/>
                <w:b/>
                <w:sz w:val="18"/>
                <w:szCs w:val="18"/>
              </w:rPr>
              <w:t>,597,530</w:t>
            </w:r>
          </w:p>
        </w:tc>
        <w:tc>
          <w:tcPr>
            <w:tcW w:w="1796" w:type="dxa"/>
            <w:vAlign w:val="center"/>
          </w:tcPr>
          <w:p w:rsidR="008659FD" w:rsidRPr="008659FD" w:rsidRDefault="00776479" w:rsidP="00441BCD">
            <w:pPr>
              <w:tabs>
                <w:tab w:val="left" w:pos="149"/>
              </w:tabs>
              <w:ind w:left="149"/>
              <w:jc w:val="right"/>
              <w:rPr>
                <w:rFonts w:ascii="Arial" w:hAnsi="Arial" w:cs="Arial"/>
                <w:b/>
                <w:sz w:val="18"/>
                <w:szCs w:val="18"/>
              </w:rPr>
            </w:pPr>
            <w:r w:rsidRPr="008659FD">
              <w:rPr>
                <w:rFonts w:ascii="Arial" w:hAnsi="Arial" w:cs="Arial"/>
                <w:b/>
                <w:sz w:val="18"/>
                <w:szCs w:val="18"/>
              </w:rPr>
              <w:t>$</w:t>
            </w:r>
            <w:r w:rsidR="00441BCD">
              <w:rPr>
                <w:rFonts w:ascii="Arial" w:hAnsi="Arial" w:cs="Arial"/>
                <w:b/>
                <w:sz w:val="18"/>
                <w:szCs w:val="18"/>
              </w:rPr>
              <w:t xml:space="preserve"> </w:t>
            </w:r>
            <w:r w:rsidR="00F646C2">
              <w:rPr>
                <w:rFonts w:ascii="Arial" w:hAnsi="Arial" w:cs="Arial"/>
                <w:b/>
                <w:sz w:val="18"/>
                <w:szCs w:val="18"/>
              </w:rPr>
              <w:fldChar w:fldCharType="begin"/>
            </w:r>
            <w:r>
              <w:rPr>
                <w:rFonts w:ascii="Arial" w:hAnsi="Arial" w:cs="Arial"/>
                <w:b/>
                <w:sz w:val="18"/>
                <w:szCs w:val="18"/>
              </w:rPr>
              <w:instrText xml:space="preserve"> =SUM(ABOVE) \# "#,##0" </w:instrText>
            </w:r>
            <w:r w:rsidR="00F646C2">
              <w:rPr>
                <w:rFonts w:ascii="Arial" w:hAnsi="Arial" w:cs="Arial"/>
                <w:b/>
                <w:sz w:val="18"/>
                <w:szCs w:val="18"/>
              </w:rPr>
              <w:fldChar w:fldCharType="separate"/>
            </w:r>
            <w:r>
              <w:rPr>
                <w:rFonts w:ascii="Arial" w:hAnsi="Arial" w:cs="Arial"/>
                <w:b/>
                <w:noProof/>
                <w:sz w:val="18"/>
                <w:szCs w:val="18"/>
              </w:rPr>
              <w:t>1,418,961,693</w:t>
            </w:r>
            <w:r w:rsidR="00F646C2">
              <w:rPr>
                <w:rFonts w:ascii="Arial" w:hAnsi="Arial" w:cs="Arial"/>
                <w:b/>
                <w:sz w:val="18"/>
                <w:szCs w:val="18"/>
              </w:rPr>
              <w:fldChar w:fldCharType="end"/>
            </w:r>
          </w:p>
        </w:tc>
        <w:tc>
          <w:tcPr>
            <w:tcW w:w="1796" w:type="dxa"/>
            <w:vAlign w:val="center"/>
          </w:tcPr>
          <w:p w:rsidR="008659FD" w:rsidRPr="008659FD" w:rsidRDefault="008659FD" w:rsidP="00776479">
            <w:pPr>
              <w:tabs>
                <w:tab w:val="left" w:pos="284"/>
              </w:tabs>
              <w:ind w:left="284"/>
              <w:jc w:val="right"/>
              <w:rPr>
                <w:rFonts w:ascii="Arial" w:hAnsi="Arial" w:cs="Arial"/>
                <w:b/>
                <w:sz w:val="18"/>
                <w:szCs w:val="18"/>
              </w:rPr>
            </w:pPr>
            <w:r>
              <w:rPr>
                <w:rFonts w:ascii="Arial" w:hAnsi="Arial" w:cs="Arial"/>
                <w:b/>
                <w:sz w:val="18"/>
                <w:szCs w:val="18"/>
              </w:rPr>
              <w:t>$</w:t>
            </w:r>
            <w:r w:rsidR="008E725C">
              <w:rPr>
                <w:rFonts w:ascii="Arial" w:hAnsi="Arial" w:cs="Arial"/>
                <w:b/>
                <w:sz w:val="18"/>
                <w:szCs w:val="18"/>
              </w:rPr>
              <w:t xml:space="preserve"> -60,364,163</w:t>
            </w:r>
          </w:p>
        </w:tc>
        <w:tc>
          <w:tcPr>
            <w:tcW w:w="1796" w:type="dxa"/>
            <w:vAlign w:val="center"/>
          </w:tcPr>
          <w:p w:rsidR="008659FD" w:rsidRPr="008E725C" w:rsidRDefault="008E725C" w:rsidP="00C50527">
            <w:pPr>
              <w:tabs>
                <w:tab w:val="left" w:pos="284"/>
              </w:tabs>
              <w:ind w:left="284"/>
              <w:jc w:val="center"/>
              <w:rPr>
                <w:rFonts w:ascii="Arial" w:hAnsi="Arial" w:cs="Arial"/>
                <w:b/>
                <w:sz w:val="18"/>
                <w:szCs w:val="18"/>
              </w:rPr>
            </w:pPr>
            <w:r w:rsidRPr="008E725C">
              <w:rPr>
                <w:rFonts w:ascii="Arial" w:hAnsi="Arial" w:cs="Arial"/>
                <w:b/>
                <w:sz w:val="18"/>
                <w:szCs w:val="18"/>
              </w:rPr>
              <w:t>-4.2</w:t>
            </w:r>
            <w:r>
              <w:rPr>
                <w:rFonts w:ascii="Arial" w:hAnsi="Arial" w:cs="Arial"/>
                <w:b/>
                <w:sz w:val="18"/>
                <w:szCs w:val="18"/>
              </w:rPr>
              <w:t>%</w:t>
            </w:r>
          </w:p>
        </w:tc>
      </w:tr>
    </w:tbl>
    <w:p w:rsidR="00C013A1" w:rsidRPr="0073056A" w:rsidRDefault="00C013A1" w:rsidP="00C50527">
      <w:pPr>
        <w:tabs>
          <w:tab w:val="left" w:pos="284"/>
        </w:tabs>
        <w:ind w:left="284"/>
        <w:jc w:val="both"/>
        <w:rPr>
          <w:rFonts w:ascii="Arial" w:hAnsi="Arial" w:cs="Arial"/>
          <w:sz w:val="18"/>
          <w:szCs w:val="18"/>
        </w:rPr>
      </w:pPr>
    </w:p>
    <w:p w:rsidR="00C013A1" w:rsidRDefault="00C013A1" w:rsidP="00C50527">
      <w:pPr>
        <w:tabs>
          <w:tab w:val="left" w:pos="284"/>
        </w:tabs>
        <w:ind w:left="284"/>
        <w:jc w:val="both"/>
        <w:rPr>
          <w:rFonts w:ascii="Arial" w:hAnsi="Arial" w:cs="Arial"/>
          <w:sz w:val="18"/>
          <w:szCs w:val="18"/>
        </w:rPr>
      </w:pPr>
    </w:p>
    <w:p w:rsidR="00C71D1F" w:rsidRDefault="00C71D1F" w:rsidP="00C50527">
      <w:pPr>
        <w:tabs>
          <w:tab w:val="left" w:pos="284"/>
        </w:tabs>
        <w:ind w:left="284"/>
        <w:jc w:val="both"/>
        <w:rPr>
          <w:rFonts w:ascii="Arial" w:hAnsi="Arial" w:cs="Arial"/>
          <w:sz w:val="18"/>
          <w:szCs w:val="18"/>
        </w:rPr>
      </w:pPr>
    </w:p>
    <w:p w:rsidR="00C71D1F" w:rsidRDefault="00C71D1F" w:rsidP="00C50527">
      <w:pPr>
        <w:tabs>
          <w:tab w:val="left" w:pos="284"/>
        </w:tabs>
        <w:ind w:left="284"/>
        <w:jc w:val="both"/>
        <w:rPr>
          <w:rFonts w:ascii="Arial" w:hAnsi="Arial" w:cs="Arial"/>
          <w:sz w:val="18"/>
          <w:szCs w:val="18"/>
        </w:rPr>
      </w:pPr>
    </w:p>
    <w:p w:rsidR="00C71D1F" w:rsidRPr="0073056A" w:rsidRDefault="00C71D1F" w:rsidP="00C50527">
      <w:pPr>
        <w:tabs>
          <w:tab w:val="left" w:pos="284"/>
        </w:tabs>
        <w:ind w:left="284"/>
        <w:jc w:val="both"/>
        <w:rPr>
          <w:rFonts w:ascii="Arial" w:hAnsi="Arial" w:cs="Arial"/>
          <w:sz w:val="18"/>
          <w:szCs w:val="18"/>
        </w:rPr>
      </w:pPr>
    </w:p>
    <w:p w:rsidR="00540418" w:rsidRPr="0073056A" w:rsidRDefault="00540418" w:rsidP="00C50527">
      <w:pPr>
        <w:pStyle w:val="ROMANOS"/>
        <w:tabs>
          <w:tab w:val="clear" w:pos="720"/>
          <w:tab w:val="left" w:pos="284"/>
        </w:tabs>
        <w:spacing w:after="0" w:line="276" w:lineRule="auto"/>
        <w:ind w:left="284" w:firstLine="0"/>
        <w:rPr>
          <w:lang w:val="es-MX"/>
        </w:rPr>
      </w:pPr>
    </w:p>
    <w:p w:rsidR="00540418" w:rsidRPr="0073056A" w:rsidRDefault="00540418" w:rsidP="00C50527">
      <w:pPr>
        <w:pStyle w:val="INCISO"/>
        <w:tabs>
          <w:tab w:val="left" w:pos="284"/>
        </w:tabs>
        <w:spacing w:after="0" w:line="276" w:lineRule="auto"/>
        <w:ind w:left="284" w:firstLine="0"/>
        <w:rPr>
          <w:b/>
          <w:smallCaps/>
        </w:rPr>
      </w:pPr>
      <w:r w:rsidRPr="0073056A">
        <w:rPr>
          <w:b/>
          <w:smallCaps/>
        </w:rPr>
        <w:t>II)</w:t>
      </w:r>
      <w:r w:rsidRPr="0073056A">
        <w:rPr>
          <w:b/>
          <w:smallCaps/>
        </w:rPr>
        <w:tab/>
        <w:t>Notas al Estado de Actividades</w:t>
      </w:r>
    </w:p>
    <w:p w:rsidR="00540418" w:rsidRPr="0073056A" w:rsidRDefault="00540418" w:rsidP="00C50527">
      <w:pPr>
        <w:pStyle w:val="INCISO"/>
        <w:tabs>
          <w:tab w:val="left" w:pos="284"/>
        </w:tabs>
        <w:spacing w:after="0" w:line="276" w:lineRule="auto"/>
        <w:ind w:left="284" w:firstLine="0"/>
        <w:rPr>
          <w:b/>
          <w:smallCaps/>
        </w:rPr>
      </w:pPr>
    </w:p>
    <w:p w:rsidR="00C013A1" w:rsidRPr="0073056A" w:rsidRDefault="00C013A1" w:rsidP="00A54D75">
      <w:pPr>
        <w:tabs>
          <w:tab w:val="left" w:pos="284"/>
        </w:tabs>
        <w:ind w:left="284"/>
        <w:jc w:val="both"/>
        <w:rPr>
          <w:rFonts w:ascii="Arial" w:hAnsi="Arial" w:cs="Arial"/>
          <w:sz w:val="18"/>
          <w:szCs w:val="18"/>
        </w:rPr>
      </w:pPr>
      <w:r w:rsidRPr="0073056A">
        <w:rPr>
          <w:rFonts w:ascii="Arial" w:hAnsi="Arial" w:cs="Arial"/>
          <w:sz w:val="18"/>
          <w:szCs w:val="18"/>
        </w:rPr>
        <w:t>El Estado de actividades refleja la diferencia entre los ingresos captados en el periodo y los gastos incurridos en el mismo. En el ejercicio</w:t>
      </w:r>
      <w:r w:rsidR="00776479">
        <w:rPr>
          <w:rFonts w:ascii="Arial" w:hAnsi="Arial" w:cs="Arial"/>
          <w:sz w:val="18"/>
          <w:szCs w:val="18"/>
        </w:rPr>
        <w:t xml:space="preserve"> 2015</w:t>
      </w:r>
      <w:r w:rsidRPr="0073056A">
        <w:rPr>
          <w:rFonts w:ascii="Arial" w:hAnsi="Arial" w:cs="Arial"/>
          <w:sz w:val="18"/>
          <w:szCs w:val="18"/>
        </w:rPr>
        <w:t>, se obtuvieron ingresos por un monto de $</w:t>
      </w:r>
      <w:r w:rsidR="00776479">
        <w:rPr>
          <w:rFonts w:ascii="Arial" w:hAnsi="Arial" w:cs="Arial"/>
          <w:sz w:val="18"/>
          <w:szCs w:val="18"/>
        </w:rPr>
        <w:t xml:space="preserve"> </w:t>
      </w:r>
      <w:r w:rsidR="008E725C">
        <w:rPr>
          <w:rFonts w:ascii="Arial" w:hAnsi="Arial" w:cs="Arial"/>
          <w:sz w:val="18"/>
          <w:szCs w:val="18"/>
        </w:rPr>
        <w:t>19</w:t>
      </w:r>
      <w:proofErr w:type="gramStart"/>
      <w:r w:rsidR="008E725C">
        <w:rPr>
          <w:rFonts w:ascii="Arial" w:hAnsi="Arial" w:cs="Arial"/>
          <w:sz w:val="18"/>
          <w:szCs w:val="18"/>
        </w:rPr>
        <w:t>,908,145,430</w:t>
      </w:r>
      <w:proofErr w:type="gramEnd"/>
      <w:r w:rsidRPr="0073056A">
        <w:rPr>
          <w:rFonts w:ascii="Arial" w:hAnsi="Arial" w:cs="Arial"/>
          <w:sz w:val="18"/>
          <w:szCs w:val="18"/>
        </w:rPr>
        <w:t>, en tanto que el gasto de operación ascendió a $</w:t>
      </w:r>
      <w:r w:rsidR="00776479">
        <w:rPr>
          <w:rFonts w:ascii="Arial" w:hAnsi="Arial" w:cs="Arial"/>
          <w:sz w:val="18"/>
          <w:szCs w:val="18"/>
        </w:rPr>
        <w:t xml:space="preserve"> </w:t>
      </w:r>
      <w:r w:rsidR="008E725C">
        <w:rPr>
          <w:rFonts w:ascii="Arial" w:hAnsi="Arial" w:cs="Arial"/>
          <w:sz w:val="18"/>
          <w:szCs w:val="18"/>
        </w:rPr>
        <w:t>17,775,698,431</w:t>
      </w:r>
      <w:r w:rsidRPr="0073056A">
        <w:rPr>
          <w:rFonts w:ascii="Arial" w:hAnsi="Arial" w:cs="Arial"/>
          <w:sz w:val="18"/>
          <w:szCs w:val="18"/>
        </w:rPr>
        <w:t>, obteniéndose un ahorro en el ejercicio por la cantidad de</w:t>
      </w:r>
      <w:r w:rsidR="00C71D1F">
        <w:rPr>
          <w:rFonts w:ascii="Arial" w:hAnsi="Arial" w:cs="Arial"/>
          <w:sz w:val="18"/>
          <w:szCs w:val="18"/>
        </w:rPr>
        <w:t xml:space="preserve"> </w:t>
      </w:r>
      <w:r w:rsidR="008E725C">
        <w:rPr>
          <w:rFonts w:ascii="Arial" w:hAnsi="Arial" w:cs="Arial"/>
          <w:sz w:val="18"/>
          <w:szCs w:val="18"/>
        </w:rPr>
        <w:t xml:space="preserve">              </w:t>
      </w:r>
      <w:r w:rsidRPr="0073056A">
        <w:rPr>
          <w:rFonts w:ascii="Arial" w:hAnsi="Arial" w:cs="Arial"/>
          <w:sz w:val="18"/>
          <w:szCs w:val="18"/>
        </w:rPr>
        <w:t>$</w:t>
      </w:r>
      <w:r w:rsidR="00C71D1F">
        <w:rPr>
          <w:rFonts w:ascii="Arial" w:hAnsi="Arial" w:cs="Arial"/>
          <w:sz w:val="18"/>
          <w:szCs w:val="18"/>
        </w:rPr>
        <w:t xml:space="preserve"> </w:t>
      </w:r>
      <w:r w:rsidR="008E725C">
        <w:rPr>
          <w:rFonts w:ascii="Arial" w:hAnsi="Arial" w:cs="Arial"/>
          <w:sz w:val="18"/>
          <w:szCs w:val="18"/>
        </w:rPr>
        <w:t>2,132,446,999</w:t>
      </w:r>
      <w:r w:rsidRPr="0073056A">
        <w:rPr>
          <w:rFonts w:ascii="Arial" w:hAnsi="Arial" w:cs="Arial"/>
          <w:sz w:val="18"/>
          <w:szCs w:val="18"/>
        </w:rPr>
        <w:t>, sin considerar la inversión física y financiera realizada en el ejercicio.</w:t>
      </w:r>
    </w:p>
    <w:p w:rsidR="004809B8" w:rsidRDefault="00D64799" w:rsidP="00D64799">
      <w:pPr>
        <w:tabs>
          <w:tab w:val="left" w:pos="284"/>
        </w:tabs>
        <w:ind w:left="284"/>
        <w:jc w:val="both"/>
        <w:rPr>
          <w:rFonts w:ascii="Arial" w:hAnsi="Arial" w:cs="Arial"/>
          <w:sz w:val="18"/>
          <w:szCs w:val="18"/>
        </w:rPr>
      </w:pPr>
      <w:r w:rsidRPr="0073056A">
        <w:rPr>
          <w:rFonts w:ascii="Arial" w:hAnsi="Arial" w:cs="Arial"/>
          <w:sz w:val="18"/>
          <w:szCs w:val="18"/>
        </w:rPr>
        <w:t>Para el periodo que se informa, la inversión física y financiera asciende a $</w:t>
      </w:r>
      <w:r>
        <w:rPr>
          <w:rFonts w:ascii="Arial" w:hAnsi="Arial" w:cs="Arial"/>
          <w:sz w:val="18"/>
          <w:szCs w:val="18"/>
        </w:rPr>
        <w:t xml:space="preserve"> </w:t>
      </w:r>
    </w:p>
    <w:p w:rsidR="00D64799" w:rsidRPr="0073056A" w:rsidRDefault="00D64799" w:rsidP="00D64799">
      <w:pPr>
        <w:tabs>
          <w:tab w:val="left" w:pos="284"/>
        </w:tabs>
        <w:ind w:left="284"/>
        <w:jc w:val="both"/>
        <w:rPr>
          <w:rFonts w:ascii="Arial" w:hAnsi="Arial" w:cs="Arial"/>
          <w:sz w:val="18"/>
          <w:szCs w:val="18"/>
        </w:rPr>
      </w:pPr>
      <w:r>
        <w:rPr>
          <w:rFonts w:ascii="Arial" w:hAnsi="Arial" w:cs="Arial"/>
          <w:sz w:val="18"/>
          <w:szCs w:val="18"/>
        </w:rPr>
        <w:t>1,631,055,590</w:t>
      </w:r>
      <w:r w:rsidRPr="0073056A">
        <w:rPr>
          <w:rFonts w:ascii="Arial" w:hAnsi="Arial" w:cs="Arial"/>
          <w:sz w:val="18"/>
          <w:szCs w:val="18"/>
        </w:rPr>
        <w:t>, de los cuales $</w:t>
      </w:r>
      <w:r>
        <w:rPr>
          <w:rFonts w:ascii="Arial" w:hAnsi="Arial" w:cs="Arial"/>
          <w:sz w:val="18"/>
          <w:szCs w:val="18"/>
        </w:rPr>
        <w:t xml:space="preserve"> 258,258,278 </w:t>
      </w:r>
      <w:r w:rsidRPr="0073056A">
        <w:rPr>
          <w:rFonts w:ascii="Arial" w:hAnsi="Arial" w:cs="Arial"/>
          <w:sz w:val="18"/>
          <w:szCs w:val="18"/>
        </w:rPr>
        <w:t>corresponden a inversiones en bienes muebles e inmuebles y los $</w:t>
      </w:r>
      <w:r>
        <w:rPr>
          <w:rFonts w:ascii="Arial" w:hAnsi="Arial" w:cs="Arial"/>
          <w:sz w:val="18"/>
          <w:szCs w:val="18"/>
        </w:rPr>
        <w:t xml:space="preserve"> 1,372,797,312</w:t>
      </w:r>
      <w:r w:rsidRPr="0073056A">
        <w:rPr>
          <w:rFonts w:ascii="Arial" w:hAnsi="Arial" w:cs="Arial"/>
          <w:sz w:val="18"/>
          <w:szCs w:val="18"/>
        </w:rPr>
        <w:t xml:space="preserve"> restantes fueron aplicados en infraestructura pública, con lo que el gasto total del periodo asciende a $</w:t>
      </w:r>
      <w:r>
        <w:rPr>
          <w:rFonts w:ascii="Arial" w:hAnsi="Arial" w:cs="Arial"/>
          <w:sz w:val="18"/>
          <w:szCs w:val="18"/>
        </w:rPr>
        <w:t xml:space="preserve"> 19,542,592,491</w:t>
      </w:r>
      <w:r w:rsidRPr="0073056A">
        <w:rPr>
          <w:rFonts w:ascii="Arial" w:hAnsi="Arial" w:cs="Arial"/>
          <w:sz w:val="18"/>
          <w:szCs w:val="18"/>
        </w:rPr>
        <w:t>.</w:t>
      </w:r>
    </w:p>
    <w:p w:rsidR="00C013A1" w:rsidRPr="0073056A" w:rsidRDefault="00C013A1" w:rsidP="00C50527">
      <w:pPr>
        <w:pStyle w:val="ROMANOS"/>
        <w:tabs>
          <w:tab w:val="clear" w:pos="720"/>
          <w:tab w:val="left" w:pos="284"/>
        </w:tabs>
        <w:spacing w:after="0" w:line="276" w:lineRule="auto"/>
        <w:ind w:left="284" w:firstLine="0"/>
        <w:rPr>
          <w:b/>
          <w:lang w:val="es-MX"/>
        </w:rPr>
      </w:pPr>
    </w:p>
    <w:p w:rsidR="00540418" w:rsidRPr="0073056A" w:rsidRDefault="00540418" w:rsidP="00C50527">
      <w:pPr>
        <w:pStyle w:val="ROMANOS"/>
        <w:tabs>
          <w:tab w:val="clear" w:pos="720"/>
          <w:tab w:val="left" w:pos="284"/>
        </w:tabs>
        <w:spacing w:after="0" w:line="276" w:lineRule="auto"/>
        <w:ind w:left="284" w:firstLine="0"/>
        <w:rPr>
          <w:b/>
          <w:lang w:val="es-MX"/>
        </w:rPr>
      </w:pPr>
      <w:r w:rsidRPr="0073056A">
        <w:rPr>
          <w:b/>
          <w:lang w:val="es-MX"/>
        </w:rPr>
        <w:t>Ingresos de Gestión</w:t>
      </w: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t>Impuestos</w:t>
      </w:r>
    </w:p>
    <w:p w:rsidR="00C013A1" w:rsidRDefault="00C013A1" w:rsidP="00A54D75">
      <w:pPr>
        <w:tabs>
          <w:tab w:val="left" w:pos="284"/>
        </w:tabs>
        <w:spacing w:after="0"/>
        <w:ind w:left="284"/>
        <w:jc w:val="both"/>
        <w:rPr>
          <w:rFonts w:ascii="Arial" w:hAnsi="Arial" w:cs="Arial"/>
          <w:sz w:val="18"/>
          <w:szCs w:val="18"/>
        </w:rPr>
      </w:pPr>
      <w:r w:rsidRPr="0073056A">
        <w:rPr>
          <w:rFonts w:ascii="Arial" w:hAnsi="Arial" w:cs="Arial"/>
          <w:sz w:val="18"/>
          <w:szCs w:val="18"/>
        </w:rPr>
        <w:t>En este concepto se considera el esfuerzo recaudatorio del Estado, reflejado principalmente en los impuestos englobándose los de origen estatal, así como los federales (impuestos coordinados), tales como ISR, IVA, ISAN, IEPS, etc. En 201</w:t>
      </w:r>
      <w:r w:rsidR="000C270E">
        <w:rPr>
          <w:rFonts w:ascii="Arial" w:hAnsi="Arial" w:cs="Arial"/>
          <w:sz w:val="18"/>
          <w:szCs w:val="18"/>
        </w:rPr>
        <w:t>5</w:t>
      </w:r>
      <w:r w:rsidRPr="0073056A">
        <w:rPr>
          <w:rFonts w:ascii="Arial" w:hAnsi="Arial" w:cs="Arial"/>
          <w:sz w:val="18"/>
          <w:szCs w:val="18"/>
        </w:rPr>
        <w:t xml:space="preserve"> se recaudó la cantidad de $</w:t>
      </w:r>
      <w:r w:rsidR="000C270E">
        <w:rPr>
          <w:rFonts w:ascii="Arial" w:hAnsi="Arial" w:cs="Arial"/>
          <w:sz w:val="18"/>
          <w:szCs w:val="18"/>
        </w:rPr>
        <w:t xml:space="preserve"> </w:t>
      </w:r>
      <w:r w:rsidR="00553706">
        <w:rPr>
          <w:rFonts w:ascii="Arial" w:hAnsi="Arial" w:cs="Arial"/>
          <w:sz w:val="18"/>
          <w:szCs w:val="18"/>
        </w:rPr>
        <w:t>355</w:t>
      </w:r>
      <w:proofErr w:type="gramStart"/>
      <w:r w:rsidR="00553706">
        <w:rPr>
          <w:rFonts w:ascii="Arial" w:hAnsi="Arial" w:cs="Arial"/>
          <w:sz w:val="18"/>
          <w:szCs w:val="18"/>
        </w:rPr>
        <w:t>,400,955</w:t>
      </w:r>
      <w:proofErr w:type="gramEnd"/>
      <w:r w:rsidRPr="0073056A">
        <w:rPr>
          <w:rFonts w:ascii="Arial" w:hAnsi="Arial" w:cs="Arial"/>
          <w:sz w:val="18"/>
          <w:szCs w:val="18"/>
        </w:rPr>
        <w:t>, siendo los rubros más importantes los impuestos</w:t>
      </w:r>
      <w:r w:rsidR="007C53EF">
        <w:rPr>
          <w:rFonts w:ascii="Arial" w:hAnsi="Arial" w:cs="Arial"/>
          <w:sz w:val="18"/>
          <w:szCs w:val="18"/>
        </w:rPr>
        <w:t>:</w:t>
      </w:r>
      <w:r w:rsidRPr="0073056A">
        <w:rPr>
          <w:rFonts w:ascii="Arial" w:hAnsi="Arial" w:cs="Arial"/>
          <w:sz w:val="18"/>
          <w:szCs w:val="18"/>
        </w:rPr>
        <w:t xml:space="preserve"> Sobre Nóminas, por la cantidad de $</w:t>
      </w:r>
      <w:r w:rsidR="00C71D1F">
        <w:rPr>
          <w:rFonts w:ascii="Arial" w:hAnsi="Arial" w:cs="Arial"/>
          <w:sz w:val="18"/>
          <w:szCs w:val="18"/>
        </w:rPr>
        <w:t xml:space="preserve"> </w:t>
      </w:r>
      <w:r w:rsidR="00553706">
        <w:rPr>
          <w:rFonts w:ascii="Arial" w:hAnsi="Arial" w:cs="Arial"/>
          <w:sz w:val="18"/>
          <w:szCs w:val="18"/>
        </w:rPr>
        <w:t>324,553,907</w:t>
      </w:r>
      <w:r w:rsidRPr="0073056A">
        <w:rPr>
          <w:rFonts w:ascii="Arial" w:hAnsi="Arial" w:cs="Arial"/>
          <w:sz w:val="18"/>
          <w:szCs w:val="18"/>
        </w:rPr>
        <w:t>; Sobre Producción, al Consumo y las Transacciones por $</w:t>
      </w:r>
      <w:r w:rsidR="002023F6">
        <w:rPr>
          <w:rFonts w:ascii="Arial" w:hAnsi="Arial" w:cs="Arial"/>
          <w:sz w:val="18"/>
          <w:szCs w:val="18"/>
        </w:rPr>
        <w:t xml:space="preserve"> </w:t>
      </w:r>
      <w:r w:rsidR="0082318A">
        <w:rPr>
          <w:rFonts w:ascii="Arial" w:hAnsi="Arial" w:cs="Arial"/>
          <w:sz w:val="18"/>
          <w:szCs w:val="18"/>
        </w:rPr>
        <w:t>23,256,347</w:t>
      </w:r>
      <w:r w:rsidRPr="0073056A">
        <w:rPr>
          <w:rFonts w:ascii="Arial" w:hAnsi="Arial" w:cs="Arial"/>
          <w:sz w:val="18"/>
          <w:szCs w:val="18"/>
        </w:rPr>
        <w:t xml:space="preserve"> y al Patrimonio con un importe de $</w:t>
      </w:r>
      <w:r w:rsidR="000C270E">
        <w:rPr>
          <w:rFonts w:ascii="Arial" w:hAnsi="Arial" w:cs="Arial"/>
          <w:sz w:val="18"/>
          <w:szCs w:val="18"/>
        </w:rPr>
        <w:t xml:space="preserve"> </w:t>
      </w:r>
      <w:r w:rsidR="0082318A">
        <w:rPr>
          <w:rFonts w:ascii="Arial" w:hAnsi="Arial" w:cs="Arial"/>
          <w:sz w:val="18"/>
          <w:szCs w:val="18"/>
        </w:rPr>
        <w:t>3,731,916</w:t>
      </w:r>
      <w:r w:rsidRPr="0073056A">
        <w:rPr>
          <w:rFonts w:ascii="Arial" w:hAnsi="Arial" w:cs="Arial"/>
          <w:sz w:val="18"/>
          <w:szCs w:val="18"/>
        </w:rPr>
        <w:t>. La variación observada respecto del ejercicio 201</w:t>
      </w:r>
      <w:r w:rsidR="000C270E">
        <w:rPr>
          <w:rFonts w:ascii="Arial" w:hAnsi="Arial" w:cs="Arial"/>
          <w:sz w:val="18"/>
          <w:szCs w:val="18"/>
        </w:rPr>
        <w:t>4</w:t>
      </w:r>
      <w:r w:rsidRPr="0073056A">
        <w:rPr>
          <w:rFonts w:ascii="Arial" w:hAnsi="Arial" w:cs="Arial"/>
          <w:sz w:val="18"/>
          <w:szCs w:val="18"/>
        </w:rPr>
        <w:t>, se debe principalmente a mejores políticas de recaudación implementadas por el Gobierno del Estado.</w:t>
      </w:r>
    </w:p>
    <w:p w:rsidR="007A52C8" w:rsidRPr="0073056A" w:rsidRDefault="007A52C8" w:rsidP="00A54D75">
      <w:pPr>
        <w:tabs>
          <w:tab w:val="left" w:pos="284"/>
        </w:tabs>
        <w:spacing w:after="0"/>
        <w:ind w:left="284"/>
        <w:jc w:val="both"/>
        <w:rPr>
          <w:rFonts w:ascii="Arial" w:hAnsi="Arial" w:cs="Arial"/>
          <w:sz w:val="18"/>
          <w:szCs w:val="18"/>
        </w:rPr>
      </w:pPr>
    </w:p>
    <w:tbl>
      <w:tblPr>
        <w:tblStyle w:val="Tablaconcuadrcula"/>
        <w:tblW w:w="0" w:type="auto"/>
        <w:tblInd w:w="2357" w:type="dxa"/>
        <w:tblLook w:val="04A0" w:firstRow="1" w:lastRow="0" w:firstColumn="1" w:lastColumn="0" w:noHBand="0" w:noVBand="1"/>
      </w:tblPr>
      <w:tblGrid>
        <w:gridCol w:w="1795"/>
        <w:gridCol w:w="1795"/>
        <w:gridCol w:w="1796"/>
        <w:gridCol w:w="1796"/>
        <w:gridCol w:w="1796"/>
      </w:tblGrid>
      <w:tr w:rsidR="00C013A1" w:rsidRPr="0073056A" w:rsidTr="00A54D75">
        <w:tc>
          <w:tcPr>
            <w:tcW w:w="1795" w:type="dxa"/>
            <w:vMerge w:val="restart"/>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C013A1" w:rsidRPr="0073056A" w:rsidRDefault="000C270E" w:rsidP="00C50527">
            <w:pPr>
              <w:tabs>
                <w:tab w:val="left" w:pos="284"/>
              </w:tabs>
              <w:spacing w:line="276" w:lineRule="auto"/>
              <w:ind w:left="284"/>
              <w:jc w:val="center"/>
              <w:rPr>
                <w:rFonts w:ascii="Arial" w:hAnsi="Arial" w:cs="Arial"/>
                <w:b/>
                <w:sz w:val="18"/>
                <w:szCs w:val="18"/>
              </w:rPr>
            </w:pPr>
            <w:r>
              <w:rPr>
                <w:rFonts w:ascii="Arial" w:hAnsi="Arial" w:cs="Arial"/>
                <w:b/>
                <w:sz w:val="18"/>
                <w:szCs w:val="18"/>
              </w:rPr>
              <w:t>2015</w:t>
            </w:r>
          </w:p>
        </w:tc>
        <w:tc>
          <w:tcPr>
            <w:tcW w:w="1796" w:type="dxa"/>
            <w:vMerge w:val="restart"/>
            <w:shd w:val="pct10" w:color="auto" w:fill="auto"/>
            <w:vAlign w:val="center"/>
          </w:tcPr>
          <w:p w:rsidR="00C013A1" w:rsidRPr="0073056A" w:rsidRDefault="000C270E" w:rsidP="00C50527">
            <w:pPr>
              <w:tabs>
                <w:tab w:val="left" w:pos="284"/>
              </w:tabs>
              <w:spacing w:line="276" w:lineRule="auto"/>
              <w:ind w:left="284"/>
              <w:jc w:val="center"/>
              <w:rPr>
                <w:rFonts w:ascii="Arial" w:hAnsi="Arial" w:cs="Arial"/>
                <w:b/>
                <w:sz w:val="18"/>
                <w:szCs w:val="18"/>
              </w:rPr>
            </w:pPr>
            <w:r>
              <w:rPr>
                <w:rFonts w:ascii="Arial" w:hAnsi="Arial" w:cs="Arial"/>
                <w:b/>
                <w:sz w:val="18"/>
                <w:szCs w:val="18"/>
              </w:rPr>
              <w:t>2014</w:t>
            </w:r>
          </w:p>
        </w:tc>
        <w:tc>
          <w:tcPr>
            <w:tcW w:w="3592" w:type="dxa"/>
            <w:gridSpan w:val="2"/>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C013A1" w:rsidRPr="0073056A" w:rsidTr="00A54D75">
        <w:tc>
          <w:tcPr>
            <w:tcW w:w="1795" w:type="dxa"/>
            <w:vMerge/>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p>
        </w:tc>
        <w:tc>
          <w:tcPr>
            <w:tcW w:w="1795" w:type="dxa"/>
            <w:vMerge/>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p>
        </w:tc>
        <w:tc>
          <w:tcPr>
            <w:tcW w:w="1796" w:type="dxa"/>
            <w:vMerge/>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p>
        </w:tc>
        <w:tc>
          <w:tcPr>
            <w:tcW w:w="1796" w:type="dxa"/>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C013A1" w:rsidRPr="0073056A" w:rsidTr="00A54D75">
        <w:tc>
          <w:tcPr>
            <w:tcW w:w="1795" w:type="dxa"/>
            <w:vAlign w:val="center"/>
          </w:tcPr>
          <w:p w:rsidR="00C013A1" w:rsidRPr="0073056A" w:rsidRDefault="00C013A1" w:rsidP="00C50527">
            <w:pPr>
              <w:tabs>
                <w:tab w:val="left" w:pos="284"/>
              </w:tabs>
              <w:spacing w:line="276" w:lineRule="auto"/>
              <w:ind w:left="284"/>
              <w:jc w:val="center"/>
              <w:rPr>
                <w:rFonts w:ascii="Arial" w:hAnsi="Arial" w:cs="Arial"/>
                <w:sz w:val="18"/>
                <w:szCs w:val="18"/>
              </w:rPr>
            </w:pPr>
            <w:r w:rsidRPr="0073056A">
              <w:rPr>
                <w:rFonts w:ascii="Arial" w:hAnsi="Arial" w:cs="Arial"/>
                <w:sz w:val="18"/>
                <w:szCs w:val="18"/>
              </w:rPr>
              <w:t>Impuestos</w:t>
            </w:r>
          </w:p>
        </w:tc>
        <w:tc>
          <w:tcPr>
            <w:tcW w:w="1795" w:type="dxa"/>
            <w:vAlign w:val="center"/>
          </w:tcPr>
          <w:p w:rsidR="00C013A1" w:rsidRPr="0073056A" w:rsidRDefault="00BF4468" w:rsidP="00BF4468">
            <w:pPr>
              <w:tabs>
                <w:tab w:val="left" w:pos="284"/>
              </w:tabs>
              <w:spacing w:line="276" w:lineRule="auto"/>
              <w:ind w:left="284"/>
              <w:jc w:val="right"/>
              <w:rPr>
                <w:rFonts w:ascii="Arial" w:hAnsi="Arial" w:cs="Arial"/>
                <w:sz w:val="18"/>
                <w:szCs w:val="18"/>
              </w:rPr>
            </w:pPr>
            <w:r>
              <w:rPr>
                <w:rFonts w:ascii="Arial" w:hAnsi="Arial" w:cs="Arial"/>
                <w:sz w:val="18"/>
                <w:szCs w:val="18"/>
              </w:rPr>
              <w:t>$  355,400,955</w:t>
            </w:r>
          </w:p>
        </w:tc>
        <w:tc>
          <w:tcPr>
            <w:tcW w:w="1796" w:type="dxa"/>
            <w:vAlign w:val="center"/>
          </w:tcPr>
          <w:p w:rsidR="00C013A1" w:rsidRPr="0073056A" w:rsidRDefault="00C013A1" w:rsidP="000C270E">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2023F6">
              <w:rPr>
                <w:rFonts w:ascii="Arial" w:hAnsi="Arial" w:cs="Arial"/>
                <w:sz w:val="18"/>
                <w:szCs w:val="18"/>
              </w:rPr>
              <w:t xml:space="preserve">  </w:t>
            </w:r>
            <w:r w:rsidR="000C270E">
              <w:rPr>
                <w:rFonts w:ascii="Arial" w:hAnsi="Arial" w:cs="Arial"/>
                <w:sz w:val="18"/>
                <w:szCs w:val="18"/>
              </w:rPr>
              <w:t>262,027,092</w:t>
            </w:r>
          </w:p>
        </w:tc>
        <w:tc>
          <w:tcPr>
            <w:tcW w:w="1796" w:type="dxa"/>
            <w:vAlign w:val="center"/>
          </w:tcPr>
          <w:p w:rsidR="00C013A1" w:rsidRPr="0073056A" w:rsidRDefault="00C013A1" w:rsidP="000C270E">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0C270E">
              <w:rPr>
                <w:rFonts w:ascii="Arial" w:hAnsi="Arial" w:cs="Arial"/>
                <w:sz w:val="18"/>
                <w:szCs w:val="18"/>
              </w:rPr>
              <w:t xml:space="preserve">  </w:t>
            </w:r>
            <w:r w:rsidR="00553706">
              <w:rPr>
                <w:rFonts w:ascii="Arial" w:hAnsi="Arial" w:cs="Arial"/>
                <w:sz w:val="18"/>
                <w:szCs w:val="18"/>
              </w:rPr>
              <w:t>93,373,863</w:t>
            </w:r>
          </w:p>
        </w:tc>
        <w:tc>
          <w:tcPr>
            <w:tcW w:w="1796" w:type="dxa"/>
            <w:vAlign w:val="center"/>
          </w:tcPr>
          <w:p w:rsidR="00C013A1" w:rsidRPr="0073056A" w:rsidRDefault="00553706" w:rsidP="00C50527">
            <w:pPr>
              <w:tabs>
                <w:tab w:val="left" w:pos="284"/>
              </w:tabs>
              <w:spacing w:line="276" w:lineRule="auto"/>
              <w:ind w:left="284"/>
              <w:jc w:val="center"/>
              <w:rPr>
                <w:rFonts w:ascii="Arial" w:hAnsi="Arial" w:cs="Arial"/>
                <w:sz w:val="18"/>
                <w:szCs w:val="18"/>
              </w:rPr>
            </w:pPr>
            <w:r>
              <w:rPr>
                <w:rFonts w:ascii="Arial" w:hAnsi="Arial" w:cs="Arial"/>
                <w:sz w:val="18"/>
                <w:szCs w:val="18"/>
              </w:rPr>
              <w:t>35.6</w:t>
            </w:r>
            <w:r w:rsidR="002023F6">
              <w:rPr>
                <w:rFonts w:ascii="Arial" w:hAnsi="Arial" w:cs="Arial"/>
                <w:sz w:val="18"/>
                <w:szCs w:val="18"/>
              </w:rPr>
              <w:t xml:space="preserve"> %</w:t>
            </w:r>
          </w:p>
        </w:tc>
      </w:tr>
    </w:tbl>
    <w:p w:rsidR="00386559" w:rsidRDefault="00386559" w:rsidP="00386559">
      <w:pPr>
        <w:tabs>
          <w:tab w:val="left" w:pos="284"/>
        </w:tabs>
        <w:spacing w:after="0"/>
        <w:ind w:left="284"/>
        <w:jc w:val="both"/>
        <w:rPr>
          <w:rFonts w:ascii="Arial" w:hAnsi="Arial" w:cs="Arial"/>
          <w:sz w:val="18"/>
          <w:szCs w:val="18"/>
        </w:rPr>
      </w:pPr>
    </w:p>
    <w:p w:rsidR="00386559" w:rsidRDefault="00386559" w:rsidP="00386559">
      <w:pPr>
        <w:tabs>
          <w:tab w:val="left" w:pos="284"/>
        </w:tabs>
        <w:spacing w:after="0"/>
        <w:ind w:left="284"/>
        <w:jc w:val="both"/>
        <w:rPr>
          <w:rFonts w:ascii="Arial" w:hAnsi="Arial" w:cs="Arial"/>
          <w:sz w:val="18"/>
          <w:szCs w:val="18"/>
        </w:rPr>
      </w:pPr>
      <w:r>
        <w:rPr>
          <w:rFonts w:ascii="Arial" w:hAnsi="Arial" w:cs="Arial"/>
          <w:sz w:val="18"/>
          <w:szCs w:val="18"/>
        </w:rPr>
        <w:t xml:space="preserve">En el caso de los Impuestos Sobre Diversiones  y Espectáculos Públicos y el de Loterías, Rifas, Sorteos,  Concursos y Juegos con Cruce de Apuestas Legalmente Permitidos, observan una disminución en  su recaudación derivado  de una menor demanda en la prestación de servicios vinculados a estos gravámenes. En el caso del Impuesto Estatal Sobre Tenencia o Uso de Vehículos, ya que en el ejercicio 2014 se otorgaron beneficios y estímulos a la población, con la finalidad de regularizar la situación de los vehículos de su propiedad, </w:t>
      </w:r>
      <w:proofErr w:type="spellStart"/>
      <w:r>
        <w:rPr>
          <w:rFonts w:ascii="Arial" w:hAnsi="Arial" w:cs="Arial"/>
          <w:sz w:val="18"/>
          <w:szCs w:val="18"/>
        </w:rPr>
        <w:t>aún</w:t>
      </w:r>
      <w:proofErr w:type="spellEnd"/>
      <w:r>
        <w:rPr>
          <w:rFonts w:ascii="Arial" w:hAnsi="Arial" w:cs="Arial"/>
          <w:sz w:val="18"/>
          <w:szCs w:val="18"/>
        </w:rPr>
        <w:t xml:space="preserve"> cuando  en el ejercicio 2015 se continuaron otorgando estos  beneficios el ingreso por este concepto se ha visto  reducido. La recaudación de los impuestos Sobre la Prestación del Servicio de Hospedaje, Funciones Notariales y Correduría Pública,  Ejercicio de Profesiones y Sobre Automóviles Automotores Usados, observan un comportamiento positivo, derivado de las diversas acciones efectuadas por la Dirección de Ingresos y Fiscalización, incluyéndose la </w:t>
      </w:r>
      <w:r>
        <w:rPr>
          <w:rFonts w:ascii="Arial" w:hAnsi="Arial" w:cs="Arial"/>
          <w:sz w:val="18"/>
          <w:szCs w:val="18"/>
        </w:rPr>
        <w:lastRenderedPageBreak/>
        <w:t xml:space="preserve">promoción de pagos vía internet, mismo que agilizan las transacciones y el cumplimiento de obligaciones fiscales. Por otra parte, el Impuesto Sobre Nóminas, refleja  un incremento de más del 50% en relación al ejercicio 2014, derivado de las acciones de fiscalización llevadas a cabo por la Dirección de Ingresos y por los pagos efectuados por dependencias del sector central y de municipios. </w:t>
      </w:r>
    </w:p>
    <w:p w:rsidR="00C013A1" w:rsidRPr="0073056A" w:rsidRDefault="00C013A1" w:rsidP="00C50527">
      <w:pPr>
        <w:tabs>
          <w:tab w:val="left" w:pos="284"/>
        </w:tabs>
        <w:ind w:left="284"/>
        <w:jc w:val="both"/>
        <w:rPr>
          <w:rFonts w:ascii="Arial" w:hAnsi="Arial" w:cs="Arial"/>
          <w:sz w:val="18"/>
          <w:szCs w:val="18"/>
        </w:rPr>
      </w:pPr>
    </w:p>
    <w:p w:rsidR="00C013A1" w:rsidRDefault="00C013A1" w:rsidP="00C50527">
      <w:pPr>
        <w:tabs>
          <w:tab w:val="left" w:pos="284"/>
        </w:tabs>
        <w:ind w:left="284"/>
        <w:jc w:val="both"/>
        <w:rPr>
          <w:rFonts w:ascii="Arial" w:hAnsi="Arial" w:cs="Arial"/>
          <w:sz w:val="18"/>
          <w:szCs w:val="18"/>
        </w:rPr>
      </w:pPr>
    </w:p>
    <w:p w:rsidR="00386559" w:rsidRPr="0073056A" w:rsidRDefault="00386559" w:rsidP="00C50527">
      <w:pPr>
        <w:tabs>
          <w:tab w:val="left" w:pos="284"/>
        </w:tabs>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t>Derechos</w:t>
      </w:r>
    </w:p>
    <w:p w:rsidR="00C013A1" w:rsidRDefault="00C013A1" w:rsidP="00A54D75">
      <w:pPr>
        <w:tabs>
          <w:tab w:val="left" w:pos="284"/>
        </w:tabs>
        <w:spacing w:after="0"/>
        <w:ind w:left="284"/>
        <w:jc w:val="both"/>
        <w:rPr>
          <w:rFonts w:ascii="Arial" w:hAnsi="Arial" w:cs="Arial"/>
          <w:sz w:val="18"/>
          <w:szCs w:val="18"/>
        </w:rPr>
      </w:pPr>
      <w:r w:rsidRPr="0073056A">
        <w:rPr>
          <w:rFonts w:ascii="Arial" w:hAnsi="Arial" w:cs="Arial"/>
          <w:sz w:val="18"/>
          <w:szCs w:val="18"/>
        </w:rPr>
        <w:t>Su saldo representa el monto de los ingresos obtenidos por concepto de Derechos establecidos en la Ley de Ingresos, por la prestación de bienes y servicios de dominio público, su saldo</w:t>
      </w:r>
      <w:r w:rsidR="007C53EF">
        <w:rPr>
          <w:rFonts w:ascii="Arial" w:hAnsi="Arial" w:cs="Arial"/>
          <w:sz w:val="18"/>
          <w:szCs w:val="18"/>
        </w:rPr>
        <w:t xml:space="preserve"> se</w:t>
      </w:r>
      <w:r w:rsidRPr="0073056A">
        <w:rPr>
          <w:rFonts w:ascii="Arial" w:hAnsi="Arial" w:cs="Arial"/>
          <w:sz w:val="18"/>
          <w:szCs w:val="18"/>
        </w:rPr>
        <w:t xml:space="preserve"> integra por un monto de $</w:t>
      </w:r>
      <w:r w:rsidR="000C270E">
        <w:rPr>
          <w:rFonts w:ascii="Arial" w:hAnsi="Arial" w:cs="Arial"/>
          <w:sz w:val="18"/>
          <w:szCs w:val="18"/>
        </w:rPr>
        <w:t xml:space="preserve"> </w:t>
      </w:r>
      <w:r w:rsidR="0082318A">
        <w:rPr>
          <w:rFonts w:ascii="Arial" w:hAnsi="Arial" w:cs="Arial"/>
          <w:sz w:val="18"/>
          <w:szCs w:val="18"/>
        </w:rPr>
        <w:t>388</w:t>
      </w:r>
      <w:proofErr w:type="gramStart"/>
      <w:r w:rsidR="0082318A">
        <w:rPr>
          <w:rFonts w:ascii="Arial" w:hAnsi="Arial" w:cs="Arial"/>
          <w:sz w:val="18"/>
          <w:szCs w:val="18"/>
        </w:rPr>
        <w:t>,512,53</w:t>
      </w:r>
      <w:r w:rsidR="00996EAC">
        <w:rPr>
          <w:rFonts w:ascii="Arial" w:hAnsi="Arial" w:cs="Arial"/>
          <w:sz w:val="18"/>
          <w:szCs w:val="18"/>
        </w:rPr>
        <w:t>8</w:t>
      </w:r>
      <w:proofErr w:type="gramEnd"/>
      <w:r w:rsidRPr="0073056A">
        <w:rPr>
          <w:rFonts w:ascii="Arial" w:hAnsi="Arial" w:cs="Arial"/>
          <w:sz w:val="18"/>
          <w:szCs w:val="18"/>
        </w:rPr>
        <w:t>. Los principales conceptos que comprenden los Derechos, son los correspondientes a los servicios prestados por Dependencias del Poder Ejecutivo, que en el ejercicio 201</w:t>
      </w:r>
      <w:r w:rsidR="000C270E">
        <w:rPr>
          <w:rFonts w:ascii="Arial" w:hAnsi="Arial" w:cs="Arial"/>
          <w:sz w:val="18"/>
          <w:szCs w:val="18"/>
        </w:rPr>
        <w:t>5</w:t>
      </w:r>
      <w:r w:rsidRPr="0073056A">
        <w:rPr>
          <w:rFonts w:ascii="Arial" w:hAnsi="Arial" w:cs="Arial"/>
          <w:sz w:val="18"/>
          <w:szCs w:val="18"/>
        </w:rPr>
        <w:t xml:space="preserve"> ascendieron a $</w:t>
      </w:r>
      <w:r w:rsidR="00C63CF1">
        <w:rPr>
          <w:rFonts w:ascii="Arial" w:hAnsi="Arial" w:cs="Arial"/>
          <w:sz w:val="18"/>
          <w:szCs w:val="18"/>
        </w:rPr>
        <w:t xml:space="preserve"> </w:t>
      </w:r>
      <w:r w:rsidR="0082318A">
        <w:rPr>
          <w:rFonts w:ascii="Arial" w:hAnsi="Arial" w:cs="Arial"/>
          <w:sz w:val="18"/>
          <w:szCs w:val="18"/>
        </w:rPr>
        <w:t>376</w:t>
      </w:r>
      <w:proofErr w:type="gramStart"/>
      <w:r w:rsidR="0082318A">
        <w:rPr>
          <w:rFonts w:ascii="Arial" w:hAnsi="Arial" w:cs="Arial"/>
          <w:sz w:val="18"/>
          <w:szCs w:val="18"/>
        </w:rPr>
        <w:t>,876,57</w:t>
      </w:r>
      <w:r w:rsidR="00996EAC">
        <w:rPr>
          <w:rFonts w:ascii="Arial" w:hAnsi="Arial" w:cs="Arial"/>
          <w:sz w:val="18"/>
          <w:szCs w:val="18"/>
        </w:rPr>
        <w:t>2</w:t>
      </w:r>
      <w:proofErr w:type="gramEnd"/>
      <w:r w:rsidRPr="0073056A">
        <w:rPr>
          <w:rFonts w:ascii="Arial" w:hAnsi="Arial" w:cs="Arial"/>
          <w:sz w:val="18"/>
          <w:szCs w:val="18"/>
        </w:rPr>
        <w:t>. La variación observada respecto del ejercicio 201</w:t>
      </w:r>
      <w:r w:rsidR="000C270E">
        <w:rPr>
          <w:rFonts w:ascii="Arial" w:hAnsi="Arial" w:cs="Arial"/>
          <w:sz w:val="18"/>
          <w:szCs w:val="18"/>
        </w:rPr>
        <w:t>4</w:t>
      </w:r>
      <w:r w:rsidRPr="0073056A">
        <w:rPr>
          <w:rFonts w:ascii="Arial" w:hAnsi="Arial" w:cs="Arial"/>
          <w:sz w:val="18"/>
          <w:szCs w:val="18"/>
        </w:rPr>
        <w:t>, se debe principalmente al incremento en los servicios prestados por las Dependencias del Poder Ejecutivo.</w:t>
      </w:r>
    </w:p>
    <w:p w:rsidR="00A54D75" w:rsidRPr="0073056A" w:rsidRDefault="00A54D75" w:rsidP="00A54D75">
      <w:pPr>
        <w:tabs>
          <w:tab w:val="left" w:pos="284"/>
        </w:tabs>
        <w:spacing w:after="0"/>
        <w:ind w:left="284"/>
        <w:jc w:val="both"/>
        <w:rPr>
          <w:rFonts w:ascii="Arial" w:hAnsi="Arial" w:cs="Arial"/>
          <w:sz w:val="18"/>
          <w:szCs w:val="18"/>
        </w:rPr>
      </w:pPr>
    </w:p>
    <w:tbl>
      <w:tblPr>
        <w:tblStyle w:val="Tablaconcuadrcula"/>
        <w:tblW w:w="0" w:type="auto"/>
        <w:tblInd w:w="2357" w:type="dxa"/>
        <w:tblLook w:val="04A0" w:firstRow="1" w:lastRow="0" w:firstColumn="1" w:lastColumn="0" w:noHBand="0" w:noVBand="1"/>
      </w:tblPr>
      <w:tblGrid>
        <w:gridCol w:w="1795"/>
        <w:gridCol w:w="1795"/>
        <w:gridCol w:w="1796"/>
        <w:gridCol w:w="1796"/>
        <w:gridCol w:w="1796"/>
      </w:tblGrid>
      <w:tr w:rsidR="00C013A1" w:rsidRPr="0073056A" w:rsidTr="00A54D75">
        <w:tc>
          <w:tcPr>
            <w:tcW w:w="1795" w:type="dxa"/>
            <w:vMerge w:val="restart"/>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C013A1" w:rsidRPr="0073056A" w:rsidRDefault="000C270E" w:rsidP="00C50527">
            <w:pPr>
              <w:tabs>
                <w:tab w:val="left" w:pos="284"/>
              </w:tabs>
              <w:spacing w:line="276" w:lineRule="auto"/>
              <w:ind w:left="284"/>
              <w:jc w:val="center"/>
              <w:rPr>
                <w:rFonts w:ascii="Arial" w:hAnsi="Arial" w:cs="Arial"/>
                <w:b/>
                <w:sz w:val="18"/>
                <w:szCs w:val="18"/>
              </w:rPr>
            </w:pPr>
            <w:r>
              <w:rPr>
                <w:rFonts w:ascii="Arial" w:hAnsi="Arial" w:cs="Arial"/>
                <w:b/>
                <w:sz w:val="18"/>
                <w:szCs w:val="18"/>
              </w:rPr>
              <w:t>2015</w:t>
            </w:r>
          </w:p>
        </w:tc>
        <w:tc>
          <w:tcPr>
            <w:tcW w:w="1796" w:type="dxa"/>
            <w:vMerge w:val="restart"/>
            <w:shd w:val="pct10" w:color="auto" w:fill="auto"/>
            <w:vAlign w:val="center"/>
          </w:tcPr>
          <w:p w:rsidR="00C013A1" w:rsidRPr="0073056A" w:rsidRDefault="00C013A1" w:rsidP="000C270E">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0C270E">
              <w:rPr>
                <w:rFonts w:ascii="Arial" w:hAnsi="Arial" w:cs="Arial"/>
                <w:b/>
                <w:sz w:val="18"/>
                <w:szCs w:val="18"/>
              </w:rPr>
              <w:t>4</w:t>
            </w:r>
          </w:p>
        </w:tc>
        <w:tc>
          <w:tcPr>
            <w:tcW w:w="3592" w:type="dxa"/>
            <w:gridSpan w:val="2"/>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C013A1" w:rsidRPr="0073056A" w:rsidTr="00A54D75">
        <w:tc>
          <w:tcPr>
            <w:tcW w:w="1795" w:type="dxa"/>
            <w:vMerge/>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p>
        </w:tc>
        <w:tc>
          <w:tcPr>
            <w:tcW w:w="1795" w:type="dxa"/>
            <w:vMerge/>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p>
        </w:tc>
        <w:tc>
          <w:tcPr>
            <w:tcW w:w="1796" w:type="dxa"/>
            <w:vMerge/>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p>
        </w:tc>
        <w:tc>
          <w:tcPr>
            <w:tcW w:w="1796" w:type="dxa"/>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C013A1" w:rsidRPr="0073056A" w:rsidRDefault="00C013A1" w:rsidP="00C50527">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C63CF1" w:rsidRPr="0073056A" w:rsidTr="00137E93">
        <w:tc>
          <w:tcPr>
            <w:tcW w:w="1795" w:type="dxa"/>
            <w:vAlign w:val="center"/>
          </w:tcPr>
          <w:p w:rsidR="00C63CF1" w:rsidRPr="0073056A" w:rsidRDefault="00C63CF1" w:rsidP="00C50527">
            <w:pPr>
              <w:tabs>
                <w:tab w:val="left" w:pos="284"/>
              </w:tabs>
              <w:spacing w:line="276" w:lineRule="auto"/>
              <w:ind w:left="284"/>
              <w:jc w:val="center"/>
              <w:rPr>
                <w:rFonts w:ascii="Arial" w:hAnsi="Arial" w:cs="Arial"/>
                <w:sz w:val="18"/>
                <w:szCs w:val="18"/>
              </w:rPr>
            </w:pPr>
            <w:r w:rsidRPr="0073056A">
              <w:rPr>
                <w:rFonts w:ascii="Arial" w:hAnsi="Arial" w:cs="Arial"/>
                <w:sz w:val="18"/>
                <w:szCs w:val="18"/>
              </w:rPr>
              <w:t>Derechos</w:t>
            </w:r>
          </w:p>
        </w:tc>
        <w:tc>
          <w:tcPr>
            <w:tcW w:w="1795" w:type="dxa"/>
          </w:tcPr>
          <w:p w:rsidR="00C63CF1" w:rsidRPr="00C63CF1" w:rsidRDefault="00C63CF1" w:rsidP="00996EAC">
            <w:pPr>
              <w:tabs>
                <w:tab w:val="left" w:pos="284"/>
              </w:tabs>
              <w:spacing w:line="276" w:lineRule="auto"/>
              <w:ind w:left="284"/>
              <w:jc w:val="right"/>
              <w:rPr>
                <w:rFonts w:ascii="Arial" w:hAnsi="Arial" w:cs="Arial"/>
                <w:sz w:val="18"/>
                <w:szCs w:val="18"/>
              </w:rPr>
            </w:pPr>
            <w:r>
              <w:rPr>
                <w:rFonts w:ascii="Arial" w:hAnsi="Arial" w:cs="Arial"/>
                <w:sz w:val="18"/>
                <w:szCs w:val="18"/>
              </w:rPr>
              <w:t xml:space="preserve">$  </w:t>
            </w:r>
            <w:r w:rsidR="0082318A">
              <w:rPr>
                <w:rFonts w:ascii="Arial" w:hAnsi="Arial" w:cs="Arial"/>
                <w:sz w:val="18"/>
                <w:szCs w:val="18"/>
              </w:rPr>
              <w:t>388,512,53</w:t>
            </w:r>
            <w:r w:rsidR="00996EAC">
              <w:rPr>
                <w:rFonts w:ascii="Arial" w:hAnsi="Arial" w:cs="Arial"/>
                <w:sz w:val="18"/>
                <w:szCs w:val="18"/>
              </w:rPr>
              <w:t>8</w:t>
            </w:r>
          </w:p>
        </w:tc>
        <w:tc>
          <w:tcPr>
            <w:tcW w:w="1796" w:type="dxa"/>
          </w:tcPr>
          <w:p w:rsidR="00C63CF1" w:rsidRPr="00C63CF1" w:rsidRDefault="00C63CF1" w:rsidP="00C63CF1">
            <w:pPr>
              <w:tabs>
                <w:tab w:val="left" w:pos="284"/>
              </w:tabs>
              <w:spacing w:line="276" w:lineRule="auto"/>
              <w:ind w:left="284"/>
              <w:jc w:val="right"/>
              <w:rPr>
                <w:rFonts w:ascii="Arial" w:hAnsi="Arial" w:cs="Arial"/>
                <w:sz w:val="18"/>
                <w:szCs w:val="18"/>
              </w:rPr>
            </w:pPr>
            <w:r>
              <w:rPr>
                <w:rFonts w:ascii="Arial" w:hAnsi="Arial" w:cs="Arial"/>
                <w:sz w:val="18"/>
                <w:szCs w:val="18"/>
              </w:rPr>
              <w:t xml:space="preserve">$  </w:t>
            </w:r>
            <w:r w:rsidR="000C270E" w:rsidRPr="00C63CF1">
              <w:rPr>
                <w:rFonts w:ascii="Arial" w:hAnsi="Arial" w:cs="Arial"/>
                <w:sz w:val="18"/>
                <w:szCs w:val="18"/>
              </w:rPr>
              <w:t>338,537,597</w:t>
            </w:r>
          </w:p>
        </w:tc>
        <w:tc>
          <w:tcPr>
            <w:tcW w:w="1796" w:type="dxa"/>
            <w:vAlign w:val="center"/>
          </w:tcPr>
          <w:p w:rsidR="00C63CF1" w:rsidRPr="0073056A" w:rsidRDefault="00C63CF1" w:rsidP="00996EAC">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w:t>
            </w:r>
            <w:r w:rsidR="0082318A">
              <w:rPr>
                <w:rFonts w:ascii="Arial" w:hAnsi="Arial" w:cs="Arial"/>
                <w:sz w:val="18"/>
                <w:szCs w:val="18"/>
              </w:rPr>
              <w:t>49,974,94</w:t>
            </w:r>
            <w:r w:rsidR="00996EAC">
              <w:rPr>
                <w:rFonts w:ascii="Arial" w:hAnsi="Arial" w:cs="Arial"/>
                <w:sz w:val="18"/>
                <w:szCs w:val="18"/>
              </w:rPr>
              <w:t>1</w:t>
            </w:r>
          </w:p>
        </w:tc>
        <w:tc>
          <w:tcPr>
            <w:tcW w:w="1796" w:type="dxa"/>
            <w:vAlign w:val="center"/>
          </w:tcPr>
          <w:p w:rsidR="00C63CF1" w:rsidRPr="0073056A" w:rsidRDefault="0082318A" w:rsidP="00C63CF1">
            <w:pPr>
              <w:tabs>
                <w:tab w:val="left" w:pos="284"/>
              </w:tabs>
              <w:spacing w:line="276" w:lineRule="auto"/>
              <w:ind w:left="284"/>
              <w:jc w:val="center"/>
              <w:rPr>
                <w:rFonts w:ascii="Arial" w:hAnsi="Arial" w:cs="Arial"/>
                <w:sz w:val="18"/>
                <w:szCs w:val="18"/>
              </w:rPr>
            </w:pPr>
            <w:r>
              <w:rPr>
                <w:rFonts w:ascii="Arial" w:hAnsi="Arial" w:cs="Arial"/>
                <w:sz w:val="18"/>
                <w:szCs w:val="18"/>
              </w:rPr>
              <w:t>14.7</w:t>
            </w:r>
            <w:r w:rsidR="00C63CF1">
              <w:rPr>
                <w:rFonts w:ascii="Arial" w:hAnsi="Arial" w:cs="Arial"/>
                <w:sz w:val="18"/>
                <w:szCs w:val="18"/>
              </w:rPr>
              <w:t>%</w:t>
            </w:r>
          </w:p>
        </w:tc>
      </w:tr>
    </w:tbl>
    <w:p w:rsidR="00C013A1" w:rsidRPr="0073056A" w:rsidRDefault="00C013A1" w:rsidP="00C50527">
      <w:pPr>
        <w:tabs>
          <w:tab w:val="left" w:pos="284"/>
        </w:tabs>
        <w:ind w:left="284"/>
        <w:jc w:val="both"/>
        <w:rPr>
          <w:rFonts w:ascii="Arial" w:hAnsi="Arial" w:cs="Arial"/>
          <w:sz w:val="18"/>
          <w:szCs w:val="18"/>
        </w:rPr>
      </w:pPr>
    </w:p>
    <w:p w:rsidR="00C013A1" w:rsidRDefault="00B5577E" w:rsidP="00C50527">
      <w:pPr>
        <w:tabs>
          <w:tab w:val="left" w:pos="284"/>
        </w:tabs>
        <w:ind w:left="284"/>
        <w:jc w:val="both"/>
        <w:rPr>
          <w:rFonts w:ascii="Arial" w:hAnsi="Arial" w:cs="Arial"/>
          <w:sz w:val="18"/>
          <w:szCs w:val="18"/>
        </w:rPr>
      </w:pPr>
      <w:r>
        <w:rPr>
          <w:rFonts w:ascii="Arial" w:hAnsi="Arial" w:cs="Arial"/>
          <w:sz w:val="18"/>
          <w:szCs w:val="18"/>
        </w:rPr>
        <w:t>En lo que corresponde a los Servicios Prestados por Dependencias del Poder Ejecutivo, la Secretaría de Gobierno observa un incremento significativo en su recaudación, derivado de una mayor demanda en los tramites que realiza la Dirección de Notarías y Registro  Público de la Propiedad y del Comercio; por otra parte, los servicios prestados por la policía industrial y bancaria observaron un  incremento en sus costos, derivado del ajuste al salario mínimo así como a una mayor demanda por parte de los  empresarios instalados en la Entidad.</w:t>
      </w:r>
      <w:r w:rsidR="007E1DA5">
        <w:rPr>
          <w:rFonts w:ascii="Arial" w:hAnsi="Arial" w:cs="Arial"/>
          <w:sz w:val="18"/>
          <w:szCs w:val="18"/>
        </w:rPr>
        <w:t xml:space="preserve"> La Secretaría de Comunicaciones y Transportes del  Estado, observó un incremento de más del 50% en su recaudación derivado del cobro de derechos por registro  y control vehicular en el  ejercicio 2015. La Secretaría de Planeación y Finanzas, observó un incremento significativo en su recaudación por prestación de servicios derivado, de la expedición y refrendo de licencias de funcionamiento a expendios o locales con venta de bebidas alcohólicas. La Oficialía Mayor  de Gobierno presenta un decremento en sus ingresos, respecto al ejercicio 2014 derivado de una menor demanda  en los trámites del registro del estado civil de las personas</w:t>
      </w:r>
      <w:r w:rsidR="006A7D4D">
        <w:rPr>
          <w:rFonts w:ascii="Arial" w:hAnsi="Arial" w:cs="Arial"/>
          <w:sz w:val="18"/>
          <w:szCs w:val="18"/>
        </w:rPr>
        <w:t xml:space="preserve">. La Secretaría de Obras Públicas, Desarrollo Urbano y Vivienda, presenta un decremento en su recaudación derivado de  una menor demanda en el servicio de Registro de Director Responsable de Obra. La Coordinación General  de Ecología presenta un incremento en sus ingresos derivado principalmente de la venta de certificados de verificación vehicular a los </w:t>
      </w:r>
      <w:proofErr w:type="spellStart"/>
      <w:r w:rsidR="006A7D4D">
        <w:rPr>
          <w:rFonts w:ascii="Arial" w:hAnsi="Arial" w:cs="Arial"/>
          <w:sz w:val="18"/>
          <w:szCs w:val="18"/>
        </w:rPr>
        <w:t>verificentros</w:t>
      </w:r>
      <w:proofErr w:type="spellEnd"/>
      <w:r w:rsidR="006A7D4D">
        <w:rPr>
          <w:rFonts w:ascii="Arial" w:hAnsi="Arial" w:cs="Arial"/>
          <w:sz w:val="18"/>
          <w:szCs w:val="18"/>
        </w:rPr>
        <w:t xml:space="preserve"> autorizados. La Procuraduría General de Justicia del Estado, refleja un incremento en sus ingresos derivado  de una mayor expedición de cartas de no antecedentes penales. El Instituto Tlaxcalteca de Asistencia Especializada a la Salud, observa un incremento significativo  derivado de una mayor demanda en sus servicios por parte de la población así como por la celebración de  convenios con Municipios para consultas especializadas</w:t>
      </w:r>
      <w:r w:rsidR="00CC53E2">
        <w:rPr>
          <w:rFonts w:ascii="Arial" w:hAnsi="Arial" w:cs="Arial"/>
          <w:sz w:val="18"/>
          <w:szCs w:val="18"/>
        </w:rPr>
        <w:t xml:space="preserve">, así como por la actualización del catálogo de servicios y de sus costos. </w:t>
      </w:r>
    </w:p>
    <w:p w:rsidR="00A54D75" w:rsidRPr="0073056A" w:rsidRDefault="00A54D75" w:rsidP="00C50527">
      <w:pPr>
        <w:tabs>
          <w:tab w:val="left" w:pos="284"/>
        </w:tabs>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t>Productos</w:t>
      </w:r>
    </w:p>
    <w:p w:rsidR="00C013A1" w:rsidRDefault="00C013A1" w:rsidP="00A54D75">
      <w:pPr>
        <w:tabs>
          <w:tab w:val="left" w:pos="284"/>
        </w:tabs>
        <w:spacing w:after="0"/>
        <w:ind w:left="284"/>
        <w:jc w:val="both"/>
        <w:rPr>
          <w:rFonts w:ascii="Arial" w:hAnsi="Arial" w:cs="Arial"/>
          <w:sz w:val="18"/>
          <w:szCs w:val="18"/>
        </w:rPr>
      </w:pPr>
      <w:r w:rsidRPr="0073056A">
        <w:rPr>
          <w:rFonts w:ascii="Arial" w:hAnsi="Arial" w:cs="Arial"/>
          <w:sz w:val="18"/>
          <w:szCs w:val="18"/>
        </w:rPr>
        <w:t>El saldo de $</w:t>
      </w:r>
      <w:r w:rsidR="00A10435">
        <w:rPr>
          <w:rFonts w:ascii="Arial" w:hAnsi="Arial" w:cs="Arial"/>
          <w:sz w:val="18"/>
          <w:szCs w:val="18"/>
        </w:rPr>
        <w:t xml:space="preserve"> 81</w:t>
      </w:r>
      <w:proofErr w:type="gramStart"/>
      <w:r w:rsidR="00E7498F">
        <w:rPr>
          <w:rFonts w:ascii="Arial" w:hAnsi="Arial" w:cs="Arial"/>
          <w:sz w:val="18"/>
          <w:szCs w:val="18"/>
        </w:rPr>
        <w:t>,</w:t>
      </w:r>
      <w:r w:rsidR="00A10435">
        <w:rPr>
          <w:rFonts w:ascii="Arial" w:hAnsi="Arial" w:cs="Arial"/>
          <w:sz w:val="18"/>
          <w:szCs w:val="18"/>
        </w:rPr>
        <w:t>017</w:t>
      </w:r>
      <w:r w:rsidR="00E7498F">
        <w:rPr>
          <w:rFonts w:ascii="Arial" w:hAnsi="Arial" w:cs="Arial"/>
          <w:sz w:val="18"/>
          <w:szCs w:val="18"/>
        </w:rPr>
        <w:t>,</w:t>
      </w:r>
      <w:r w:rsidR="00A10435">
        <w:rPr>
          <w:rFonts w:ascii="Arial" w:hAnsi="Arial" w:cs="Arial"/>
          <w:sz w:val="18"/>
          <w:szCs w:val="18"/>
        </w:rPr>
        <w:t>837</w:t>
      </w:r>
      <w:proofErr w:type="gramEnd"/>
      <w:r w:rsidR="0082318A">
        <w:rPr>
          <w:rFonts w:ascii="Arial" w:hAnsi="Arial" w:cs="Arial"/>
          <w:sz w:val="18"/>
          <w:szCs w:val="18"/>
        </w:rPr>
        <w:t xml:space="preserve"> </w:t>
      </w:r>
      <w:r w:rsidRPr="0073056A">
        <w:rPr>
          <w:rFonts w:ascii="Arial" w:hAnsi="Arial" w:cs="Arial"/>
          <w:sz w:val="18"/>
          <w:szCs w:val="18"/>
        </w:rPr>
        <w:t>representa la contraprestación de los servicios que otorga el Estado en sus funciones de derecho privado, así como el uso, aprovechamiento o enajenación de bienes. La variación observada respecto del ejercicio 201</w:t>
      </w:r>
      <w:r w:rsidR="000C270E">
        <w:rPr>
          <w:rFonts w:ascii="Arial" w:hAnsi="Arial" w:cs="Arial"/>
          <w:sz w:val="18"/>
          <w:szCs w:val="18"/>
        </w:rPr>
        <w:t>4</w:t>
      </w:r>
      <w:r w:rsidRPr="0073056A">
        <w:rPr>
          <w:rFonts w:ascii="Arial" w:hAnsi="Arial" w:cs="Arial"/>
          <w:sz w:val="18"/>
          <w:szCs w:val="18"/>
        </w:rPr>
        <w:t xml:space="preserve">, se debe principalmente a rendimientos generados y </w:t>
      </w:r>
      <w:r w:rsidR="0082318A">
        <w:rPr>
          <w:rFonts w:ascii="Arial" w:hAnsi="Arial" w:cs="Arial"/>
          <w:sz w:val="18"/>
          <w:szCs w:val="18"/>
        </w:rPr>
        <w:t xml:space="preserve">al </w:t>
      </w:r>
      <w:r w:rsidRPr="0073056A">
        <w:rPr>
          <w:rFonts w:ascii="Arial" w:hAnsi="Arial" w:cs="Arial"/>
          <w:sz w:val="18"/>
          <w:szCs w:val="18"/>
        </w:rPr>
        <w:t xml:space="preserve">arrendamiento de inmuebles </w:t>
      </w:r>
      <w:r w:rsidR="007C53EF">
        <w:rPr>
          <w:rFonts w:ascii="Arial" w:hAnsi="Arial" w:cs="Arial"/>
          <w:sz w:val="18"/>
          <w:szCs w:val="18"/>
        </w:rPr>
        <w:t xml:space="preserve">propiedad </w:t>
      </w:r>
      <w:r w:rsidRPr="0073056A">
        <w:rPr>
          <w:rFonts w:ascii="Arial" w:hAnsi="Arial" w:cs="Arial"/>
          <w:sz w:val="18"/>
          <w:szCs w:val="18"/>
        </w:rPr>
        <w:t>del Ejecutivo del Estado.</w:t>
      </w:r>
    </w:p>
    <w:p w:rsidR="00A54D75" w:rsidRPr="0073056A" w:rsidRDefault="00A54D75" w:rsidP="00A54D75">
      <w:pPr>
        <w:tabs>
          <w:tab w:val="left" w:pos="284"/>
        </w:tabs>
        <w:spacing w:after="0"/>
        <w:ind w:left="284"/>
        <w:jc w:val="both"/>
        <w:rPr>
          <w:rFonts w:ascii="Arial" w:hAnsi="Arial" w:cs="Arial"/>
          <w:sz w:val="18"/>
          <w:szCs w:val="18"/>
        </w:rPr>
      </w:pPr>
    </w:p>
    <w:tbl>
      <w:tblPr>
        <w:tblStyle w:val="Tablaconcuadrcula"/>
        <w:tblW w:w="0" w:type="auto"/>
        <w:tblInd w:w="2357" w:type="dxa"/>
        <w:tblLook w:val="04A0" w:firstRow="1" w:lastRow="0" w:firstColumn="1" w:lastColumn="0" w:noHBand="0" w:noVBand="1"/>
      </w:tblPr>
      <w:tblGrid>
        <w:gridCol w:w="1795"/>
        <w:gridCol w:w="1795"/>
        <w:gridCol w:w="1796"/>
        <w:gridCol w:w="1796"/>
        <w:gridCol w:w="1796"/>
      </w:tblGrid>
      <w:tr w:rsidR="00C013A1" w:rsidRPr="0073056A" w:rsidTr="00A54D75">
        <w:tc>
          <w:tcPr>
            <w:tcW w:w="1795" w:type="dxa"/>
            <w:vMerge w:val="restart"/>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C013A1" w:rsidRPr="0073056A" w:rsidRDefault="00C013A1" w:rsidP="000C270E">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0C270E">
              <w:rPr>
                <w:rFonts w:ascii="Arial" w:hAnsi="Arial" w:cs="Arial"/>
                <w:b/>
                <w:sz w:val="18"/>
                <w:szCs w:val="18"/>
              </w:rPr>
              <w:t>5</w:t>
            </w:r>
          </w:p>
        </w:tc>
        <w:tc>
          <w:tcPr>
            <w:tcW w:w="1796" w:type="dxa"/>
            <w:vMerge w:val="restart"/>
            <w:shd w:val="pct10" w:color="auto" w:fill="auto"/>
            <w:vAlign w:val="center"/>
          </w:tcPr>
          <w:p w:rsidR="00C013A1" w:rsidRPr="0073056A" w:rsidRDefault="00C013A1" w:rsidP="000C270E">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0C270E">
              <w:rPr>
                <w:rFonts w:ascii="Arial" w:hAnsi="Arial" w:cs="Arial"/>
                <w:b/>
                <w:sz w:val="18"/>
                <w:szCs w:val="18"/>
              </w:rPr>
              <w:t>4</w:t>
            </w:r>
          </w:p>
        </w:tc>
        <w:tc>
          <w:tcPr>
            <w:tcW w:w="3592" w:type="dxa"/>
            <w:gridSpan w:val="2"/>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C013A1" w:rsidRPr="0073056A" w:rsidTr="00A54D75">
        <w:tc>
          <w:tcPr>
            <w:tcW w:w="1795"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5"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C63CF1" w:rsidRPr="0073056A" w:rsidTr="00137E93">
        <w:tc>
          <w:tcPr>
            <w:tcW w:w="1795" w:type="dxa"/>
            <w:vAlign w:val="center"/>
          </w:tcPr>
          <w:p w:rsidR="00C63CF1" w:rsidRPr="0073056A" w:rsidRDefault="00C63CF1" w:rsidP="00A54D75">
            <w:pPr>
              <w:tabs>
                <w:tab w:val="left" w:pos="284"/>
              </w:tabs>
              <w:spacing w:line="276" w:lineRule="auto"/>
              <w:ind w:left="284"/>
              <w:jc w:val="center"/>
              <w:rPr>
                <w:rFonts w:ascii="Arial" w:hAnsi="Arial" w:cs="Arial"/>
                <w:sz w:val="18"/>
                <w:szCs w:val="18"/>
              </w:rPr>
            </w:pPr>
            <w:r w:rsidRPr="0073056A">
              <w:rPr>
                <w:rFonts w:ascii="Arial" w:hAnsi="Arial" w:cs="Arial"/>
                <w:sz w:val="18"/>
                <w:szCs w:val="18"/>
              </w:rPr>
              <w:t>Productos</w:t>
            </w:r>
          </w:p>
        </w:tc>
        <w:tc>
          <w:tcPr>
            <w:tcW w:w="1795" w:type="dxa"/>
          </w:tcPr>
          <w:p w:rsidR="00C63CF1" w:rsidRPr="00C63CF1" w:rsidRDefault="00C63CF1" w:rsidP="00A10435">
            <w:pPr>
              <w:jc w:val="right"/>
              <w:rPr>
                <w:rFonts w:ascii="Arial" w:hAnsi="Arial" w:cs="Arial"/>
                <w:sz w:val="18"/>
                <w:szCs w:val="18"/>
              </w:rPr>
            </w:pPr>
            <w:r>
              <w:rPr>
                <w:rFonts w:ascii="Arial" w:hAnsi="Arial" w:cs="Arial"/>
                <w:sz w:val="18"/>
                <w:szCs w:val="18"/>
              </w:rPr>
              <w:t xml:space="preserve">$ </w:t>
            </w:r>
            <w:r w:rsidR="00A10435">
              <w:rPr>
                <w:rFonts w:ascii="Arial" w:hAnsi="Arial" w:cs="Arial"/>
                <w:sz w:val="18"/>
                <w:szCs w:val="18"/>
              </w:rPr>
              <w:t>81</w:t>
            </w:r>
            <w:r w:rsidR="0082318A">
              <w:rPr>
                <w:rFonts w:ascii="Arial" w:hAnsi="Arial" w:cs="Arial"/>
                <w:sz w:val="18"/>
                <w:szCs w:val="18"/>
              </w:rPr>
              <w:t>,</w:t>
            </w:r>
            <w:r w:rsidR="00A10435">
              <w:rPr>
                <w:rFonts w:ascii="Arial" w:hAnsi="Arial" w:cs="Arial"/>
                <w:sz w:val="18"/>
                <w:szCs w:val="18"/>
              </w:rPr>
              <w:t>017</w:t>
            </w:r>
            <w:r w:rsidR="0082318A">
              <w:rPr>
                <w:rFonts w:ascii="Arial" w:hAnsi="Arial" w:cs="Arial"/>
                <w:sz w:val="18"/>
                <w:szCs w:val="18"/>
              </w:rPr>
              <w:t>,</w:t>
            </w:r>
            <w:r w:rsidR="00A10435">
              <w:rPr>
                <w:rFonts w:ascii="Arial" w:hAnsi="Arial" w:cs="Arial"/>
                <w:sz w:val="18"/>
                <w:szCs w:val="18"/>
              </w:rPr>
              <w:t>837</w:t>
            </w:r>
            <w:r>
              <w:rPr>
                <w:rFonts w:ascii="Arial" w:hAnsi="Arial" w:cs="Arial"/>
                <w:sz w:val="18"/>
                <w:szCs w:val="18"/>
              </w:rPr>
              <w:t xml:space="preserve"> </w:t>
            </w:r>
          </w:p>
        </w:tc>
        <w:tc>
          <w:tcPr>
            <w:tcW w:w="1796" w:type="dxa"/>
          </w:tcPr>
          <w:p w:rsidR="00C63CF1" w:rsidRPr="00C63CF1" w:rsidRDefault="00C63CF1" w:rsidP="00A10435">
            <w:pPr>
              <w:jc w:val="right"/>
              <w:rPr>
                <w:rFonts w:ascii="Arial" w:hAnsi="Arial" w:cs="Arial"/>
                <w:sz w:val="18"/>
                <w:szCs w:val="18"/>
              </w:rPr>
            </w:pPr>
            <w:r>
              <w:rPr>
                <w:rFonts w:ascii="Arial" w:hAnsi="Arial" w:cs="Arial"/>
                <w:sz w:val="18"/>
                <w:szCs w:val="18"/>
              </w:rPr>
              <w:t xml:space="preserve">$ </w:t>
            </w:r>
            <w:r w:rsidR="00E7498F">
              <w:rPr>
                <w:rFonts w:ascii="Arial" w:hAnsi="Arial" w:cs="Arial"/>
                <w:sz w:val="18"/>
                <w:szCs w:val="18"/>
              </w:rPr>
              <w:t>4</w:t>
            </w:r>
            <w:r w:rsidR="00A10435">
              <w:rPr>
                <w:rFonts w:ascii="Arial" w:hAnsi="Arial" w:cs="Arial"/>
                <w:sz w:val="18"/>
                <w:szCs w:val="18"/>
              </w:rPr>
              <w:t>9</w:t>
            </w:r>
            <w:r w:rsidR="000C270E" w:rsidRPr="000C270E">
              <w:rPr>
                <w:rFonts w:ascii="Arial" w:hAnsi="Arial" w:cs="Arial"/>
                <w:sz w:val="18"/>
                <w:szCs w:val="18"/>
              </w:rPr>
              <w:t>,</w:t>
            </w:r>
            <w:r w:rsidR="00E7498F">
              <w:rPr>
                <w:rFonts w:ascii="Arial" w:hAnsi="Arial" w:cs="Arial"/>
                <w:sz w:val="18"/>
                <w:szCs w:val="18"/>
              </w:rPr>
              <w:t>8</w:t>
            </w:r>
            <w:r w:rsidR="00A10435">
              <w:rPr>
                <w:rFonts w:ascii="Arial" w:hAnsi="Arial" w:cs="Arial"/>
                <w:sz w:val="18"/>
                <w:szCs w:val="18"/>
              </w:rPr>
              <w:t>60</w:t>
            </w:r>
            <w:r w:rsidR="000C270E" w:rsidRPr="000C270E">
              <w:rPr>
                <w:rFonts w:ascii="Arial" w:hAnsi="Arial" w:cs="Arial"/>
                <w:sz w:val="18"/>
                <w:szCs w:val="18"/>
              </w:rPr>
              <w:t>,</w:t>
            </w:r>
            <w:r w:rsidR="00A10435">
              <w:rPr>
                <w:rFonts w:ascii="Arial" w:hAnsi="Arial" w:cs="Arial"/>
                <w:sz w:val="18"/>
                <w:szCs w:val="18"/>
              </w:rPr>
              <w:t>6</w:t>
            </w:r>
            <w:r w:rsidR="000C270E" w:rsidRPr="000C270E">
              <w:rPr>
                <w:rFonts w:ascii="Arial" w:hAnsi="Arial" w:cs="Arial"/>
                <w:sz w:val="18"/>
                <w:szCs w:val="18"/>
              </w:rPr>
              <w:t>53</w:t>
            </w:r>
          </w:p>
        </w:tc>
        <w:tc>
          <w:tcPr>
            <w:tcW w:w="1796" w:type="dxa"/>
            <w:vAlign w:val="center"/>
          </w:tcPr>
          <w:p w:rsidR="00C63CF1" w:rsidRPr="00C63CF1" w:rsidRDefault="00C63CF1" w:rsidP="00E11D3D">
            <w:pPr>
              <w:tabs>
                <w:tab w:val="left" w:pos="284"/>
              </w:tabs>
              <w:spacing w:line="276" w:lineRule="auto"/>
              <w:ind w:left="284"/>
              <w:jc w:val="center"/>
              <w:rPr>
                <w:rFonts w:ascii="Arial" w:hAnsi="Arial" w:cs="Arial"/>
                <w:sz w:val="18"/>
                <w:szCs w:val="18"/>
              </w:rPr>
            </w:pPr>
            <w:r w:rsidRPr="00C63CF1">
              <w:rPr>
                <w:rFonts w:ascii="Arial" w:hAnsi="Arial" w:cs="Arial"/>
                <w:sz w:val="18"/>
                <w:szCs w:val="18"/>
              </w:rPr>
              <w:t>$</w:t>
            </w:r>
            <w:r>
              <w:rPr>
                <w:rFonts w:ascii="Arial" w:hAnsi="Arial" w:cs="Arial"/>
                <w:sz w:val="18"/>
                <w:szCs w:val="18"/>
              </w:rPr>
              <w:t xml:space="preserve"> </w:t>
            </w:r>
            <w:r w:rsidR="00E11D3D">
              <w:rPr>
                <w:rFonts w:ascii="Arial" w:hAnsi="Arial" w:cs="Arial"/>
                <w:sz w:val="18"/>
                <w:szCs w:val="18"/>
              </w:rPr>
              <w:t>31</w:t>
            </w:r>
            <w:r w:rsidR="0082318A">
              <w:rPr>
                <w:rFonts w:ascii="Arial" w:hAnsi="Arial" w:cs="Arial"/>
                <w:sz w:val="18"/>
                <w:szCs w:val="18"/>
              </w:rPr>
              <w:t>,</w:t>
            </w:r>
            <w:r w:rsidR="00E11D3D">
              <w:rPr>
                <w:rFonts w:ascii="Arial" w:hAnsi="Arial" w:cs="Arial"/>
                <w:sz w:val="18"/>
                <w:szCs w:val="18"/>
              </w:rPr>
              <w:t>157</w:t>
            </w:r>
            <w:r w:rsidR="0082318A">
              <w:rPr>
                <w:rFonts w:ascii="Arial" w:hAnsi="Arial" w:cs="Arial"/>
                <w:sz w:val="18"/>
                <w:szCs w:val="18"/>
              </w:rPr>
              <w:t>,</w:t>
            </w:r>
            <w:r w:rsidR="00E11D3D">
              <w:rPr>
                <w:rFonts w:ascii="Arial" w:hAnsi="Arial" w:cs="Arial"/>
                <w:sz w:val="18"/>
                <w:szCs w:val="18"/>
              </w:rPr>
              <w:t>184</w:t>
            </w:r>
          </w:p>
        </w:tc>
        <w:tc>
          <w:tcPr>
            <w:tcW w:w="1796" w:type="dxa"/>
            <w:vAlign w:val="center"/>
          </w:tcPr>
          <w:p w:rsidR="00C63CF1" w:rsidRPr="0073056A" w:rsidRDefault="00E7498F" w:rsidP="00E7498F">
            <w:pPr>
              <w:tabs>
                <w:tab w:val="left" w:pos="284"/>
              </w:tabs>
              <w:spacing w:line="276" w:lineRule="auto"/>
              <w:jc w:val="center"/>
              <w:rPr>
                <w:rFonts w:ascii="Arial" w:hAnsi="Arial" w:cs="Arial"/>
                <w:sz w:val="18"/>
                <w:szCs w:val="18"/>
              </w:rPr>
            </w:pPr>
            <w:r>
              <w:rPr>
                <w:rFonts w:ascii="Arial" w:hAnsi="Arial" w:cs="Arial"/>
                <w:sz w:val="18"/>
                <w:szCs w:val="18"/>
              </w:rPr>
              <w:t>6</w:t>
            </w:r>
            <w:r w:rsidR="00E11D3D">
              <w:rPr>
                <w:rFonts w:ascii="Arial" w:hAnsi="Arial" w:cs="Arial"/>
                <w:sz w:val="18"/>
                <w:szCs w:val="18"/>
              </w:rPr>
              <w:t>2.48</w:t>
            </w:r>
            <w:r w:rsidR="00C63CF1">
              <w:rPr>
                <w:rFonts w:ascii="Arial" w:hAnsi="Arial" w:cs="Arial"/>
                <w:sz w:val="18"/>
                <w:szCs w:val="18"/>
              </w:rPr>
              <w:t>%</w:t>
            </w:r>
          </w:p>
        </w:tc>
      </w:tr>
    </w:tbl>
    <w:p w:rsidR="00C013A1" w:rsidRDefault="00C013A1" w:rsidP="00A54D75">
      <w:pPr>
        <w:tabs>
          <w:tab w:val="left" w:pos="284"/>
        </w:tabs>
        <w:spacing w:after="0"/>
        <w:ind w:left="284"/>
        <w:jc w:val="both"/>
        <w:rPr>
          <w:rFonts w:ascii="Arial" w:hAnsi="Arial" w:cs="Arial"/>
          <w:sz w:val="18"/>
          <w:szCs w:val="18"/>
        </w:rPr>
      </w:pPr>
    </w:p>
    <w:p w:rsidR="00CC53E2" w:rsidRPr="0073056A" w:rsidRDefault="00CC53E2" w:rsidP="00A54D75">
      <w:pPr>
        <w:tabs>
          <w:tab w:val="left" w:pos="284"/>
        </w:tabs>
        <w:spacing w:after="0"/>
        <w:ind w:left="284"/>
        <w:jc w:val="both"/>
        <w:rPr>
          <w:rFonts w:ascii="Arial" w:hAnsi="Arial" w:cs="Arial"/>
          <w:sz w:val="18"/>
          <w:szCs w:val="18"/>
        </w:rPr>
      </w:pPr>
      <w:r>
        <w:rPr>
          <w:rFonts w:ascii="Arial" w:hAnsi="Arial" w:cs="Arial"/>
          <w:sz w:val="18"/>
          <w:szCs w:val="18"/>
        </w:rPr>
        <w:t>En este rubro, por lo que corresponde en materia de bienes muebles e inmuebles se observa un incremento marginal derivado de la venta de activos fijos obsoletos. Los arrendamientos de bienes inmuebles del Poder Ejecutivo observan un ligero incremento, como consecuencia del ajuste en sus tarifas.</w:t>
      </w:r>
      <w:r w:rsidR="000166E2">
        <w:rPr>
          <w:rFonts w:ascii="Arial" w:hAnsi="Arial" w:cs="Arial"/>
          <w:sz w:val="18"/>
          <w:szCs w:val="18"/>
        </w:rPr>
        <w:t xml:space="preserve"> El ajuste en las tasas de interés ha reflejado un incremento en los intereses y rendimientos. La suscripción y venta de publicaciones oficiales ha reflejado un incremento derivado del ajuste al salario mínimo y de una mayor demanda por parte de la población. La venta de formas oficiales se ha visto disminuida derivada de una menor demanda en los actos del  registro del estado civil de las personas.</w:t>
      </w:r>
    </w:p>
    <w:p w:rsidR="00C013A1" w:rsidRPr="0073056A" w:rsidRDefault="00C013A1"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t>Aprovechamientos</w:t>
      </w:r>
    </w:p>
    <w:p w:rsidR="00C013A1" w:rsidRDefault="00C013A1" w:rsidP="00A54D75">
      <w:pPr>
        <w:tabs>
          <w:tab w:val="left" w:pos="284"/>
        </w:tabs>
        <w:spacing w:after="0"/>
        <w:ind w:left="284"/>
        <w:jc w:val="both"/>
        <w:rPr>
          <w:rFonts w:ascii="Arial" w:hAnsi="Arial" w:cs="Arial"/>
          <w:sz w:val="18"/>
          <w:szCs w:val="18"/>
        </w:rPr>
      </w:pPr>
      <w:r w:rsidRPr="0073056A">
        <w:rPr>
          <w:rFonts w:ascii="Arial" w:hAnsi="Arial" w:cs="Arial"/>
          <w:sz w:val="18"/>
          <w:szCs w:val="18"/>
        </w:rPr>
        <w:t>En el ejercicio 201</w:t>
      </w:r>
      <w:r w:rsidR="000C270E">
        <w:rPr>
          <w:rFonts w:ascii="Arial" w:hAnsi="Arial" w:cs="Arial"/>
          <w:sz w:val="18"/>
          <w:szCs w:val="18"/>
        </w:rPr>
        <w:t>5</w:t>
      </w:r>
      <w:r w:rsidRPr="0073056A">
        <w:rPr>
          <w:rFonts w:ascii="Arial" w:hAnsi="Arial" w:cs="Arial"/>
          <w:sz w:val="18"/>
          <w:szCs w:val="18"/>
        </w:rPr>
        <w:t>, el Estado obtuvo ingresos por concepto de Aprovechamientos por un monto de $</w:t>
      </w:r>
      <w:r w:rsidR="00C63CF1">
        <w:rPr>
          <w:rFonts w:ascii="Arial" w:hAnsi="Arial" w:cs="Arial"/>
          <w:sz w:val="18"/>
          <w:szCs w:val="18"/>
        </w:rPr>
        <w:t xml:space="preserve"> </w:t>
      </w:r>
      <w:r w:rsidR="00E11D3D">
        <w:rPr>
          <w:rFonts w:ascii="Arial" w:hAnsi="Arial" w:cs="Arial"/>
          <w:sz w:val="18"/>
          <w:szCs w:val="18"/>
        </w:rPr>
        <w:t>219,242</w:t>
      </w:r>
      <w:r w:rsidRPr="0073056A">
        <w:rPr>
          <w:rFonts w:ascii="Arial" w:hAnsi="Arial" w:cs="Arial"/>
          <w:sz w:val="18"/>
          <w:szCs w:val="18"/>
        </w:rPr>
        <w:t>, constituido por actualizaciones de contribuciones, recargos</w:t>
      </w:r>
      <w:r w:rsidR="005C71E7">
        <w:rPr>
          <w:rFonts w:ascii="Arial" w:hAnsi="Arial" w:cs="Arial"/>
          <w:sz w:val="18"/>
          <w:szCs w:val="18"/>
        </w:rPr>
        <w:t>,</w:t>
      </w:r>
      <w:r w:rsidRPr="0073056A">
        <w:rPr>
          <w:rFonts w:ascii="Arial" w:hAnsi="Arial" w:cs="Arial"/>
          <w:sz w:val="18"/>
          <w:szCs w:val="18"/>
        </w:rPr>
        <w:t xml:space="preserve"> multas</w:t>
      </w:r>
      <w:r w:rsidR="005C71E7">
        <w:rPr>
          <w:rFonts w:ascii="Arial" w:hAnsi="Arial" w:cs="Arial"/>
          <w:sz w:val="18"/>
          <w:szCs w:val="18"/>
        </w:rPr>
        <w:t>, gastos de ejecución y honorarios por notificación</w:t>
      </w:r>
      <w:r w:rsidRPr="0073056A">
        <w:rPr>
          <w:rFonts w:ascii="Arial" w:hAnsi="Arial" w:cs="Arial"/>
          <w:sz w:val="18"/>
          <w:szCs w:val="18"/>
        </w:rPr>
        <w:t>. La variación observada respecto del ejercicio 201</w:t>
      </w:r>
      <w:r w:rsidR="000C270E">
        <w:rPr>
          <w:rFonts w:ascii="Arial" w:hAnsi="Arial" w:cs="Arial"/>
          <w:sz w:val="18"/>
          <w:szCs w:val="18"/>
        </w:rPr>
        <w:t>4</w:t>
      </w:r>
      <w:r w:rsidRPr="0073056A">
        <w:rPr>
          <w:rFonts w:ascii="Arial" w:hAnsi="Arial" w:cs="Arial"/>
          <w:sz w:val="18"/>
          <w:szCs w:val="18"/>
        </w:rPr>
        <w:t>, se debe principalmente a ingresos por accesorios de las contribuciones.</w:t>
      </w:r>
    </w:p>
    <w:p w:rsidR="00A54D75" w:rsidRPr="0073056A" w:rsidRDefault="00A54D75" w:rsidP="00A54D75">
      <w:pPr>
        <w:tabs>
          <w:tab w:val="left" w:pos="284"/>
        </w:tabs>
        <w:spacing w:after="0"/>
        <w:ind w:left="284"/>
        <w:jc w:val="both"/>
        <w:rPr>
          <w:rFonts w:ascii="Arial" w:hAnsi="Arial" w:cs="Arial"/>
          <w:sz w:val="18"/>
          <w:szCs w:val="18"/>
        </w:rPr>
      </w:pPr>
    </w:p>
    <w:tbl>
      <w:tblPr>
        <w:tblStyle w:val="Tablaconcuadrcula"/>
        <w:tblW w:w="0" w:type="auto"/>
        <w:tblInd w:w="2262" w:type="dxa"/>
        <w:tblLook w:val="04A0" w:firstRow="1" w:lastRow="0" w:firstColumn="1" w:lastColumn="0" w:noHBand="0" w:noVBand="1"/>
      </w:tblPr>
      <w:tblGrid>
        <w:gridCol w:w="1991"/>
        <w:gridCol w:w="1795"/>
        <w:gridCol w:w="1796"/>
        <w:gridCol w:w="1796"/>
        <w:gridCol w:w="1796"/>
      </w:tblGrid>
      <w:tr w:rsidR="00C013A1" w:rsidRPr="0073056A" w:rsidTr="00A54D75">
        <w:tc>
          <w:tcPr>
            <w:tcW w:w="1991" w:type="dxa"/>
            <w:vMerge w:val="restart"/>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C013A1" w:rsidRPr="0073056A" w:rsidRDefault="005C71E7" w:rsidP="00A54D75">
            <w:pPr>
              <w:tabs>
                <w:tab w:val="left" w:pos="284"/>
              </w:tabs>
              <w:spacing w:line="276" w:lineRule="auto"/>
              <w:ind w:left="284"/>
              <w:jc w:val="center"/>
              <w:rPr>
                <w:rFonts w:ascii="Arial" w:hAnsi="Arial" w:cs="Arial"/>
                <w:b/>
                <w:sz w:val="18"/>
                <w:szCs w:val="18"/>
              </w:rPr>
            </w:pPr>
            <w:r>
              <w:rPr>
                <w:rFonts w:ascii="Arial" w:hAnsi="Arial" w:cs="Arial"/>
                <w:b/>
                <w:sz w:val="18"/>
                <w:szCs w:val="18"/>
              </w:rPr>
              <w:t>2015</w:t>
            </w:r>
          </w:p>
        </w:tc>
        <w:tc>
          <w:tcPr>
            <w:tcW w:w="1796" w:type="dxa"/>
            <w:vMerge w:val="restart"/>
            <w:shd w:val="pct10" w:color="auto" w:fill="auto"/>
            <w:vAlign w:val="center"/>
          </w:tcPr>
          <w:p w:rsidR="00C013A1" w:rsidRPr="0073056A" w:rsidRDefault="000C270E" w:rsidP="00A54D75">
            <w:pPr>
              <w:tabs>
                <w:tab w:val="left" w:pos="284"/>
              </w:tabs>
              <w:spacing w:line="276" w:lineRule="auto"/>
              <w:ind w:left="284"/>
              <w:jc w:val="center"/>
              <w:rPr>
                <w:rFonts w:ascii="Arial" w:hAnsi="Arial" w:cs="Arial"/>
                <w:b/>
                <w:sz w:val="18"/>
                <w:szCs w:val="18"/>
              </w:rPr>
            </w:pPr>
            <w:r>
              <w:rPr>
                <w:rFonts w:ascii="Arial" w:hAnsi="Arial" w:cs="Arial"/>
                <w:b/>
                <w:sz w:val="18"/>
                <w:szCs w:val="18"/>
              </w:rPr>
              <w:t>2014</w:t>
            </w:r>
          </w:p>
        </w:tc>
        <w:tc>
          <w:tcPr>
            <w:tcW w:w="3592" w:type="dxa"/>
            <w:gridSpan w:val="2"/>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C013A1" w:rsidRPr="0073056A" w:rsidTr="00A54D75">
        <w:tc>
          <w:tcPr>
            <w:tcW w:w="1991"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5"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C63CF1" w:rsidRPr="0073056A" w:rsidTr="00137E93">
        <w:tc>
          <w:tcPr>
            <w:tcW w:w="1991" w:type="dxa"/>
            <w:vAlign w:val="center"/>
          </w:tcPr>
          <w:p w:rsidR="00C63CF1" w:rsidRPr="0073056A" w:rsidRDefault="00C63CF1" w:rsidP="00A54D75">
            <w:pPr>
              <w:tabs>
                <w:tab w:val="left" w:pos="284"/>
              </w:tabs>
              <w:spacing w:line="276" w:lineRule="auto"/>
              <w:ind w:left="284"/>
              <w:jc w:val="center"/>
              <w:rPr>
                <w:rFonts w:ascii="Arial" w:hAnsi="Arial" w:cs="Arial"/>
                <w:sz w:val="18"/>
                <w:szCs w:val="18"/>
              </w:rPr>
            </w:pPr>
            <w:r w:rsidRPr="0073056A">
              <w:rPr>
                <w:rFonts w:ascii="Arial" w:hAnsi="Arial" w:cs="Arial"/>
                <w:sz w:val="18"/>
                <w:szCs w:val="18"/>
              </w:rPr>
              <w:t>Aprovechamientos</w:t>
            </w:r>
          </w:p>
        </w:tc>
        <w:tc>
          <w:tcPr>
            <w:tcW w:w="1795" w:type="dxa"/>
          </w:tcPr>
          <w:p w:rsidR="00C63CF1" w:rsidRPr="00C63CF1" w:rsidRDefault="000C270E" w:rsidP="00E11D3D">
            <w:pPr>
              <w:jc w:val="center"/>
              <w:rPr>
                <w:rFonts w:ascii="Arial" w:hAnsi="Arial" w:cs="Arial"/>
                <w:sz w:val="18"/>
                <w:szCs w:val="18"/>
              </w:rPr>
            </w:pPr>
            <w:r>
              <w:rPr>
                <w:rFonts w:ascii="Arial" w:hAnsi="Arial" w:cs="Arial"/>
                <w:sz w:val="18"/>
                <w:szCs w:val="18"/>
              </w:rPr>
              <w:t>$</w:t>
            </w:r>
            <w:r w:rsidR="00E7498F">
              <w:rPr>
                <w:rFonts w:ascii="Arial" w:hAnsi="Arial" w:cs="Arial"/>
                <w:sz w:val="18"/>
                <w:szCs w:val="18"/>
              </w:rPr>
              <w:t xml:space="preserve"> </w:t>
            </w:r>
            <w:r w:rsidR="00E11D3D">
              <w:rPr>
                <w:rFonts w:ascii="Arial" w:hAnsi="Arial" w:cs="Arial"/>
                <w:sz w:val="18"/>
                <w:szCs w:val="18"/>
              </w:rPr>
              <w:t>219</w:t>
            </w:r>
            <w:r w:rsidR="00E7498F">
              <w:rPr>
                <w:rFonts w:ascii="Arial" w:hAnsi="Arial" w:cs="Arial"/>
                <w:sz w:val="18"/>
                <w:szCs w:val="18"/>
              </w:rPr>
              <w:t>,</w:t>
            </w:r>
            <w:r w:rsidR="00E11D3D">
              <w:rPr>
                <w:rFonts w:ascii="Arial" w:hAnsi="Arial" w:cs="Arial"/>
                <w:sz w:val="18"/>
                <w:szCs w:val="18"/>
              </w:rPr>
              <w:t>242</w:t>
            </w:r>
          </w:p>
        </w:tc>
        <w:tc>
          <w:tcPr>
            <w:tcW w:w="1796" w:type="dxa"/>
          </w:tcPr>
          <w:p w:rsidR="00C63CF1" w:rsidRPr="00C63CF1" w:rsidRDefault="000C270E">
            <w:pPr>
              <w:jc w:val="right"/>
              <w:rPr>
                <w:rFonts w:ascii="Arial" w:hAnsi="Arial" w:cs="Arial"/>
                <w:sz w:val="18"/>
                <w:szCs w:val="18"/>
              </w:rPr>
            </w:pPr>
            <w:r>
              <w:rPr>
                <w:rFonts w:ascii="Arial" w:hAnsi="Arial" w:cs="Arial"/>
                <w:sz w:val="18"/>
                <w:szCs w:val="18"/>
              </w:rPr>
              <w:t xml:space="preserve">$ </w:t>
            </w:r>
            <w:r w:rsidRPr="00C63CF1">
              <w:rPr>
                <w:rFonts w:ascii="Arial" w:hAnsi="Arial" w:cs="Arial"/>
                <w:sz w:val="18"/>
                <w:szCs w:val="18"/>
              </w:rPr>
              <w:t>1,476,676</w:t>
            </w:r>
          </w:p>
        </w:tc>
        <w:tc>
          <w:tcPr>
            <w:tcW w:w="1796" w:type="dxa"/>
            <w:vAlign w:val="center"/>
          </w:tcPr>
          <w:p w:rsidR="00C63CF1" w:rsidRPr="00C63CF1" w:rsidRDefault="000C270E" w:rsidP="00E11D3D">
            <w:pPr>
              <w:jc w:val="right"/>
              <w:rPr>
                <w:rFonts w:ascii="Courier New" w:hAnsi="Courier New" w:cs="Courier New"/>
                <w:sz w:val="18"/>
                <w:szCs w:val="18"/>
              </w:rPr>
            </w:pPr>
            <w:r>
              <w:rPr>
                <w:rFonts w:ascii="Arial" w:hAnsi="Arial" w:cs="Arial"/>
                <w:sz w:val="18"/>
                <w:szCs w:val="18"/>
              </w:rPr>
              <w:t xml:space="preserve">$ </w:t>
            </w:r>
            <w:r w:rsidR="00E11D3D">
              <w:rPr>
                <w:rFonts w:ascii="Arial" w:hAnsi="Arial" w:cs="Arial"/>
                <w:sz w:val="18"/>
                <w:szCs w:val="18"/>
              </w:rPr>
              <w:t>-1,257,434</w:t>
            </w:r>
          </w:p>
        </w:tc>
        <w:tc>
          <w:tcPr>
            <w:tcW w:w="1796" w:type="dxa"/>
            <w:vAlign w:val="center"/>
          </w:tcPr>
          <w:p w:rsidR="00C63CF1" w:rsidRPr="0073056A" w:rsidRDefault="005C71E7" w:rsidP="00E11D3D">
            <w:pPr>
              <w:tabs>
                <w:tab w:val="left" w:pos="284"/>
              </w:tabs>
              <w:spacing w:line="276" w:lineRule="auto"/>
              <w:ind w:left="284"/>
              <w:jc w:val="center"/>
              <w:rPr>
                <w:rFonts w:ascii="Arial" w:hAnsi="Arial" w:cs="Arial"/>
                <w:sz w:val="18"/>
                <w:szCs w:val="18"/>
              </w:rPr>
            </w:pPr>
            <w:r>
              <w:rPr>
                <w:rFonts w:ascii="Arial" w:hAnsi="Arial" w:cs="Arial"/>
                <w:sz w:val="18"/>
                <w:szCs w:val="18"/>
              </w:rPr>
              <w:t>8</w:t>
            </w:r>
            <w:r w:rsidR="00E11D3D">
              <w:rPr>
                <w:rFonts w:ascii="Arial" w:hAnsi="Arial" w:cs="Arial"/>
                <w:sz w:val="18"/>
                <w:szCs w:val="18"/>
              </w:rPr>
              <w:t>5</w:t>
            </w:r>
            <w:r>
              <w:rPr>
                <w:rFonts w:ascii="Arial" w:hAnsi="Arial" w:cs="Arial"/>
                <w:sz w:val="18"/>
                <w:szCs w:val="18"/>
              </w:rPr>
              <w:t>.</w:t>
            </w:r>
            <w:r w:rsidR="00E11D3D">
              <w:rPr>
                <w:rFonts w:ascii="Arial" w:hAnsi="Arial" w:cs="Arial"/>
                <w:sz w:val="18"/>
                <w:szCs w:val="18"/>
              </w:rPr>
              <w:t>1</w:t>
            </w:r>
            <w:r w:rsidR="00C63CF1">
              <w:rPr>
                <w:rFonts w:ascii="Arial" w:hAnsi="Arial" w:cs="Arial"/>
                <w:sz w:val="18"/>
                <w:szCs w:val="18"/>
              </w:rPr>
              <w:t>%</w:t>
            </w:r>
          </w:p>
        </w:tc>
      </w:tr>
    </w:tbl>
    <w:p w:rsidR="00C013A1" w:rsidRPr="0073056A" w:rsidRDefault="00C013A1"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 Federales</w:t>
      </w:r>
    </w:p>
    <w:p w:rsidR="00C013A1" w:rsidRDefault="00C013A1" w:rsidP="00A54D75">
      <w:pPr>
        <w:tabs>
          <w:tab w:val="left" w:pos="284"/>
        </w:tabs>
        <w:spacing w:after="0"/>
        <w:ind w:left="284"/>
        <w:jc w:val="both"/>
        <w:rPr>
          <w:rFonts w:ascii="Arial" w:hAnsi="Arial" w:cs="Arial"/>
          <w:sz w:val="18"/>
          <w:szCs w:val="18"/>
        </w:rPr>
      </w:pPr>
      <w:r w:rsidRPr="0073056A">
        <w:rPr>
          <w:rFonts w:ascii="Arial" w:hAnsi="Arial" w:cs="Arial"/>
          <w:sz w:val="18"/>
          <w:szCs w:val="18"/>
        </w:rPr>
        <w:t>Las Participaciones Federales son los recursos asignados a las Entidades Federativas en los términos establecidos en la Ley de Coordinación Fiscal, en el Convenio de Colaboración Administrativa en Materia Fiscal Federal y en el Convenio de Adhesión al Sistema Nacional de Coordinación Fiscal, con un monto de $</w:t>
      </w:r>
      <w:r w:rsidR="000C270E">
        <w:rPr>
          <w:rFonts w:ascii="Arial" w:hAnsi="Arial" w:cs="Arial"/>
          <w:sz w:val="18"/>
          <w:szCs w:val="18"/>
        </w:rPr>
        <w:t xml:space="preserve"> </w:t>
      </w:r>
      <w:r w:rsidR="005C71E7">
        <w:rPr>
          <w:rFonts w:ascii="Arial" w:hAnsi="Arial" w:cs="Arial"/>
          <w:sz w:val="18"/>
          <w:szCs w:val="18"/>
        </w:rPr>
        <w:t>6</w:t>
      </w:r>
      <w:proofErr w:type="gramStart"/>
      <w:r w:rsidR="005C71E7">
        <w:rPr>
          <w:rFonts w:ascii="Arial" w:hAnsi="Arial" w:cs="Arial"/>
          <w:sz w:val="18"/>
          <w:szCs w:val="18"/>
        </w:rPr>
        <w:t>,</w:t>
      </w:r>
      <w:r w:rsidR="00E7498F">
        <w:rPr>
          <w:rFonts w:ascii="Arial" w:hAnsi="Arial" w:cs="Arial"/>
          <w:sz w:val="18"/>
          <w:szCs w:val="18"/>
        </w:rPr>
        <w:t>322</w:t>
      </w:r>
      <w:r w:rsidR="005C71E7">
        <w:rPr>
          <w:rFonts w:ascii="Arial" w:hAnsi="Arial" w:cs="Arial"/>
          <w:sz w:val="18"/>
          <w:szCs w:val="18"/>
        </w:rPr>
        <w:t>,</w:t>
      </w:r>
      <w:r w:rsidR="00E7498F">
        <w:rPr>
          <w:rFonts w:ascii="Arial" w:hAnsi="Arial" w:cs="Arial"/>
          <w:sz w:val="18"/>
          <w:szCs w:val="18"/>
        </w:rPr>
        <w:t>671</w:t>
      </w:r>
      <w:r w:rsidR="005C71E7">
        <w:rPr>
          <w:rFonts w:ascii="Arial" w:hAnsi="Arial" w:cs="Arial"/>
          <w:sz w:val="18"/>
          <w:szCs w:val="18"/>
        </w:rPr>
        <w:t>,</w:t>
      </w:r>
      <w:r w:rsidR="00E7498F">
        <w:rPr>
          <w:rFonts w:ascii="Arial" w:hAnsi="Arial" w:cs="Arial"/>
          <w:sz w:val="18"/>
          <w:szCs w:val="18"/>
        </w:rPr>
        <w:t>808</w:t>
      </w:r>
      <w:proofErr w:type="gramEnd"/>
      <w:r w:rsidR="005C71E7">
        <w:rPr>
          <w:rFonts w:ascii="Arial" w:hAnsi="Arial" w:cs="Arial"/>
          <w:sz w:val="18"/>
          <w:szCs w:val="18"/>
        </w:rPr>
        <w:t xml:space="preserve"> </w:t>
      </w:r>
      <w:r w:rsidRPr="0073056A">
        <w:rPr>
          <w:rFonts w:ascii="Arial" w:hAnsi="Arial" w:cs="Arial"/>
          <w:sz w:val="18"/>
          <w:szCs w:val="18"/>
        </w:rPr>
        <w:t>en el ejercicio 201</w:t>
      </w:r>
      <w:r w:rsidR="000C270E">
        <w:rPr>
          <w:rFonts w:ascii="Arial" w:hAnsi="Arial" w:cs="Arial"/>
          <w:sz w:val="18"/>
          <w:szCs w:val="18"/>
        </w:rPr>
        <w:t>5</w:t>
      </w:r>
      <w:r w:rsidRPr="0073056A">
        <w:rPr>
          <w:rFonts w:ascii="Arial" w:hAnsi="Arial" w:cs="Arial"/>
          <w:sz w:val="18"/>
          <w:szCs w:val="18"/>
        </w:rPr>
        <w:t xml:space="preserve">, presentando un incremento del </w:t>
      </w:r>
      <w:r w:rsidR="005C71E7">
        <w:rPr>
          <w:rFonts w:ascii="Arial" w:hAnsi="Arial" w:cs="Arial"/>
          <w:sz w:val="18"/>
          <w:szCs w:val="18"/>
        </w:rPr>
        <w:t>4.</w:t>
      </w:r>
      <w:r w:rsidR="00E7498F">
        <w:rPr>
          <w:rFonts w:ascii="Arial" w:hAnsi="Arial" w:cs="Arial"/>
          <w:sz w:val="18"/>
          <w:szCs w:val="18"/>
        </w:rPr>
        <w:t>8</w:t>
      </w:r>
      <w:r w:rsidRPr="0073056A">
        <w:rPr>
          <w:rFonts w:ascii="Arial" w:hAnsi="Arial" w:cs="Arial"/>
          <w:sz w:val="18"/>
          <w:szCs w:val="18"/>
        </w:rPr>
        <w:t>%, respecto del ejercicio 201</w:t>
      </w:r>
      <w:r w:rsidR="000C270E">
        <w:rPr>
          <w:rFonts w:ascii="Arial" w:hAnsi="Arial" w:cs="Arial"/>
          <w:sz w:val="18"/>
          <w:szCs w:val="18"/>
        </w:rPr>
        <w:t>4</w:t>
      </w:r>
      <w:r w:rsidRPr="0073056A">
        <w:rPr>
          <w:rFonts w:ascii="Arial" w:hAnsi="Arial" w:cs="Arial"/>
          <w:sz w:val="18"/>
          <w:szCs w:val="18"/>
        </w:rPr>
        <w:t>.</w:t>
      </w:r>
    </w:p>
    <w:p w:rsidR="00A54D75" w:rsidRPr="0073056A" w:rsidRDefault="00A54D75" w:rsidP="00A54D75">
      <w:pPr>
        <w:tabs>
          <w:tab w:val="left" w:pos="284"/>
        </w:tabs>
        <w:spacing w:after="0"/>
        <w:ind w:left="284"/>
        <w:jc w:val="both"/>
        <w:rPr>
          <w:rFonts w:ascii="Arial" w:hAnsi="Arial" w:cs="Arial"/>
          <w:sz w:val="18"/>
          <w:szCs w:val="18"/>
        </w:rPr>
      </w:pPr>
    </w:p>
    <w:tbl>
      <w:tblPr>
        <w:tblStyle w:val="Tablaconcuadrcula"/>
        <w:tblW w:w="0" w:type="auto"/>
        <w:tblInd w:w="2357" w:type="dxa"/>
        <w:tblLook w:val="04A0" w:firstRow="1" w:lastRow="0" w:firstColumn="1" w:lastColumn="0" w:noHBand="0" w:noVBand="1"/>
      </w:tblPr>
      <w:tblGrid>
        <w:gridCol w:w="1795"/>
        <w:gridCol w:w="1795"/>
        <w:gridCol w:w="1796"/>
        <w:gridCol w:w="1796"/>
        <w:gridCol w:w="1796"/>
      </w:tblGrid>
      <w:tr w:rsidR="00C013A1" w:rsidRPr="0073056A" w:rsidTr="00A54D75">
        <w:tc>
          <w:tcPr>
            <w:tcW w:w="1795" w:type="dxa"/>
            <w:vMerge w:val="restart"/>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C013A1" w:rsidRPr="0073056A" w:rsidRDefault="000C270E" w:rsidP="00A54D75">
            <w:pPr>
              <w:tabs>
                <w:tab w:val="left" w:pos="284"/>
              </w:tabs>
              <w:spacing w:line="276" w:lineRule="auto"/>
              <w:ind w:left="284"/>
              <w:jc w:val="center"/>
              <w:rPr>
                <w:rFonts w:ascii="Arial" w:hAnsi="Arial" w:cs="Arial"/>
                <w:b/>
                <w:sz w:val="18"/>
                <w:szCs w:val="18"/>
              </w:rPr>
            </w:pPr>
            <w:r>
              <w:rPr>
                <w:rFonts w:ascii="Arial" w:hAnsi="Arial" w:cs="Arial"/>
                <w:b/>
                <w:sz w:val="18"/>
                <w:szCs w:val="18"/>
              </w:rPr>
              <w:t>2015</w:t>
            </w:r>
          </w:p>
        </w:tc>
        <w:tc>
          <w:tcPr>
            <w:tcW w:w="1796" w:type="dxa"/>
            <w:vMerge w:val="restart"/>
            <w:shd w:val="pct10" w:color="auto" w:fill="auto"/>
            <w:vAlign w:val="center"/>
          </w:tcPr>
          <w:p w:rsidR="00C013A1" w:rsidRPr="0073056A" w:rsidRDefault="00C013A1" w:rsidP="000C270E">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0C270E">
              <w:rPr>
                <w:rFonts w:ascii="Arial" w:hAnsi="Arial" w:cs="Arial"/>
                <w:b/>
                <w:sz w:val="18"/>
                <w:szCs w:val="18"/>
              </w:rPr>
              <w:t>4</w:t>
            </w:r>
          </w:p>
        </w:tc>
        <w:tc>
          <w:tcPr>
            <w:tcW w:w="3592" w:type="dxa"/>
            <w:gridSpan w:val="2"/>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C013A1" w:rsidRPr="0073056A" w:rsidTr="00A54D75">
        <w:tc>
          <w:tcPr>
            <w:tcW w:w="1795"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5"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C63CF1" w:rsidRPr="0073056A" w:rsidTr="00C63CF1">
        <w:tc>
          <w:tcPr>
            <w:tcW w:w="1795" w:type="dxa"/>
            <w:vAlign w:val="center"/>
          </w:tcPr>
          <w:p w:rsidR="00C63CF1" w:rsidRPr="0073056A" w:rsidRDefault="00C63CF1" w:rsidP="00A54D75">
            <w:pPr>
              <w:tabs>
                <w:tab w:val="left" w:pos="284"/>
              </w:tabs>
              <w:spacing w:line="276" w:lineRule="auto"/>
              <w:ind w:left="284"/>
              <w:jc w:val="center"/>
              <w:rPr>
                <w:rFonts w:ascii="Arial" w:hAnsi="Arial" w:cs="Arial"/>
                <w:sz w:val="18"/>
                <w:szCs w:val="18"/>
              </w:rPr>
            </w:pPr>
            <w:r w:rsidRPr="0073056A">
              <w:rPr>
                <w:rFonts w:ascii="Arial" w:hAnsi="Arial" w:cs="Arial"/>
                <w:sz w:val="18"/>
                <w:szCs w:val="18"/>
              </w:rPr>
              <w:t>Participaciones Federales</w:t>
            </w:r>
          </w:p>
        </w:tc>
        <w:tc>
          <w:tcPr>
            <w:tcW w:w="1795" w:type="dxa"/>
            <w:vAlign w:val="center"/>
          </w:tcPr>
          <w:p w:rsidR="00C63CF1" w:rsidRPr="00C63CF1" w:rsidRDefault="00C63CF1" w:rsidP="00E7498F">
            <w:pPr>
              <w:jc w:val="right"/>
              <w:rPr>
                <w:rFonts w:ascii="Arial" w:hAnsi="Arial" w:cs="Arial"/>
                <w:sz w:val="18"/>
                <w:szCs w:val="18"/>
              </w:rPr>
            </w:pPr>
            <w:r>
              <w:rPr>
                <w:rFonts w:ascii="Arial" w:hAnsi="Arial" w:cs="Arial"/>
                <w:sz w:val="18"/>
                <w:szCs w:val="18"/>
              </w:rPr>
              <w:t xml:space="preserve">$  </w:t>
            </w:r>
            <w:r w:rsidR="005C71E7">
              <w:rPr>
                <w:rFonts w:ascii="Arial" w:hAnsi="Arial" w:cs="Arial"/>
                <w:sz w:val="18"/>
                <w:szCs w:val="18"/>
              </w:rPr>
              <w:t>6,</w:t>
            </w:r>
            <w:r w:rsidR="00E7498F">
              <w:rPr>
                <w:rFonts w:ascii="Arial" w:hAnsi="Arial" w:cs="Arial"/>
                <w:sz w:val="18"/>
                <w:szCs w:val="18"/>
              </w:rPr>
              <w:t>322</w:t>
            </w:r>
            <w:r w:rsidR="005C71E7">
              <w:rPr>
                <w:rFonts w:ascii="Arial" w:hAnsi="Arial" w:cs="Arial"/>
                <w:sz w:val="18"/>
                <w:szCs w:val="18"/>
              </w:rPr>
              <w:t>,</w:t>
            </w:r>
            <w:r w:rsidR="00E7498F">
              <w:rPr>
                <w:rFonts w:ascii="Arial" w:hAnsi="Arial" w:cs="Arial"/>
                <w:sz w:val="18"/>
                <w:szCs w:val="18"/>
              </w:rPr>
              <w:t>671</w:t>
            </w:r>
            <w:r w:rsidR="005C71E7">
              <w:rPr>
                <w:rFonts w:ascii="Arial" w:hAnsi="Arial" w:cs="Arial"/>
                <w:sz w:val="18"/>
                <w:szCs w:val="18"/>
              </w:rPr>
              <w:t>,</w:t>
            </w:r>
            <w:r w:rsidR="00E7498F">
              <w:rPr>
                <w:rFonts w:ascii="Arial" w:hAnsi="Arial" w:cs="Arial"/>
                <w:sz w:val="18"/>
                <w:szCs w:val="18"/>
              </w:rPr>
              <w:t>808</w:t>
            </w:r>
          </w:p>
        </w:tc>
        <w:tc>
          <w:tcPr>
            <w:tcW w:w="1796" w:type="dxa"/>
            <w:vAlign w:val="center"/>
          </w:tcPr>
          <w:p w:rsidR="00C63CF1" w:rsidRPr="00C63CF1" w:rsidRDefault="00C63CF1" w:rsidP="005C71E7">
            <w:pPr>
              <w:jc w:val="right"/>
              <w:rPr>
                <w:rFonts w:ascii="Arial" w:hAnsi="Arial" w:cs="Arial"/>
                <w:sz w:val="18"/>
                <w:szCs w:val="18"/>
              </w:rPr>
            </w:pPr>
            <w:r>
              <w:rPr>
                <w:rFonts w:ascii="Arial" w:hAnsi="Arial" w:cs="Arial"/>
                <w:sz w:val="18"/>
                <w:szCs w:val="18"/>
              </w:rPr>
              <w:t>$</w:t>
            </w:r>
            <w:r w:rsidR="005C71E7">
              <w:rPr>
                <w:rFonts w:ascii="Arial" w:hAnsi="Arial" w:cs="Arial"/>
                <w:sz w:val="18"/>
                <w:szCs w:val="18"/>
              </w:rPr>
              <w:t xml:space="preserve">  6</w:t>
            </w:r>
            <w:r w:rsidR="000C270E" w:rsidRPr="00C63CF1">
              <w:rPr>
                <w:rFonts w:ascii="Arial" w:hAnsi="Arial" w:cs="Arial"/>
                <w:sz w:val="18"/>
                <w:szCs w:val="18"/>
              </w:rPr>
              <w:t>,</w:t>
            </w:r>
            <w:r w:rsidR="005C71E7">
              <w:rPr>
                <w:rFonts w:ascii="Arial" w:hAnsi="Arial" w:cs="Arial"/>
                <w:sz w:val="18"/>
                <w:szCs w:val="18"/>
              </w:rPr>
              <w:t>029</w:t>
            </w:r>
            <w:r w:rsidR="000C270E" w:rsidRPr="00C63CF1">
              <w:rPr>
                <w:rFonts w:ascii="Arial" w:hAnsi="Arial" w:cs="Arial"/>
                <w:sz w:val="18"/>
                <w:szCs w:val="18"/>
              </w:rPr>
              <w:t>,</w:t>
            </w:r>
            <w:r w:rsidR="005C71E7">
              <w:rPr>
                <w:rFonts w:ascii="Arial" w:hAnsi="Arial" w:cs="Arial"/>
                <w:sz w:val="18"/>
                <w:szCs w:val="18"/>
              </w:rPr>
              <w:t>519</w:t>
            </w:r>
            <w:r w:rsidR="000C270E" w:rsidRPr="00C63CF1">
              <w:rPr>
                <w:rFonts w:ascii="Arial" w:hAnsi="Arial" w:cs="Arial"/>
                <w:sz w:val="18"/>
                <w:szCs w:val="18"/>
              </w:rPr>
              <w:t>,</w:t>
            </w:r>
            <w:r w:rsidR="005C71E7">
              <w:rPr>
                <w:rFonts w:ascii="Arial" w:hAnsi="Arial" w:cs="Arial"/>
                <w:sz w:val="18"/>
                <w:szCs w:val="18"/>
              </w:rPr>
              <w:t>781</w:t>
            </w:r>
          </w:p>
        </w:tc>
        <w:tc>
          <w:tcPr>
            <w:tcW w:w="1796" w:type="dxa"/>
            <w:vAlign w:val="center"/>
          </w:tcPr>
          <w:p w:rsidR="00C63CF1" w:rsidRPr="00C63CF1" w:rsidRDefault="00C63CF1" w:rsidP="00E7498F">
            <w:pPr>
              <w:tabs>
                <w:tab w:val="left" w:pos="284"/>
              </w:tabs>
              <w:spacing w:line="276" w:lineRule="auto"/>
              <w:ind w:left="284"/>
              <w:jc w:val="center"/>
              <w:rPr>
                <w:rFonts w:ascii="Arial" w:hAnsi="Arial" w:cs="Arial"/>
                <w:sz w:val="18"/>
                <w:szCs w:val="18"/>
              </w:rPr>
            </w:pPr>
            <w:r w:rsidRPr="00C63CF1">
              <w:rPr>
                <w:rFonts w:ascii="Arial" w:hAnsi="Arial" w:cs="Arial"/>
                <w:sz w:val="18"/>
                <w:szCs w:val="18"/>
              </w:rPr>
              <w:t>$</w:t>
            </w:r>
            <w:r w:rsidR="005C71E7">
              <w:rPr>
                <w:rFonts w:ascii="Arial" w:hAnsi="Arial" w:cs="Arial"/>
                <w:sz w:val="18"/>
                <w:szCs w:val="18"/>
              </w:rPr>
              <w:t xml:space="preserve"> </w:t>
            </w:r>
            <w:r>
              <w:rPr>
                <w:rFonts w:ascii="Arial" w:hAnsi="Arial" w:cs="Arial"/>
                <w:sz w:val="18"/>
                <w:szCs w:val="18"/>
              </w:rPr>
              <w:t xml:space="preserve"> </w:t>
            </w:r>
            <w:r w:rsidR="005C71E7">
              <w:rPr>
                <w:rFonts w:ascii="Arial" w:hAnsi="Arial" w:cs="Arial"/>
                <w:sz w:val="18"/>
                <w:szCs w:val="18"/>
              </w:rPr>
              <w:t>2</w:t>
            </w:r>
            <w:r w:rsidR="00E7498F">
              <w:rPr>
                <w:rFonts w:ascii="Arial" w:hAnsi="Arial" w:cs="Arial"/>
                <w:sz w:val="18"/>
                <w:szCs w:val="18"/>
              </w:rPr>
              <w:t>93</w:t>
            </w:r>
            <w:r w:rsidR="005C71E7">
              <w:rPr>
                <w:rFonts w:ascii="Arial" w:hAnsi="Arial" w:cs="Arial"/>
                <w:sz w:val="18"/>
                <w:szCs w:val="18"/>
              </w:rPr>
              <w:t>,</w:t>
            </w:r>
            <w:r w:rsidR="00E7498F">
              <w:rPr>
                <w:rFonts w:ascii="Arial" w:hAnsi="Arial" w:cs="Arial"/>
                <w:sz w:val="18"/>
                <w:szCs w:val="18"/>
              </w:rPr>
              <w:t>152</w:t>
            </w:r>
            <w:r w:rsidR="005C71E7">
              <w:rPr>
                <w:rFonts w:ascii="Arial" w:hAnsi="Arial" w:cs="Arial"/>
                <w:sz w:val="18"/>
                <w:szCs w:val="18"/>
              </w:rPr>
              <w:t>,</w:t>
            </w:r>
            <w:r w:rsidR="00E7498F">
              <w:rPr>
                <w:rFonts w:ascii="Arial" w:hAnsi="Arial" w:cs="Arial"/>
                <w:sz w:val="18"/>
                <w:szCs w:val="18"/>
              </w:rPr>
              <w:t>027</w:t>
            </w:r>
          </w:p>
        </w:tc>
        <w:tc>
          <w:tcPr>
            <w:tcW w:w="1796" w:type="dxa"/>
            <w:vAlign w:val="center"/>
          </w:tcPr>
          <w:p w:rsidR="00C63CF1" w:rsidRPr="00C63CF1" w:rsidRDefault="005C71E7" w:rsidP="00E7498F">
            <w:pPr>
              <w:tabs>
                <w:tab w:val="left" w:pos="284"/>
              </w:tabs>
              <w:spacing w:line="276" w:lineRule="auto"/>
              <w:ind w:left="284"/>
              <w:jc w:val="center"/>
              <w:rPr>
                <w:rFonts w:ascii="Arial" w:hAnsi="Arial" w:cs="Arial"/>
                <w:sz w:val="18"/>
                <w:szCs w:val="18"/>
              </w:rPr>
            </w:pPr>
            <w:r>
              <w:rPr>
                <w:rFonts w:ascii="Arial" w:hAnsi="Arial" w:cs="Arial"/>
                <w:sz w:val="18"/>
                <w:szCs w:val="18"/>
              </w:rPr>
              <w:t>4.</w:t>
            </w:r>
            <w:r w:rsidR="00E7498F">
              <w:rPr>
                <w:rFonts w:ascii="Arial" w:hAnsi="Arial" w:cs="Arial"/>
                <w:sz w:val="18"/>
                <w:szCs w:val="18"/>
              </w:rPr>
              <w:t>8</w:t>
            </w:r>
            <w:r w:rsidR="00C63CF1">
              <w:rPr>
                <w:rFonts w:ascii="Arial" w:hAnsi="Arial" w:cs="Arial"/>
                <w:sz w:val="18"/>
                <w:szCs w:val="18"/>
              </w:rPr>
              <w:t>%</w:t>
            </w:r>
          </w:p>
        </w:tc>
      </w:tr>
    </w:tbl>
    <w:p w:rsidR="00C013A1" w:rsidRPr="0073056A" w:rsidRDefault="00C013A1" w:rsidP="00A54D75">
      <w:pPr>
        <w:tabs>
          <w:tab w:val="left" w:pos="284"/>
        </w:tabs>
        <w:spacing w:after="0"/>
        <w:ind w:left="284"/>
        <w:jc w:val="both"/>
        <w:rPr>
          <w:rFonts w:ascii="Arial" w:hAnsi="Arial" w:cs="Arial"/>
          <w:sz w:val="18"/>
          <w:szCs w:val="18"/>
        </w:rPr>
      </w:pPr>
    </w:p>
    <w:p w:rsidR="00C013A1" w:rsidRPr="0073056A" w:rsidRDefault="002964B2" w:rsidP="00A54D75">
      <w:pPr>
        <w:tabs>
          <w:tab w:val="left" w:pos="284"/>
        </w:tabs>
        <w:spacing w:after="0"/>
        <w:ind w:left="284"/>
        <w:jc w:val="both"/>
        <w:rPr>
          <w:rFonts w:ascii="Arial" w:hAnsi="Arial" w:cs="Arial"/>
          <w:sz w:val="18"/>
          <w:szCs w:val="18"/>
        </w:rPr>
      </w:pPr>
      <w:r>
        <w:rPr>
          <w:rFonts w:ascii="Arial" w:hAnsi="Arial" w:cs="Arial"/>
          <w:sz w:val="18"/>
          <w:szCs w:val="18"/>
        </w:rPr>
        <w:t xml:space="preserve">El  comportamiento de los conceptos participables vinculados a la Recaudación Federal Participable observaron un incremento, </w:t>
      </w:r>
      <w:proofErr w:type="spellStart"/>
      <w:r>
        <w:rPr>
          <w:rFonts w:ascii="Arial" w:hAnsi="Arial" w:cs="Arial"/>
          <w:sz w:val="18"/>
          <w:szCs w:val="18"/>
        </w:rPr>
        <w:t>aún</w:t>
      </w:r>
      <w:proofErr w:type="spellEnd"/>
      <w:r>
        <w:rPr>
          <w:rFonts w:ascii="Arial" w:hAnsi="Arial" w:cs="Arial"/>
          <w:sz w:val="18"/>
          <w:szCs w:val="18"/>
        </w:rPr>
        <w:t xml:space="preserve"> cuando el comportamiento de la RFP en el cuarto trimestre de 2014,  fue negativo en  relación al  ejercicio, 2014, sin embargo se  tuvo un crecimiento del 4.8% en </w:t>
      </w:r>
      <w:proofErr w:type="spellStart"/>
      <w:r>
        <w:rPr>
          <w:rFonts w:ascii="Arial" w:hAnsi="Arial" w:cs="Arial"/>
          <w:sz w:val="18"/>
          <w:szCs w:val="18"/>
        </w:rPr>
        <w:t>terminos</w:t>
      </w:r>
      <w:proofErr w:type="spellEnd"/>
      <w:r>
        <w:rPr>
          <w:rFonts w:ascii="Arial" w:hAnsi="Arial" w:cs="Arial"/>
          <w:sz w:val="18"/>
          <w:szCs w:val="18"/>
        </w:rPr>
        <w:t xml:space="preserve"> reales</w:t>
      </w:r>
    </w:p>
    <w:p w:rsidR="00A54D75" w:rsidRDefault="00A54D75" w:rsidP="00A54D75">
      <w:pPr>
        <w:tabs>
          <w:tab w:val="left" w:pos="284"/>
        </w:tabs>
        <w:spacing w:after="0"/>
        <w:ind w:left="284"/>
        <w:jc w:val="both"/>
        <w:rPr>
          <w:rFonts w:ascii="Arial" w:hAnsi="Arial" w:cs="Arial"/>
          <w:b/>
          <w:sz w:val="18"/>
          <w:szCs w:val="18"/>
        </w:rPr>
      </w:pPr>
    </w:p>
    <w:p w:rsidR="00CB4CBC" w:rsidRDefault="00CB4CBC" w:rsidP="00A54D75">
      <w:pPr>
        <w:tabs>
          <w:tab w:val="left" w:pos="284"/>
        </w:tabs>
        <w:spacing w:after="0"/>
        <w:ind w:left="284"/>
        <w:jc w:val="both"/>
        <w:rPr>
          <w:rFonts w:ascii="Arial" w:hAnsi="Arial" w:cs="Arial"/>
          <w:b/>
          <w:sz w:val="18"/>
          <w:szCs w:val="18"/>
        </w:rPr>
      </w:pPr>
    </w:p>
    <w:p w:rsidR="00CB4CBC" w:rsidRDefault="00CB4CBC" w:rsidP="00A54D75">
      <w:pPr>
        <w:tabs>
          <w:tab w:val="left" w:pos="284"/>
        </w:tabs>
        <w:spacing w:after="0"/>
        <w:ind w:left="284"/>
        <w:jc w:val="both"/>
        <w:rPr>
          <w:rFonts w:ascii="Arial" w:hAnsi="Arial" w:cs="Arial"/>
          <w:b/>
          <w:sz w:val="18"/>
          <w:szCs w:val="18"/>
        </w:rPr>
      </w:pPr>
    </w:p>
    <w:p w:rsidR="00CB4CBC" w:rsidRDefault="00CB4CBC" w:rsidP="00A54D75">
      <w:pPr>
        <w:tabs>
          <w:tab w:val="left" w:pos="284"/>
        </w:tabs>
        <w:spacing w:after="0"/>
        <w:ind w:left="284"/>
        <w:jc w:val="both"/>
        <w:rPr>
          <w:rFonts w:ascii="Arial" w:hAnsi="Arial" w:cs="Arial"/>
          <w:b/>
          <w:sz w:val="18"/>
          <w:szCs w:val="18"/>
        </w:rPr>
      </w:pPr>
    </w:p>
    <w:p w:rsidR="00CB4CBC" w:rsidRDefault="00CB4CBC" w:rsidP="00A54D75">
      <w:pPr>
        <w:tabs>
          <w:tab w:val="left" w:pos="284"/>
        </w:tabs>
        <w:spacing w:after="0"/>
        <w:ind w:left="284"/>
        <w:jc w:val="both"/>
        <w:rPr>
          <w:rFonts w:ascii="Arial" w:hAnsi="Arial" w:cs="Arial"/>
          <w:b/>
          <w:sz w:val="18"/>
          <w:szCs w:val="18"/>
        </w:rPr>
      </w:pPr>
    </w:p>
    <w:p w:rsidR="00CB4CBC" w:rsidRDefault="00CB4CBC" w:rsidP="00A54D75">
      <w:pPr>
        <w:tabs>
          <w:tab w:val="left" w:pos="284"/>
        </w:tabs>
        <w:spacing w:after="0"/>
        <w:ind w:left="284"/>
        <w:jc w:val="both"/>
        <w:rPr>
          <w:rFonts w:ascii="Arial" w:hAnsi="Arial" w:cs="Arial"/>
          <w:b/>
          <w:sz w:val="18"/>
          <w:szCs w:val="18"/>
        </w:rPr>
      </w:pPr>
    </w:p>
    <w:p w:rsidR="00CB4CBC" w:rsidRDefault="00CB4CBC" w:rsidP="00A54D75">
      <w:pPr>
        <w:tabs>
          <w:tab w:val="left" w:pos="284"/>
        </w:tabs>
        <w:spacing w:after="0"/>
        <w:ind w:left="284"/>
        <w:jc w:val="both"/>
        <w:rPr>
          <w:rFonts w:ascii="Arial" w:hAnsi="Arial" w:cs="Arial"/>
          <w:b/>
          <w:sz w:val="18"/>
          <w:szCs w:val="18"/>
        </w:rPr>
      </w:pPr>
    </w:p>
    <w:p w:rsidR="00CB4CBC" w:rsidRDefault="00CB4CBC" w:rsidP="00A54D75">
      <w:pPr>
        <w:tabs>
          <w:tab w:val="left" w:pos="284"/>
        </w:tabs>
        <w:spacing w:after="0"/>
        <w:ind w:left="284"/>
        <w:jc w:val="both"/>
        <w:rPr>
          <w:rFonts w:ascii="Arial" w:hAnsi="Arial" w:cs="Arial"/>
          <w:b/>
          <w:sz w:val="18"/>
          <w:szCs w:val="18"/>
        </w:rPr>
      </w:pPr>
    </w:p>
    <w:p w:rsidR="00CB4CBC" w:rsidRDefault="00CB4CBC" w:rsidP="00A54D75">
      <w:pPr>
        <w:tabs>
          <w:tab w:val="left" w:pos="284"/>
        </w:tabs>
        <w:spacing w:after="0"/>
        <w:ind w:left="284"/>
        <w:jc w:val="both"/>
        <w:rPr>
          <w:rFonts w:ascii="Arial" w:hAnsi="Arial" w:cs="Arial"/>
          <w:b/>
          <w:sz w:val="18"/>
          <w:szCs w:val="18"/>
        </w:rPr>
      </w:pPr>
    </w:p>
    <w:p w:rsidR="00CB4CBC" w:rsidRDefault="00CB4CBC" w:rsidP="00A54D75">
      <w:pPr>
        <w:tabs>
          <w:tab w:val="left" w:pos="284"/>
        </w:tabs>
        <w:spacing w:after="0"/>
        <w:ind w:left="284"/>
        <w:jc w:val="both"/>
        <w:rPr>
          <w:rFonts w:ascii="Arial" w:hAnsi="Arial" w:cs="Arial"/>
          <w:b/>
          <w:sz w:val="18"/>
          <w:szCs w:val="18"/>
        </w:rPr>
      </w:pPr>
    </w:p>
    <w:p w:rsidR="00CB4CBC" w:rsidRDefault="00CB4CBC" w:rsidP="00A54D75">
      <w:pPr>
        <w:tabs>
          <w:tab w:val="left" w:pos="284"/>
        </w:tabs>
        <w:spacing w:after="0"/>
        <w:ind w:left="284"/>
        <w:jc w:val="both"/>
        <w:rPr>
          <w:rFonts w:ascii="Arial" w:hAnsi="Arial" w:cs="Arial"/>
          <w:b/>
          <w:sz w:val="18"/>
          <w:szCs w:val="18"/>
        </w:rPr>
      </w:pPr>
    </w:p>
    <w:p w:rsidR="00CB4CBC" w:rsidRDefault="00CB4CBC" w:rsidP="00A54D75">
      <w:pPr>
        <w:tabs>
          <w:tab w:val="left" w:pos="284"/>
        </w:tabs>
        <w:spacing w:after="0"/>
        <w:ind w:left="284"/>
        <w:jc w:val="both"/>
        <w:rPr>
          <w:rFonts w:ascii="Arial" w:hAnsi="Arial" w:cs="Arial"/>
          <w:b/>
          <w:sz w:val="18"/>
          <w:szCs w:val="18"/>
        </w:rPr>
      </w:pPr>
    </w:p>
    <w:p w:rsidR="00CB4CBC" w:rsidRDefault="00CB4CBC" w:rsidP="00A54D75">
      <w:pPr>
        <w:tabs>
          <w:tab w:val="left" w:pos="284"/>
        </w:tabs>
        <w:spacing w:after="0"/>
        <w:ind w:left="284"/>
        <w:jc w:val="both"/>
        <w:rPr>
          <w:rFonts w:ascii="Arial" w:hAnsi="Arial" w:cs="Arial"/>
          <w:b/>
          <w:sz w:val="18"/>
          <w:szCs w:val="18"/>
        </w:rPr>
      </w:pPr>
    </w:p>
    <w:p w:rsidR="00A54D75" w:rsidRDefault="00A54D75" w:rsidP="00A54D75">
      <w:pPr>
        <w:tabs>
          <w:tab w:val="left" w:pos="284"/>
        </w:tabs>
        <w:spacing w:after="0"/>
        <w:ind w:left="284"/>
        <w:jc w:val="both"/>
        <w:rPr>
          <w:rFonts w:ascii="Arial" w:hAnsi="Arial" w:cs="Arial"/>
          <w:b/>
          <w:sz w:val="18"/>
          <w:szCs w:val="18"/>
        </w:rPr>
      </w:pP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t>Fondos de Aportación Federal</w:t>
      </w:r>
    </w:p>
    <w:p w:rsidR="00C013A1" w:rsidRPr="001C2435" w:rsidRDefault="00C013A1" w:rsidP="00FA426C">
      <w:pPr>
        <w:ind w:left="284"/>
        <w:jc w:val="both"/>
        <w:rPr>
          <w:rFonts w:ascii="Arial" w:eastAsia="Times New Roman" w:hAnsi="Arial" w:cs="Arial"/>
          <w:sz w:val="20"/>
          <w:szCs w:val="20"/>
          <w:lang w:eastAsia="es-MX"/>
        </w:rPr>
      </w:pPr>
      <w:r w:rsidRPr="0073056A">
        <w:rPr>
          <w:rFonts w:ascii="Arial" w:hAnsi="Arial" w:cs="Arial"/>
          <w:sz w:val="18"/>
          <w:szCs w:val="18"/>
        </w:rPr>
        <w:t>Las Aportaciones Federales reportan un monto de $</w:t>
      </w:r>
      <w:r w:rsidR="00F95FC8">
        <w:rPr>
          <w:rFonts w:ascii="Arial" w:hAnsi="Arial" w:cs="Arial"/>
          <w:sz w:val="18"/>
          <w:szCs w:val="18"/>
        </w:rPr>
        <w:t xml:space="preserve"> </w:t>
      </w:r>
      <w:r w:rsidR="0062738F">
        <w:rPr>
          <w:rFonts w:ascii="Arial" w:hAnsi="Arial" w:cs="Arial"/>
          <w:sz w:val="18"/>
          <w:szCs w:val="18"/>
        </w:rPr>
        <w:t>8,573,623,</w:t>
      </w:r>
      <w:r w:rsidR="008119D9">
        <w:rPr>
          <w:rFonts w:ascii="Arial" w:hAnsi="Arial" w:cs="Arial"/>
          <w:sz w:val="18"/>
          <w:szCs w:val="18"/>
        </w:rPr>
        <w:t>072</w:t>
      </w:r>
      <w:r w:rsidRPr="0073056A">
        <w:rPr>
          <w:rFonts w:ascii="Arial" w:hAnsi="Arial" w:cs="Arial"/>
          <w:sz w:val="18"/>
          <w:szCs w:val="18"/>
        </w:rPr>
        <w:t xml:space="preserve">, integradas por </w:t>
      </w:r>
      <w:r w:rsidR="001C2435">
        <w:rPr>
          <w:rFonts w:ascii="Arial" w:hAnsi="Arial" w:cs="Arial"/>
          <w:sz w:val="18"/>
          <w:szCs w:val="18"/>
        </w:rPr>
        <w:t>e</w:t>
      </w:r>
      <w:r w:rsidRPr="0073056A">
        <w:rPr>
          <w:rFonts w:ascii="Arial" w:hAnsi="Arial" w:cs="Arial"/>
          <w:sz w:val="18"/>
          <w:szCs w:val="18"/>
        </w:rPr>
        <w:t xml:space="preserve">l Fondo de Aportaciones para la </w:t>
      </w:r>
      <w:r w:rsidR="00436E23">
        <w:rPr>
          <w:rFonts w:ascii="Arial" w:hAnsi="Arial" w:cs="Arial"/>
          <w:sz w:val="18"/>
          <w:szCs w:val="18"/>
        </w:rPr>
        <w:t>Nómina Educativa</w:t>
      </w:r>
      <w:r w:rsidRPr="0073056A">
        <w:rPr>
          <w:rFonts w:ascii="Arial" w:hAnsi="Arial" w:cs="Arial"/>
          <w:sz w:val="18"/>
          <w:szCs w:val="18"/>
        </w:rPr>
        <w:t xml:space="preserve"> por $</w:t>
      </w:r>
      <w:r w:rsidR="001C2435">
        <w:rPr>
          <w:rFonts w:ascii="Arial" w:hAnsi="Arial" w:cs="Arial"/>
          <w:sz w:val="18"/>
          <w:szCs w:val="18"/>
        </w:rPr>
        <w:t xml:space="preserve"> </w:t>
      </w:r>
      <w:r w:rsidR="0062738F">
        <w:rPr>
          <w:rFonts w:ascii="Arial" w:hAnsi="Arial" w:cs="Arial"/>
          <w:sz w:val="18"/>
          <w:szCs w:val="18"/>
        </w:rPr>
        <w:t>5,135,344,491</w:t>
      </w:r>
      <w:r w:rsidRPr="0073056A">
        <w:rPr>
          <w:rFonts w:ascii="Arial" w:hAnsi="Arial" w:cs="Arial"/>
          <w:sz w:val="18"/>
          <w:szCs w:val="18"/>
        </w:rPr>
        <w:t>; Fondo de Aportaciones para la Infraestructura Social, Estatal y Municipal por $</w:t>
      </w:r>
      <w:r w:rsidR="000C270E">
        <w:rPr>
          <w:rFonts w:ascii="Arial" w:hAnsi="Arial" w:cs="Arial"/>
          <w:sz w:val="18"/>
          <w:szCs w:val="18"/>
        </w:rPr>
        <w:t xml:space="preserve"> </w:t>
      </w:r>
      <w:r w:rsidR="0062738F">
        <w:rPr>
          <w:rFonts w:ascii="Arial" w:hAnsi="Arial" w:cs="Arial"/>
          <w:sz w:val="18"/>
          <w:szCs w:val="18"/>
        </w:rPr>
        <w:t>540,964,560</w:t>
      </w:r>
      <w:r w:rsidRPr="0073056A">
        <w:rPr>
          <w:rFonts w:ascii="Arial" w:hAnsi="Arial" w:cs="Arial"/>
          <w:sz w:val="18"/>
          <w:szCs w:val="18"/>
        </w:rPr>
        <w:t>; Fondo de Aportaciones para los Servicios de Salud $</w:t>
      </w:r>
      <w:r w:rsidR="000C270E">
        <w:rPr>
          <w:rFonts w:ascii="Arial" w:hAnsi="Arial" w:cs="Arial"/>
          <w:sz w:val="18"/>
          <w:szCs w:val="18"/>
        </w:rPr>
        <w:t xml:space="preserve"> </w:t>
      </w:r>
      <w:r w:rsidR="0062738F">
        <w:rPr>
          <w:rFonts w:ascii="Arial" w:hAnsi="Arial" w:cs="Arial"/>
          <w:sz w:val="18"/>
          <w:szCs w:val="18"/>
        </w:rPr>
        <w:t>1,374,955,057</w:t>
      </w:r>
      <w:r w:rsidRPr="0073056A">
        <w:rPr>
          <w:rFonts w:ascii="Arial" w:hAnsi="Arial" w:cs="Arial"/>
          <w:sz w:val="18"/>
          <w:szCs w:val="18"/>
        </w:rPr>
        <w:t>; Fondo de Aportaciones para el Fortalecimiento de las Entidades Federativas por $</w:t>
      </w:r>
      <w:r w:rsidR="000C270E">
        <w:rPr>
          <w:rFonts w:ascii="Arial" w:hAnsi="Arial" w:cs="Arial"/>
          <w:sz w:val="18"/>
          <w:szCs w:val="18"/>
        </w:rPr>
        <w:t xml:space="preserve"> </w:t>
      </w:r>
      <w:r w:rsidR="0062738F">
        <w:rPr>
          <w:rFonts w:ascii="Arial" w:hAnsi="Arial" w:cs="Arial"/>
          <w:sz w:val="18"/>
          <w:szCs w:val="18"/>
        </w:rPr>
        <w:t>392,883,122</w:t>
      </w:r>
      <w:r w:rsidRPr="0073056A">
        <w:rPr>
          <w:rFonts w:ascii="Arial" w:hAnsi="Arial" w:cs="Arial"/>
          <w:sz w:val="18"/>
          <w:szCs w:val="18"/>
        </w:rPr>
        <w:t xml:space="preserve">; Fondo de Aportaciones para el Fortalecimiento de los Municipios y de las Demarcaciones Territoriales del Distrito Federal </w:t>
      </w:r>
      <w:r w:rsidRPr="001C2435">
        <w:rPr>
          <w:rFonts w:ascii="Arial" w:hAnsi="Arial" w:cs="Arial"/>
          <w:sz w:val="18"/>
          <w:szCs w:val="18"/>
        </w:rPr>
        <w:t>$</w:t>
      </w:r>
      <w:r w:rsidR="000C270E">
        <w:rPr>
          <w:rFonts w:ascii="Arial" w:hAnsi="Arial" w:cs="Arial"/>
          <w:sz w:val="18"/>
          <w:szCs w:val="18"/>
        </w:rPr>
        <w:t xml:space="preserve"> </w:t>
      </w:r>
      <w:r w:rsidR="0062738F">
        <w:rPr>
          <w:rFonts w:ascii="Arial" w:hAnsi="Arial" w:cs="Arial"/>
          <w:sz w:val="18"/>
          <w:szCs w:val="18"/>
        </w:rPr>
        <w:t>618,385,051; Fondo de Aportaciones para la Educación Tecnológica y de Adultos $ 74,20</w:t>
      </w:r>
      <w:r w:rsidR="008119D9">
        <w:rPr>
          <w:rFonts w:ascii="Arial" w:hAnsi="Arial" w:cs="Arial"/>
          <w:sz w:val="18"/>
          <w:szCs w:val="18"/>
        </w:rPr>
        <w:t>9</w:t>
      </w:r>
      <w:r w:rsidR="0062738F">
        <w:rPr>
          <w:rFonts w:ascii="Arial" w:hAnsi="Arial" w:cs="Arial"/>
          <w:sz w:val="18"/>
          <w:szCs w:val="18"/>
        </w:rPr>
        <w:t>,</w:t>
      </w:r>
      <w:r w:rsidR="008119D9">
        <w:rPr>
          <w:rFonts w:ascii="Arial" w:hAnsi="Arial" w:cs="Arial"/>
          <w:sz w:val="18"/>
          <w:szCs w:val="18"/>
        </w:rPr>
        <w:t>704</w:t>
      </w:r>
      <w:r w:rsidR="0062738F">
        <w:rPr>
          <w:rFonts w:ascii="Arial" w:hAnsi="Arial" w:cs="Arial"/>
          <w:sz w:val="18"/>
          <w:szCs w:val="18"/>
        </w:rPr>
        <w:t>; Fondo de Aportaciones para la Seguridad Pública $ 161,361,188</w:t>
      </w:r>
      <w:r w:rsidRPr="0073056A">
        <w:rPr>
          <w:rFonts w:ascii="Arial" w:hAnsi="Arial" w:cs="Arial"/>
          <w:sz w:val="18"/>
          <w:szCs w:val="18"/>
        </w:rPr>
        <w:t xml:space="preserve"> y Fondo de Aportaciones Múltiples por $</w:t>
      </w:r>
      <w:r w:rsidR="001C2435">
        <w:rPr>
          <w:rFonts w:ascii="Arial" w:hAnsi="Arial" w:cs="Arial"/>
          <w:sz w:val="18"/>
          <w:szCs w:val="18"/>
        </w:rPr>
        <w:t xml:space="preserve"> </w:t>
      </w:r>
      <w:r w:rsidR="0062738F">
        <w:rPr>
          <w:rFonts w:ascii="Arial" w:hAnsi="Arial" w:cs="Arial"/>
          <w:sz w:val="18"/>
          <w:szCs w:val="18"/>
        </w:rPr>
        <w:t>275,519,899</w:t>
      </w:r>
      <w:r w:rsidRPr="0073056A">
        <w:rPr>
          <w:rFonts w:ascii="Arial" w:hAnsi="Arial" w:cs="Arial"/>
          <w:sz w:val="18"/>
          <w:szCs w:val="18"/>
        </w:rPr>
        <w:t xml:space="preserve">. Las Aportaciones Federales presentaron un incremento del </w:t>
      </w:r>
      <w:r w:rsidR="0062738F">
        <w:rPr>
          <w:rFonts w:ascii="Arial" w:hAnsi="Arial" w:cs="Arial"/>
          <w:sz w:val="18"/>
          <w:szCs w:val="18"/>
        </w:rPr>
        <w:t>20.4</w:t>
      </w:r>
      <w:r w:rsidRPr="0073056A">
        <w:rPr>
          <w:rFonts w:ascii="Arial" w:hAnsi="Arial" w:cs="Arial"/>
          <w:sz w:val="18"/>
          <w:szCs w:val="18"/>
        </w:rPr>
        <w:t>% con respecto al ejercicio 201</w:t>
      </w:r>
      <w:r w:rsidR="000C270E">
        <w:rPr>
          <w:rFonts w:ascii="Arial" w:hAnsi="Arial" w:cs="Arial"/>
          <w:sz w:val="18"/>
          <w:szCs w:val="18"/>
        </w:rPr>
        <w:t>4</w:t>
      </w:r>
      <w:r w:rsidRPr="0073056A">
        <w:rPr>
          <w:rFonts w:ascii="Arial" w:hAnsi="Arial" w:cs="Arial"/>
          <w:sz w:val="18"/>
          <w:szCs w:val="18"/>
        </w:rPr>
        <w:t>.</w:t>
      </w:r>
    </w:p>
    <w:p w:rsidR="00A54D75" w:rsidRPr="0073056A" w:rsidRDefault="00A54D75" w:rsidP="00A54D75">
      <w:pPr>
        <w:tabs>
          <w:tab w:val="left" w:pos="284"/>
        </w:tabs>
        <w:spacing w:after="0"/>
        <w:ind w:left="284"/>
        <w:jc w:val="both"/>
        <w:rPr>
          <w:rFonts w:ascii="Arial" w:hAnsi="Arial" w:cs="Arial"/>
          <w:sz w:val="18"/>
          <w:szCs w:val="18"/>
        </w:rPr>
      </w:pPr>
    </w:p>
    <w:tbl>
      <w:tblPr>
        <w:tblStyle w:val="Tablaconcuadrcula"/>
        <w:tblW w:w="0" w:type="auto"/>
        <w:tblInd w:w="2357" w:type="dxa"/>
        <w:tblLook w:val="04A0" w:firstRow="1" w:lastRow="0" w:firstColumn="1" w:lastColumn="0" w:noHBand="0" w:noVBand="1"/>
      </w:tblPr>
      <w:tblGrid>
        <w:gridCol w:w="1795"/>
        <w:gridCol w:w="1795"/>
        <w:gridCol w:w="1796"/>
        <w:gridCol w:w="1796"/>
        <w:gridCol w:w="1796"/>
      </w:tblGrid>
      <w:tr w:rsidR="00C013A1" w:rsidRPr="0073056A" w:rsidTr="00A54D75">
        <w:tc>
          <w:tcPr>
            <w:tcW w:w="1795" w:type="dxa"/>
            <w:vMerge w:val="restart"/>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C013A1" w:rsidRPr="0073056A" w:rsidRDefault="000C270E" w:rsidP="00A54D75">
            <w:pPr>
              <w:tabs>
                <w:tab w:val="left" w:pos="284"/>
              </w:tabs>
              <w:spacing w:line="276" w:lineRule="auto"/>
              <w:ind w:left="284"/>
              <w:jc w:val="center"/>
              <w:rPr>
                <w:rFonts w:ascii="Arial" w:hAnsi="Arial" w:cs="Arial"/>
                <w:b/>
                <w:sz w:val="18"/>
                <w:szCs w:val="18"/>
              </w:rPr>
            </w:pPr>
            <w:r>
              <w:rPr>
                <w:rFonts w:ascii="Arial" w:hAnsi="Arial" w:cs="Arial"/>
                <w:b/>
                <w:sz w:val="18"/>
                <w:szCs w:val="18"/>
              </w:rPr>
              <w:t>2015</w:t>
            </w:r>
          </w:p>
        </w:tc>
        <w:tc>
          <w:tcPr>
            <w:tcW w:w="1796" w:type="dxa"/>
            <w:vMerge w:val="restart"/>
            <w:shd w:val="pct10" w:color="auto" w:fill="auto"/>
            <w:vAlign w:val="center"/>
          </w:tcPr>
          <w:p w:rsidR="00C013A1" w:rsidRPr="0073056A" w:rsidRDefault="00C013A1" w:rsidP="000C270E">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0C270E">
              <w:rPr>
                <w:rFonts w:ascii="Arial" w:hAnsi="Arial" w:cs="Arial"/>
                <w:b/>
                <w:sz w:val="18"/>
                <w:szCs w:val="18"/>
              </w:rPr>
              <w:t>4</w:t>
            </w:r>
          </w:p>
        </w:tc>
        <w:tc>
          <w:tcPr>
            <w:tcW w:w="3592" w:type="dxa"/>
            <w:gridSpan w:val="2"/>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C013A1" w:rsidRPr="0073056A" w:rsidTr="00A54D75">
        <w:tc>
          <w:tcPr>
            <w:tcW w:w="1795"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5"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C013A1" w:rsidRPr="0073056A" w:rsidTr="007B2FE4">
        <w:tc>
          <w:tcPr>
            <w:tcW w:w="1795" w:type="dxa"/>
            <w:vAlign w:val="center"/>
          </w:tcPr>
          <w:p w:rsidR="00C013A1" w:rsidRPr="0073056A" w:rsidRDefault="00C013A1" w:rsidP="00A54D75">
            <w:pPr>
              <w:tabs>
                <w:tab w:val="left" w:pos="284"/>
              </w:tabs>
              <w:spacing w:line="276" w:lineRule="auto"/>
              <w:ind w:left="284"/>
              <w:jc w:val="center"/>
              <w:rPr>
                <w:rFonts w:ascii="Arial" w:hAnsi="Arial" w:cs="Arial"/>
                <w:sz w:val="18"/>
                <w:szCs w:val="18"/>
              </w:rPr>
            </w:pPr>
            <w:r w:rsidRPr="0073056A">
              <w:rPr>
                <w:rFonts w:ascii="Arial" w:hAnsi="Arial" w:cs="Arial"/>
                <w:sz w:val="18"/>
                <w:szCs w:val="18"/>
              </w:rPr>
              <w:t>Fondos de Aportación Federal</w:t>
            </w:r>
          </w:p>
        </w:tc>
        <w:tc>
          <w:tcPr>
            <w:tcW w:w="1795" w:type="dxa"/>
            <w:vAlign w:val="center"/>
          </w:tcPr>
          <w:p w:rsidR="00C013A1" w:rsidRPr="001C2435" w:rsidRDefault="00C013A1" w:rsidP="008119D9">
            <w:pPr>
              <w:tabs>
                <w:tab w:val="left" w:pos="284"/>
              </w:tabs>
              <w:spacing w:line="276" w:lineRule="auto"/>
              <w:ind w:left="284"/>
              <w:jc w:val="right"/>
              <w:rPr>
                <w:rFonts w:ascii="Arial" w:hAnsi="Arial" w:cs="Arial"/>
                <w:sz w:val="18"/>
                <w:szCs w:val="18"/>
              </w:rPr>
            </w:pPr>
            <w:r w:rsidRPr="001C2435">
              <w:rPr>
                <w:rFonts w:ascii="Arial" w:hAnsi="Arial" w:cs="Arial"/>
                <w:sz w:val="18"/>
                <w:szCs w:val="18"/>
              </w:rPr>
              <w:t>$</w:t>
            </w:r>
            <w:r w:rsidR="005C71E7">
              <w:rPr>
                <w:rFonts w:ascii="Arial" w:hAnsi="Arial" w:cs="Arial"/>
                <w:sz w:val="18"/>
                <w:szCs w:val="18"/>
              </w:rPr>
              <w:t>8,573,623,</w:t>
            </w:r>
            <w:r w:rsidR="008119D9">
              <w:rPr>
                <w:rFonts w:ascii="Arial" w:hAnsi="Arial" w:cs="Arial"/>
                <w:sz w:val="18"/>
                <w:szCs w:val="18"/>
              </w:rPr>
              <w:t>072</w:t>
            </w:r>
          </w:p>
        </w:tc>
        <w:tc>
          <w:tcPr>
            <w:tcW w:w="1796" w:type="dxa"/>
            <w:vAlign w:val="center"/>
          </w:tcPr>
          <w:p w:rsidR="00C013A1" w:rsidRPr="001C2435" w:rsidRDefault="00C013A1" w:rsidP="005C71E7">
            <w:pPr>
              <w:tabs>
                <w:tab w:val="left" w:pos="284"/>
              </w:tabs>
              <w:spacing w:line="276" w:lineRule="auto"/>
              <w:ind w:left="284"/>
              <w:jc w:val="right"/>
              <w:rPr>
                <w:rFonts w:ascii="Arial" w:hAnsi="Arial" w:cs="Arial"/>
                <w:sz w:val="18"/>
                <w:szCs w:val="18"/>
              </w:rPr>
            </w:pPr>
            <w:r w:rsidRPr="001C2435">
              <w:rPr>
                <w:rFonts w:ascii="Arial" w:hAnsi="Arial" w:cs="Arial"/>
                <w:sz w:val="18"/>
                <w:szCs w:val="18"/>
              </w:rPr>
              <w:t>$</w:t>
            </w:r>
            <w:r w:rsidR="000C270E" w:rsidRPr="001C2435">
              <w:rPr>
                <w:rFonts w:ascii="Arial" w:hAnsi="Arial" w:cs="Arial"/>
                <w:bCs/>
                <w:sz w:val="18"/>
                <w:szCs w:val="18"/>
              </w:rPr>
              <w:t>7,1</w:t>
            </w:r>
            <w:r w:rsidR="005C71E7">
              <w:rPr>
                <w:rFonts w:ascii="Arial" w:hAnsi="Arial" w:cs="Arial"/>
                <w:bCs/>
                <w:sz w:val="18"/>
                <w:szCs w:val="18"/>
              </w:rPr>
              <w:t>19</w:t>
            </w:r>
            <w:r w:rsidR="000C270E" w:rsidRPr="001C2435">
              <w:rPr>
                <w:rFonts w:ascii="Arial" w:hAnsi="Arial" w:cs="Arial"/>
                <w:bCs/>
                <w:sz w:val="18"/>
                <w:szCs w:val="18"/>
              </w:rPr>
              <w:t>,4</w:t>
            </w:r>
            <w:r w:rsidR="005C71E7">
              <w:rPr>
                <w:rFonts w:ascii="Arial" w:hAnsi="Arial" w:cs="Arial"/>
                <w:bCs/>
                <w:sz w:val="18"/>
                <w:szCs w:val="18"/>
              </w:rPr>
              <w:t>43</w:t>
            </w:r>
            <w:r w:rsidR="000C270E" w:rsidRPr="001C2435">
              <w:rPr>
                <w:rFonts w:ascii="Arial" w:hAnsi="Arial" w:cs="Arial"/>
                <w:bCs/>
                <w:sz w:val="18"/>
                <w:szCs w:val="18"/>
              </w:rPr>
              <w:t>,</w:t>
            </w:r>
            <w:r w:rsidR="005C71E7">
              <w:rPr>
                <w:rFonts w:ascii="Arial" w:hAnsi="Arial" w:cs="Arial"/>
                <w:bCs/>
                <w:sz w:val="18"/>
                <w:szCs w:val="18"/>
              </w:rPr>
              <w:t>792</w:t>
            </w:r>
          </w:p>
        </w:tc>
        <w:tc>
          <w:tcPr>
            <w:tcW w:w="1796" w:type="dxa"/>
            <w:vAlign w:val="center"/>
          </w:tcPr>
          <w:p w:rsidR="00C013A1" w:rsidRPr="001C2435" w:rsidRDefault="00C013A1" w:rsidP="008119D9">
            <w:pPr>
              <w:tabs>
                <w:tab w:val="left" w:pos="284"/>
              </w:tabs>
              <w:spacing w:line="276" w:lineRule="auto"/>
              <w:ind w:left="284"/>
              <w:jc w:val="right"/>
              <w:rPr>
                <w:rFonts w:ascii="Arial" w:hAnsi="Arial" w:cs="Arial"/>
                <w:sz w:val="18"/>
                <w:szCs w:val="18"/>
              </w:rPr>
            </w:pPr>
            <w:r w:rsidRPr="001C2435">
              <w:rPr>
                <w:rFonts w:ascii="Arial" w:hAnsi="Arial" w:cs="Arial"/>
                <w:sz w:val="18"/>
                <w:szCs w:val="18"/>
              </w:rPr>
              <w:t>$</w:t>
            </w:r>
            <w:r w:rsidR="005C71E7">
              <w:rPr>
                <w:rFonts w:ascii="Arial" w:hAnsi="Arial" w:cs="Arial"/>
                <w:sz w:val="18"/>
                <w:szCs w:val="18"/>
              </w:rPr>
              <w:t>1,454,179,</w:t>
            </w:r>
            <w:r w:rsidR="008119D9">
              <w:rPr>
                <w:rFonts w:ascii="Arial" w:hAnsi="Arial" w:cs="Arial"/>
                <w:sz w:val="18"/>
                <w:szCs w:val="18"/>
              </w:rPr>
              <w:t>280</w:t>
            </w:r>
          </w:p>
        </w:tc>
        <w:tc>
          <w:tcPr>
            <w:tcW w:w="1796" w:type="dxa"/>
            <w:vAlign w:val="center"/>
          </w:tcPr>
          <w:p w:rsidR="00C013A1" w:rsidRPr="0073056A" w:rsidRDefault="0062738F" w:rsidP="007B2FE4">
            <w:pPr>
              <w:tabs>
                <w:tab w:val="left" w:pos="284"/>
              </w:tabs>
              <w:spacing w:line="276" w:lineRule="auto"/>
              <w:ind w:left="284"/>
              <w:jc w:val="center"/>
              <w:rPr>
                <w:rFonts w:ascii="Arial" w:hAnsi="Arial" w:cs="Arial"/>
                <w:sz w:val="18"/>
                <w:szCs w:val="18"/>
              </w:rPr>
            </w:pPr>
            <w:r>
              <w:rPr>
                <w:rFonts w:ascii="Arial" w:hAnsi="Arial" w:cs="Arial"/>
                <w:sz w:val="18"/>
                <w:szCs w:val="18"/>
              </w:rPr>
              <w:t>20.4</w:t>
            </w:r>
            <w:r w:rsidR="001C2435">
              <w:rPr>
                <w:rFonts w:ascii="Arial" w:hAnsi="Arial" w:cs="Arial"/>
                <w:sz w:val="18"/>
                <w:szCs w:val="18"/>
              </w:rPr>
              <w:t>%</w:t>
            </w:r>
          </w:p>
        </w:tc>
      </w:tr>
    </w:tbl>
    <w:p w:rsidR="00C013A1" w:rsidRDefault="00C013A1" w:rsidP="00A54D75">
      <w:pPr>
        <w:tabs>
          <w:tab w:val="left" w:pos="284"/>
        </w:tabs>
        <w:spacing w:after="0"/>
        <w:ind w:left="284"/>
        <w:jc w:val="both"/>
        <w:rPr>
          <w:rFonts w:ascii="Arial" w:hAnsi="Arial" w:cs="Arial"/>
          <w:sz w:val="18"/>
          <w:szCs w:val="18"/>
        </w:rPr>
      </w:pPr>
    </w:p>
    <w:p w:rsidR="00AE47E9" w:rsidRDefault="00AE47E9" w:rsidP="00A54D75">
      <w:pPr>
        <w:tabs>
          <w:tab w:val="left" w:pos="284"/>
        </w:tabs>
        <w:spacing w:after="0"/>
        <w:ind w:left="284"/>
        <w:jc w:val="both"/>
        <w:rPr>
          <w:rFonts w:ascii="Arial" w:hAnsi="Arial" w:cs="Arial"/>
          <w:sz w:val="18"/>
          <w:szCs w:val="18"/>
        </w:rPr>
      </w:pPr>
    </w:p>
    <w:p w:rsidR="002964B2" w:rsidRDefault="002964B2" w:rsidP="00A54D75">
      <w:pPr>
        <w:tabs>
          <w:tab w:val="left" w:pos="284"/>
        </w:tabs>
        <w:spacing w:after="0"/>
        <w:ind w:left="284"/>
        <w:jc w:val="both"/>
        <w:rPr>
          <w:rFonts w:ascii="Arial" w:hAnsi="Arial" w:cs="Arial"/>
          <w:sz w:val="18"/>
          <w:szCs w:val="18"/>
        </w:rPr>
      </w:pPr>
      <w:r>
        <w:rPr>
          <w:rFonts w:ascii="Arial" w:hAnsi="Arial" w:cs="Arial"/>
          <w:sz w:val="18"/>
          <w:szCs w:val="18"/>
        </w:rPr>
        <w:t>En lo que corresponde a las aportaciones federales del Ramo General 33 observaron un</w:t>
      </w:r>
      <w:r w:rsidR="00436E23">
        <w:rPr>
          <w:rFonts w:ascii="Arial" w:hAnsi="Arial" w:cs="Arial"/>
          <w:sz w:val="18"/>
          <w:szCs w:val="18"/>
        </w:rPr>
        <w:t xml:space="preserve"> incremento significativo, derivado principalmente del incremento reflejado en el Fondo de Aportaciones para la Nómina Educativa, que se </w:t>
      </w:r>
      <w:proofErr w:type="spellStart"/>
      <w:r w:rsidR="00436E23">
        <w:rPr>
          <w:rFonts w:ascii="Arial" w:hAnsi="Arial" w:cs="Arial"/>
          <w:sz w:val="18"/>
          <w:szCs w:val="18"/>
        </w:rPr>
        <w:t>vió</w:t>
      </w:r>
      <w:proofErr w:type="spellEnd"/>
      <w:r w:rsidR="00436E23">
        <w:rPr>
          <w:rFonts w:ascii="Arial" w:hAnsi="Arial" w:cs="Arial"/>
          <w:sz w:val="18"/>
          <w:szCs w:val="18"/>
        </w:rPr>
        <w:t xml:space="preserve"> incrementado en más de un 30.3%, en relación al  monto asignado en el ejercicio 2014 por el mismo concepto.</w:t>
      </w:r>
    </w:p>
    <w:p w:rsidR="002964B2" w:rsidRPr="0073056A" w:rsidRDefault="002964B2"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t>Convenios Federales</w:t>
      </w:r>
    </w:p>
    <w:p w:rsidR="00C013A1" w:rsidRDefault="00C013A1" w:rsidP="00A54D75">
      <w:pPr>
        <w:tabs>
          <w:tab w:val="left" w:pos="284"/>
        </w:tabs>
        <w:spacing w:after="0"/>
        <w:ind w:left="284"/>
        <w:jc w:val="both"/>
        <w:rPr>
          <w:rFonts w:ascii="Arial" w:hAnsi="Arial" w:cs="Arial"/>
          <w:sz w:val="18"/>
          <w:szCs w:val="18"/>
        </w:rPr>
      </w:pPr>
      <w:r w:rsidRPr="0073056A">
        <w:rPr>
          <w:rFonts w:ascii="Arial" w:hAnsi="Arial" w:cs="Arial"/>
          <w:sz w:val="18"/>
          <w:szCs w:val="18"/>
        </w:rPr>
        <w:t>Los Convenios Federales son acuerdos de colaboración celebrados entre el Gobierno del Estado y el Ejecutivo Federal, con la finalidad de apoyar proyectos y acciones. Durante el ejercicio 201</w:t>
      </w:r>
      <w:r w:rsidR="000C270E">
        <w:rPr>
          <w:rFonts w:ascii="Arial" w:hAnsi="Arial" w:cs="Arial"/>
          <w:sz w:val="18"/>
          <w:szCs w:val="18"/>
        </w:rPr>
        <w:t>5</w:t>
      </w:r>
      <w:r w:rsidRPr="0073056A">
        <w:rPr>
          <w:rFonts w:ascii="Arial" w:hAnsi="Arial" w:cs="Arial"/>
          <w:sz w:val="18"/>
          <w:szCs w:val="18"/>
        </w:rPr>
        <w:t xml:space="preserve"> el saldo de $</w:t>
      </w:r>
      <w:r w:rsidR="00A70107">
        <w:rPr>
          <w:rFonts w:ascii="Arial" w:hAnsi="Arial" w:cs="Arial"/>
          <w:sz w:val="18"/>
          <w:szCs w:val="18"/>
        </w:rPr>
        <w:t xml:space="preserve"> </w:t>
      </w:r>
      <w:r w:rsidR="008119D9">
        <w:rPr>
          <w:rFonts w:ascii="Arial" w:hAnsi="Arial" w:cs="Arial"/>
          <w:sz w:val="18"/>
          <w:szCs w:val="18"/>
        </w:rPr>
        <w:t>4</w:t>
      </w:r>
      <w:proofErr w:type="gramStart"/>
      <w:r w:rsidR="008119D9">
        <w:rPr>
          <w:rFonts w:ascii="Arial" w:hAnsi="Arial" w:cs="Arial"/>
          <w:sz w:val="18"/>
          <w:szCs w:val="18"/>
        </w:rPr>
        <w:t>,185,023,292</w:t>
      </w:r>
      <w:proofErr w:type="gramEnd"/>
      <w:r w:rsidRPr="0073056A">
        <w:rPr>
          <w:rFonts w:ascii="Arial" w:hAnsi="Arial" w:cs="Arial"/>
          <w:sz w:val="18"/>
          <w:szCs w:val="18"/>
        </w:rPr>
        <w:t xml:space="preserve">, </w:t>
      </w:r>
      <w:r w:rsidR="00A70107">
        <w:rPr>
          <w:rFonts w:ascii="Arial" w:hAnsi="Arial" w:cs="Arial"/>
          <w:sz w:val="18"/>
          <w:szCs w:val="18"/>
        </w:rPr>
        <w:t>l</w:t>
      </w:r>
      <w:r w:rsidRPr="0073056A">
        <w:rPr>
          <w:rFonts w:ascii="Arial" w:hAnsi="Arial" w:cs="Arial"/>
          <w:sz w:val="18"/>
          <w:szCs w:val="18"/>
        </w:rPr>
        <w:t>a variación observada respecto del ejercicio 201</w:t>
      </w:r>
      <w:r w:rsidR="000C270E">
        <w:rPr>
          <w:rFonts w:ascii="Arial" w:hAnsi="Arial" w:cs="Arial"/>
          <w:sz w:val="18"/>
          <w:szCs w:val="18"/>
        </w:rPr>
        <w:t>4</w:t>
      </w:r>
      <w:r w:rsidRPr="0073056A">
        <w:rPr>
          <w:rFonts w:ascii="Arial" w:hAnsi="Arial" w:cs="Arial"/>
          <w:sz w:val="18"/>
          <w:szCs w:val="18"/>
        </w:rPr>
        <w:t>, se debe principalmente a</w:t>
      </w:r>
      <w:r w:rsidR="00FA426C">
        <w:rPr>
          <w:rFonts w:ascii="Arial" w:hAnsi="Arial" w:cs="Arial"/>
          <w:sz w:val="18"/>
          <w:szCs w:val="18"/>
        </w:rPr>
        <w:t>l</w:t>
      </w:r>
      <w:r w:rsidR="00137E93">
        <w:rPr>
          <w:rFonts w:ascii="Arial" w:hAnsi="Arial" w:cs="Arial"/>
          <w:sz w:val="18"/>
          <w:szCs w:val="18"/>
        </w:rPr>
        <w:t xml:space="preserve"> </w:t>
      </w:r>
      <w:r w:rsidR="00FA426C">
        <w:rPr>
          <w:rFonts w:ascii="Arial" w:hAnsi="Arial" w:cs="Arial"/>
          <w:sz w:val="18"/>
          <w:szCs w:val="18"/>
        </w:rPr>
        <w:t>incremento</w:t>
      </w:r>
      <w:r w:rsidR="00137E93">
        <w:rPr>
          <w:rFonts w:ascii="Arial" w:hAnsi="Arial" w:cs="Arial"/>
          <w:sz w:val="18"/>
          <w:szCs w:val="18"/>
        </w:rPr>
        <w:t xml:space="preserve"> en </w:t>
      </w:r>
      <w:r w:rsidR="00FA426C">
        <w:rPr>
          <w:rFonts w:ascii="Arial" w:hAnsi="Arial" w:cs="Arial"/>
          <w:sz w:val="18"/>
          <w:szCs w:val="18"/>
        </w:rPr>
        <w:t>la celebración de</w:t>
      </w:r>
      <w:r w:rsidR="00137E93">
        <w:rPr>
          <w:rFonts w:ascii="Arial" w:hAnsi="Arial" w:cs="Arial"/>
          <w:sz w:val="18"/>
          <w:szCs w:val="18"/>
        </w:rPr>
        <w:t xml:space="preserve"> convenios.</w:t>
      </w:r>
    </w:p>
    <w:p w:rsidR="00A54D75" w:rsidRPr="0073056A" w:rsidRDefault="00A54D75" w:rsidP="00A54D75">
      <w:pPr>
        <w:tabs>
          <w:tab w:val="left" w:pos="284"/>
        </w:tabs>
        <w:spacing w:after="0"/>
        <w:ind w:left="284"/>
        <w:jc w:val="both"/>
        <w:rPr>
          <w:rFonts w:ascii="Arial" w:hAnsi="Arial" w:cs="Arial"/>
          <w:sz w:val="18"/>
          <w:szCs w:val="18"/>
        </w:rPr>
      </w:pPr>
    </w:p>
    <w:tbl>
      <w:tblPr>
        <w:tblStyle w:val="Tablaconcuadrcula"/>
        <w:tblW w:w="0" w:type="auto"/>
        <w:tblInd w:w="2357" w:type="dxa"/>
        <w:tblLook w:val="04A0" w:firstRow="1" w:lastRow="0" w:firstColumn="1" w:lastColumn="0" w:noHBand="0" w:noVBand="1"/>
      </w:tblPr>
      <w:tblGrid>
        <w:gridCol w:w="1795"/>
        <w:gridCol w:w="1795"/>
        <w:gridCol w:w="1796"/>
        <w:gridCol w:w="1796"/>
        <w:gridCol w:w="1796"/>
      </w:tblGrid>
      <w:tr w:rsidR="00C013A1" w:rsidRPr="0073056A" w:rsidTr="00A54D75">
        <w:tc>
          <w:tcPr>
            <w:tcW w:w="1795" w:type="dxa"/>
            <w:vMerge w:val="restart"/>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C013A1" w:rsidRPr="0073056A" w:rsidRDefault="000C270E" w:rsidP="00A54D75">
            <w:pPr>
              <w:tabs>
                <w:tab w:val="left" w:pos="284"/>
              </w:tabs>
              <w:spacing w:line="276" w:lineRule="auto"/>
              <w:ind w:left="284"/>
              <w:jc w:val="center"/>
              <w:rPr>
                <w:rFonts w:ascii="Arial" w:hAnsi="Arial" w:cs="Arial"/>
                <w:b/>
                <w:sz w:val="18"/>
                <w:szCs w:val="18"/>
              </w:rPr>
            </w:pPr>
            <w:r>
              <w:rPr>
                <w:rFonts w:ascii="Arial" w:hAnsi="Arial" w:cs="Arial"/>
                <w:b/>
                <w:sz w:val="18"/>
                <w:szCs w:val="18"/>
              </w:rPr>
              <w:t>2015</w:t>
            </w:r>
          </w:p>
        </w:tc>
        <w:tc>
          <w:tcPr>
            <w:tcW w:w="1796" w:type="dxa"/>
            <w:vMerge w:val="restart"/>
            <w:shd w:val="pct10" w:color="auto" w:fill="auto"/>
            <w:vAlign w:val="center"/>
          </w:tcPr>
          <w:p w:rsidR="00C013A1" w:rsidRPr="0073056A" w:rsidRDefault="00C013A1" w:rsidP="000C270E">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0C270E">
              <w:rPr>
                <w:rFonts w:ascii="Arial" w:hAnsi="Arial" w:cs="Arial"/>
                <w:b/>
                <w:sz w:val="18"/>
                <w:szCs w:val="18"/>
              </w:rPr>
              <w:t>4</w:t>
            </w:r>
          </w:p>
        </w:tc>
        <w:tc>
          <w:tcPr>
            <w:tcW w:w="3592" w:type="dxa"/>
            <w:gridSpan w:val="2"/>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C013A1" w:rsidRPr="0073056A" w:rsidTr="00A54D75">
        <w:tc>
          <w:tcPr>
            <w:tcW w:w="1795"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5"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C013A1" w:rsidRPr="0073056A" w:rsidTr="007B2FE4">
        <w:tc>
          <w:tcPr>
            <w:tcW w:w="1795" w:type="dxa"/>
            <w:vAlign w:val="center"/>
          </w:tcPr>
          <w:p w:rsidR="00C013A1" w:rsidRPr="0073056A" w:rsidRDefault="00C013A1" w:rsidP="00A54D75">
            <w:pPr>
              <w:tabs>
                <w:tab w:val="left" w:pos="284"/>
              </w:tabs>
              <w:spacing w:line="276" w:lineRule="auto"/>
              <w:ind w:left="284"/>
              <w:jc w:val="center"/>
              <w:rPr>
                <w:rFonts w:ascii="Arial" w:hAnsi="Arial" w:cs="Arial"/>
                <w:sz w:val="18"/>
                <w:szCs w:val="18"/>
              </w:rPr>
            </w:pPr>
            <w:r w:rsidRPr="0073056A">
              <w:rPr>
                <w:rFonts w:ascii="Arial" w:hAnsi="Arial" w:cs="Arial"/>
                <w:sz w:val="18"/>
                <w:szCs w:val="18"/>
              </w:rPr>
              <w:t>Convenios Federales</w:t>
            </w:r>
          </w:p>
        </w:tc>
        <w:tc>
          <w:tcPr>
            <w:tcW w:w="1795" w:type="dxa"/>
            <w:vAlign w:val="center"/>
          </w:tcPr>
          <w:p w:rsidR="00C013A1" w:rsidRPr="0073056A" w:rsidRDefault="00C013A1" w:rsidP="008119D9">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62738F">
              <w:rPr>
                <w:rFonts w:ascii="Arial" w:hAnsi="Arial" w:cs="Arial"/>
                <w:sz w:val="18"/>
                <w:szCs w:val="18"/>
              </w:rPr>
              <w:t>4,1</w:t>
            </w:r>
            <w:r w:rsidR="008119D9">
              <w:rPr>
                <w:rFonts w:ascii="Arial" w:hAnsi="Arial" w:cs="Arial"/>
                <w:sz w:val="18"/>
                <w:szCs w:val="18"/>
              </w:rPr>
              <w:t>85</w:t>
            </w:r>
            <w:r w:rsidR="0062738F">
              <w:rPr>
                <w:rFonts w:ascii="Arial" w:hAnsi="Arial" w:cs="Arial"/>
                <w:sz w:val="18"/>
                <w:szCs w:val="18"/>
              </w:rPr>
              <w:t>,</w:t>
            </w:r>
            <w:r w:rsidR="008119D9">
              <w:rPr>
                <w:rFonts w:ascii="Arial" w:hAnsi="Arial" w:cs="Arial"/>
                <w:sz w:val="18"/>
                <w:szCs w:val="18"/>
              </w:rPr>
              <w:t>023</w:t>
            </w:r>
            <w:r w:rsidR="0062738F">
              <w:rPr>
                <w:rFonts w:ascii="Arial" w:hAnsi="Arial" w:cs="Arial"/>
                <w:sz w:val="18"/>
                <w:szCs w:val="18"/>
              </w:rPr>
              <w:t>,</w:t>
            </w:r>
            <w:r w:rsidR="008119D9">
              <w:rPr>
                <w:rFonts w:ascii="Arial" w:hAnsi="Arial" w:cs="Arial"/>
                <w:sz w:val="18"/>
                <w:szCs w:val="18"/>
              </w:rPr>
              <w:t>292</w:t>
            </w:r>
          </w:p>
        </w:tc>
        <w:tc>
          <w:tcPr>
            <w:tcW w:w="1796" w:type="dxa"/>
            <w:vAlign w:val="center"/>
          </w:tcPr>
          <w:p w:rsidR="00C013A1" w:rsidRPr="0073056A" w:rsidRDefault="00C013A1" w:rsidP="007B2FE4">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0C270E" w:rsidRPr="007B2FE4">
              <w:rPr>
                <w:rFonts w:ascii="Arial" w:hAnsi="Arial" w:cs="Arial"/>
                <w:sz w:val="18"/>
                <w:szCs w:val="20"/>
              </w:rPr>
              <w:t>3,989,375,191</w:t>
            </w:r>
          </w:p>
        </w:tc>
        <w:tc>
          <w:tcPr>
            <w:tcW w:w="1796" w:type="dxa"/>
            <w:vAlign w:val="center"/>
          </w:tcPr>
          <w:p w:rsidR="00C013A1" w:rsidRPr="0073056A" w:rsidRDefault="00C013A1" w:rsidP="008119D9">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8119D9">
              <w:rPr>
                <w:rFonts w:ascii="Arial" w:hAnsi="Arial" w:cs="Arial"/>
                <w:sz w:val="18"/>
                <w:szCs w:val="18"/>
              </w:rPr>
              <w:t>195</w:t>
            </w:r>
            <w:r w:rsidR="0062738F">
              <w:rPr>
                <w:rFonts w:ascii="Arial" w:hAnsi="Arial" w:cs="Arial"/>
                <w:sz w:val="18"/>
                <w:szCs w:val="18"/>
              </w:rPr>
              <w:t>,</w:t>
            </w:r>
            <w:r w:rsidR="008119D9">
              <w:rPr>
                <w:rFonts w:ascii="Arial" w:hAnsi="Arial" w:cs="Arial"/>
                <w:sz w:val="18"/>
                <w:szCs w:val="18"/>
              </w:rPr>
              <w:t>648</w:t>
            </w:r>
            <w:r w:rsidR="0062738F">
              <w:rPr>
                <w:rFonts w:ascii="Arial" w:hAnsi="Arial" w:cs="Arial"/>
                <w:sz w:val="18"/>
                <w:szCs w:val="18"/>
              </w:rPr>
              <w:t>,</w:t>
            </w:r>
            <w:r w:rsidR="008119D9">
              <w:rPr>
                <w:rFonts w:ascii="Arial" w:hAnsi="Arial" w:cs="Arial"/>
                <w:sz w:val="18"/>
                <w:szCs w:val="18"/>
              </w:rPr>
              <w:t>101</w:t>
            </w:r>
          </w:p>
        </w:tc>
        <w:tc>
          <w:tcPr>
            <w:tcW w:w="1796" w:type="dxa"/>
            <w:vAlign w:val="center"/>
          </w:tcPr>
          <w:p w:rsidR="00C013A1" w:rsidRPr="0073056A" w:rsidRDefault="008119D9" w:rsidP="008119D9">
            <w:pPr>
              <w:tabs>
                <w:tab w:val="left" w:pos="284"/>
              </w:tabs>
              <w:spacing w:line="276" w:lineRule="auto"/>
              <w:ind w:left="284"/>
              <w:jc w:val="center"/>
              <w:rPr>
                <w:rFonts w:ascii="Arial" w:hAnsi="Arial" w:cs="Arial"/>
                <w:sz w:val="18"/>
                <w:szCs w:val="18"/>
              </w:rPr>
            </w:pPr>
            <w:r>
              <w:rPr>
                <w:rFonts w:ascii="Arial" w:hAnsi="Arial" w:cs="Arial"/>
                <w:sz w:val="18"/>
                <w:szCs w:val="18"/>
              </w:rPr>
              <w:t>4.9</w:t>
            </w:r>
            <w:r w:rsidR="007B2FE4">
              <w:rPr>
                <w:rFonts w:ascii="Arial" w:hAnsi="Arial" w:cs="Arial"/>
                <w:sz w:val="18"/>
                <w:szCs w:val="18"/>
              </w:rPr>
              <w:t>%</w:t>
            </w:r>
          </w:p>
        </w:tc>
      </w:tr>
    </w:tbl>
    <w:p w:rsidR="00A70107" w:rsidRDefault="00A70107" w:rsidP="00A54D75">
      <w:pPr>
        <w:pStyle w:val="ROMANOS"/>
        <w:tabs>
          <w:tab w:val="clear" w:pos="720"/>
          <w:tab w:val="left" w:pos="284"/>
        </w:tabs>
        <w:spacing w:after="0" w:line="276" w:lineRule="auto"/>
        <w:ind w:left="284" w:firstLine="0"/>
        <w:rPr>
          <w:lang w:val="es-MX"/>
        </w:rPr>
      </w:pPr>
    </w:p>
    <w:p w:rsidR="00A54D75" w:rsidRDefault="00436E23" w:rsidP="00A54D75">
      <w:pPr>
        <w:pStyle w:val="ROMANOS"/>
        <w:tabs>
          <w:tab w:val="clear" w:pos="720"/>
          <w:tab w:val="left" w:pos="284"/>
        </w:tabs>
        <w:spacing w:after="0" w:line="276" w:lineRule="auto"/>
        <w:ind w:left="284" w:firstLine="0"/>
        <w:rPr>
          <w:lang w:val="es-MX"/>
        </w:rPr>
      </w:pPr>
      <w:r>
        <w:rPr>
          <w:lang w:val="es-MX"/>
        </w:rPr>
        <w:t>En este rubro se incluyen entre otros conceptos apoyo financiero a la UAT, Seguro Popular, Apoyos financieros a CECYTE  y COBAT, aportaciones  federales al REPSS, Contingencias Económicas para Inversión, Proyectos de Desarrollo Regional 2015, Cuota Social y Aportación Social del REPSS, Contingencias Económicas 2015, mismos conceptos que son obtenidos a través de la firma de convenios específicos con la Federación.</w:t>
      </w:r>
    </w:p>
    <w:p w:rsidR="00436E23" w:rsidRDefault="00436E23" w:rsidP="00A54D75">
      <w:pPr>
        <w:pStyle w:val="ROMANOS"/>
        <w:tabs>
          <w:tab w:val="clear" w:pos="720"/>
          <w:tab w:val="left" w:pos="284"/>
        </w:tabs>
        <w:spacing w:after="0" w:line="276" w:lineRule="auto"/>
        <w:ind w:left="284" w:firstLine="0"/>
        <w:rPr>
          <w:lang w:val="es-MX"/>
        </w:rPr>
      </w:pPr>
    </w:p>
    <w:p w:rsidR="00CB4CBC" w:rsidRDefault="00CB4CBC" w:rsidP="00A54D75">
      <w:pPr>
        <w:pStyle w:val="ROMANOS"/>
        <w:tabs>
          <w:tab w:val="clear" w:pos="720"/>
          <w:tab w:val="left" w:pos="284"/>
        </w:tabs>
        <w:spacing w:after="0" w:line="276" w:lineRule="auto"/>
        <w:ind w:left="284" w:firstLine="0"/>
        <w:rPr>
          <w:lang w:val="es-MX"/>
        </w:rPr>
      </w:pPr>
    </w:p>
    <w:p w:rsidR="00CB4CBC" w:rsidRDefault="00CB4CBC" w:rsidP="00A54D75">
      <w:pPr>
        <w:pStyle w:val="ROMANOS"/>
        <w:tabs>
          <w:tab w:val="clear" w:pos="720"/>
          <w:tab w:val="left" w:pos="284"/>
        </w:tabs>
        <w:spacing w:after="0" w:line="276" w:lineRule="auto"/>
        <w:ind w:left="284" w:firstLine="0"/>
        <w:rPr>
          <w:lang w:val="es-MX"/>
        </w:rPr>
      </w:pPr>
    </w:p>
    <w:p w:rsidR="00CB4CBC" w:rsidRDefault="00CB4CBC" w:rsidP="00A54D75">
      <w:pPr>
        <w:pStyle w:val="ROMANOS"/>
        <w:tabs>
          <w:tab w:val="clear" w:pos="720"/>
          <w:tab w:val="left" w:pos="284"/>
        </w:tabs>
        <w:spacing w:after="0" w:line="276" w:lineRule="auto"/>
        <w:ind w:left="284" w:firstLine="0"/>
        <w:rPr>
          <w:lang w:val="es-MX"/>
        </w:rPr>
      </w:pPr>
    </w:p>
    <w:p w:rsidR="00AE47E9" w:rsidRDefault="00AE47E9" w:rsidP="00A54D75">
      <w:pPr>
        <w:pStyle w:val="ROMANOS"/>
        <w:tabs>
          <w:tab w:val="clear" w:pos="720"/>
          <w:tab w:val="left" w:pos="284"/>
        </w:tabs>
        <w:spacing w:after="0" w:line="276" w:lineRule="auto"/>
        <w:ind w:left="284" w:firstLine="0"/>
        <w:rPr>
          <w:lang w:val="es-MX"/>
        </w:rPr>
      </w:pPr>
    </w:p>
    <w:p w:rsidR="00540418" w:rsidRPr="0073056A" w:rsidRDefault="00540418" w:rsidP="00A54D75">
      <w:pPr>
        <w:pStyle w:val="ROMANOS"/>
        <w:tabs>
          <w:tab w:val="clear" w:pos="720"/>
          <w:tab w:val="left" w:pos="284"/>
        </w:tabs>
        <w:spacing w:after="0" w:line="276" w:lineRule="auto"/>
        <w:ind w:left="284" w:firstLine="0"/>
        <w:rPr>
          <w:b/>
          <w:lang w:val="es-MX"/>
        </w:rPr>
      </w:pPr>
      <w:r w:rsidRPr="0073056A">
        <w:rPr>
          <w:b/>
          <w:lang w:val="es-MX"/>
        </w:rPr>
        <w:t>Gastos y Otras Pérdidas:</w:t>
      </w: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t>Servicios Personales</w:t>
      </w:r>
    </w:p>
    <w:p w:rsidR="00C013A1" w:rsidRDefault="00C013A1" w:rsidP="00A54D75">
      <w:pPr>
        <w:tabs>
          <w:tab w:val="left" w:pos="284"/>
        </w:tabs>
        <w:spacing w:after="0"/>
        <w:ind w:left="284"/>
        <w:jc w:val="both"/>
        <w:rPr>
          <w:rFonts w:ascii="Arial" w:hAnsi="Arial" w:cs="Arial"/>
          <w:sz w:val="18"/>
          <w:szCs w:val="18"/>
        </w:rPr>
      </w:pPr>
      <w:r w:rsidRPr="0073056A">
        <w:rPr>
          <w:rFonts w:ascii="Arial" w:hAnsi="Arial" w:cs="Arial"/>
          <w:sz w:val="18"/>
          <w:szCs w:val="18"/>
        </w:rPr>
        <w:t>Durante el ejercicio 201</w:t>
      </w:r>
      <w:r w:rsidR="000C270E">
        <w:rPr>
          <w:rFonts w:ascii="Arial" w:hAnsi="Arial" w:cs="Arial"/>
          <w:sz w:val="18"/>
          <w:szCs w:val="18"/>
        </w:rPr>
        <w:t>5</w:t>
      </w:r>
      <w:r w:rsidRPr="0073056A">
        <w:rPr>
          <w:rFonts w:ascii="Arial" w:hAnsi="Arial" w:cs="Arial"/>
          <w:sz w:val="18"/>
          <w:szCs w:val="18"/>
        </w:rPr>
        <w:t xml:space="preserve"> se </w:t>
      </w:r>
      <w:r w:rsidR="00A54D75" w:rsidRPr="0073056A">
        <w:rPr>
          <w:rFonts w:ascii="Arial" w:hAnsi="Arial" w:cs="Arial"/>
          <w:sz w:val="18"/>
          <w:szCs w:val="18"/>
        </w:rPr>
        <w:t>continuó</w:t>
      </w:r>
      <w:r w:rsidRPr="0073056A">
        <w:rPr>
          <w:rFonts w:ascii="Arial" w:hAnsi="Arial" w:cs="Arial"/>
          <w:sz w:val="18"/>
          <w:szCs w:val="18"/>
        </w:rPr>
        <w:t xml:space="preserve"> con la política de austeridad y de disciplina presupuestal, lográndose u</w:t>
      </w:r>
      <w:r w:rsidRPr="00137E93">
        <w:rPr>
          <w:rFonts w:ascii="Arial" w:hAnsi="Arial" w:cs="Arial"/>
          <w:sz w:val="18"/>
          <w:szCs w:val="18"/>
        </w:rPr>
        <w:t>na variación del</w:t>
      </w:r>
      <w:r w:rsidR="001A1472">
        <w:rPr>
          <w:rFonts w:ascii="Arial" w:hAnsi="Arial" w:cs="Arial"/>
          <w:sz w:val="18"/>
          <w:szCs w:val="18"/>
        </w:rPr>
        <w:t xml:space="preserve"> 4</w:t>
      </w:r>
      <w:r w:rsidR="003E2CAA">
        <w:rPr>
          <w:rFonts w:ascii="Arial" w:hAnsi="Arial" w:cs="Arial"/>
          <w:sz w:val="18"/>
          <w:szCs w:val="18"/>
        </w:rPr>
        <w:t>.3</w:t>
      </w:r>
      <w:r w:rsidRPr="00137E93">
        <w:rPr>
          <w:rFonts w:ascii="Arial" w:hAnsi="Arial" w:cs="Arial"/>
          <w:sz w:val="18"/>
          <w:szCs w:val="18"/>
        </w:rPr>
        <w:t>% con respecto al ejercicio 201</w:t>
      </w:r>
      <w:r w:rsidR="000C270E">
        <w:rPr>
          <w:rFonts w:ascii="Arial" w:hAnsi="Arial" w:cs="Arial"/>
          <w:sz w:val="18"/>
          <w:szCs w:val="18"/>
        </w:rPr>
        <w:t>4</w:t>
      </w:r>
      <w:r w:rsidRPr="00137E93">
        <w:rPr>
          <w:rFonts w:ascii="Arial" w:hAnsi="Arial" w:cs="Arial"/>
          <w:sz w:val="18"/>
          <w:szCs w:val="18"/>
        </w:rPr>
        <w:t xml:space="preserve">, lo que se traduce en un </w:t>
      </w:r>
      <w:r w:rsidR="001A1472">
        <w:rPr>
          <w:rFonts w:ascii="Arial" w:hAnsi="Arial" w:cs="Arial"/>
          <w:sz w:val="18"/>
          <w:szCs w:val="18"/>
        </w:rPr>
        <w:t>incremento</w:t>
      </w:r>
      <w:r w:rsidR="00C20958">
        <w:rPr>
          <w:rFonts w:ascii="Arial" w:hAnsi="Arial" w:cs="Arial"/>
          <w:sz w:val="18"/>
          <w:szCs w:val="18"/>
        </w:rPr>
        <w:t xml:space="preserve"> </w:t>
      </w:r>
      <w:r w:rsidRPr="00137E93">
        <w:rPr>
          <w:rFonts w:ascii="Arial" w:hAnsi="Arial" w:cs="Arial"/>
          <w:sz w:val="18"/>
          <w:szCs w:val="18"/>
        </w:rPr>
        <w:t xml:space="preserve">de </w:t>
      </w:r>
      <w:r w:rsidR="00436E23">
        <w:rPr>
          <w:rFonts w:ascii="Arial" w:hAnsi="Arial" w:cs="Arial"/>
          <w:sz w:val="18"/>
          <w:szCs w:val="18"/>
        </w:rPr>
        <w:t xml:space="preserve">tan sólo </w:t>
      </w:r>
      <w:r w:rsidRPr="00137E93">
        <w:rPr>
          <w:rFonts w:ascii="Arial" w:hAnsi="Arial" w:cs="Arial"/>
          <w:sz w:val="18"/>
          <w:szCs w:val="18"/>
        </w:rPr>
        <w:t>$</w:t>
      </w:r>
      <w:r w:rsidR="00A70107" w:rsidRPr="00137E93">
        <w:rPr>
          <w:rFonts w:ascii="Arial" w:hAnsi="Arial" w:cs="Arial"/>
          <w:sz w:val="18"/>
          <w:szCs w:val="18"/>
        </w:rPr>
        <w:t xml:space="preserve"> </w:t>
      </w:r>
      <w:r w:rsidR="00C20958">
        <w:rPr>
          <w:rFonts w:ascii="Arial" w:hAnsi="Arial" w:cs="Arial"/>
          <w:sz w:val="18"/>
          <w:szCs w:val="18"/>
        </w:rPr>
        <w:t>8</w:t>
      </w:r>
      <w:r w:rsidR="001A1472">
        <w:rPr>
          <w:rFonts w:ascii="Arial" w:hAnsi="Arial" w:cs="Arial"/>
          <w:sz w:val="18"/>
          <w:szCs w:val="18"/>
        </w:rPr>
        <w:t>3</w:t>
      </w:r>
      <w:proofErr w:type="gramStart"/>
      <w:r w:rsidR="00C20958">
        <w:rPr>
          <w:rFonts w:ascii="Arial" w:hAnsi="Arial" w:cs="Arial"/>
          <w:sz w:val="18"/>
          <w:szCs w:val="18"/>
        </w:rPr>
        <w:t>,</w:t>
      </w:r>
      <w:r w:rsidR="001A1472">
        <w:rPr>
          <w:rFonts w:ascii="Arial" w:hAnsi="Arial" w:cs="Arial"/>
          <w:sz w:val="18"/>
          <w:szCs w:val="18"/>
        </w:rPr>
        <w:t>203</w:t>
      </w:r>
      <w:r w:rsidR="00C20958">
        <w:rPr>
          <w:rFonts w:ascii="Arial" w:hAnsi="Arial" w:cs="Arial"/>
          <w:sz w:val="18"/>
          <w:szCs w:val="18"/>
        </w:rPr>
        <w:t>,</w:t>
      </w:r>
      <w:r w:rsidR="001A1472">
        <w:rPr>
          <w:rFonts w:ascii="Arial" w:hAnsi="Arial" w:cs="Arial"/>
          <w:sz w:val="18"/>
          <w:szCs w:val="18"/>
        </w:rPr>
        <w:t>055</w:t>
      </w:r>
      <w:proofErr w:type="gramEnd"/>
      <w:r w:rsidR="003E2CAA">
        <w:rPr>
          <w:rFonts w:ascii="Arial" w:hAnsi="Arial" w:cs="Arial"/>
          <w:sz w:val="18"/>
          <w:szCs w:val="18"/>
        </w:rPr>
        <w:t xml:space="preserve">, </w:t>
      </w:r>
      <w:r w:rsidR="001A1472">
        <w:rPr>
          <w:rFonts w:ascii="Arial" w:hAnsi="Arial" w:cs="Arial"/>
          <w:sz w:val="18"/>
          <w:szCs w:val="18"/>
        </w:rPr>
        <w:t>en servicios personales, destacándose que se ha llevado a cabo</w:t>
      </w:r>
      <w:r w:rsidR="003E2CAA">
        <w:rPr>
          <w:rFonts w:ascii="Arial" w:hAnsi="Arial" w:cs="Arial"/>
          <w:sz w:val="18"/>
          <w:szCs w:val="18"/>
        </w:rPr>
        <w:t xml:space="preserve"> simplificación de procesos, extinción de fideicomisos y fusión de Secretarías de Estado</w:t>
      </w:r>
      <w:r w:rsidR="001A1472">
        <w:rPr>
          <w:rFonts w:ascii="Arial" w:hAnsi="Arial" w:cs="Arial"/>
          <w:sz w:val="18"/>
          <w:szCs w:val="18"/>
        </w:rPr>
        <w:t>, con la finalidad de evitar la duplicidad de funciones y adelgazar la plantilla laboral</w:t>
      </w:r>
      <w:r w:rsidRPr="00137E93">
        <w:rPr>
          <w:rFonts w:ascii="Arial" w:hAnsi="Arial" w:cs="Arial"/>
          <w:sz w:val="18"/>
          <w:szCs w:val="18"/>
        </w:rPr>
        <w:t>.</w:t>
      </w:r>
    </w:p>
    <w:p w:rsidR="00A54D75" w:rsidRDefault="00A54D75" w:rsidP="00A54D75">
      <w:pPr>
        <w:tabs>
          <w:tab w:val="left" w:pos="284"/>
        </w:tabs>
        <w:spacing w:after="0"/>
        <w:ind w:left="284"/>
        <w:jc w:val="both"/>
        <w:rPr>
          <w:rFonts w:ascii="Arial" w:hAnsi="Arial" w:cs="Arial"/>
          <w:sz w:val="18"/>
          <w:szCs w:val="18"/>
        </w:rPr>
      </w:pPr>
    </w:p>
    <w:p w:rsidR="00CB4CBC" w:rsidRPr="0073056A" w:rsidRDefault="00CB4CBC"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t>Materiales y Suministros</w:t>
      </w:r>
    </w:p>
    <w:p w:rsidR="00C013A1" w:rsidRDefault="00C013A1" w:rsidP="00A54D75">
      <w:pPr>
        <w:tabs>
          <w:tab w:val="left" w:pos="284"/>
        </w:tabs>
        <w:spacing w:after="0"/>
        <w:ind w:left="284"/>
        <w:jc w:val="both"/>
        <w:rPr>
          <w:rFonts w:ascii="Arial" w:hAnsi="Arial" w:cs="Arial"/>
          <w:sz w:val="18"/>
          <w:szCs w:val="18"/>
        </w:rPr>
      </w:pPr>
      <w:r w:rsidRPr="0073056A">
        <w:rPr>
          <w:rFonts w:ascii="Arial" w:hAnsi="Arial" w:cs="Arial"/>
          <w:sz w:val="18"/>
          <w:szCs w:val="18"/>
        </w:rPr>
        <w:t>Este concepto está compuesto por insumos y suministros necesarios para la prestación de bienes y servicios de derecho público, por parte de las Dependencias del Ejecutivo, incluyendo aquellos necesarios para actividades administrativas</w:t>
      </w:r>
      <w:r w:rsidR="003E2CAA">
        <w:rPr>
          <w:rFonts w:ascii="Arial" w:hAnsi="Arial" w:cs="Arial"/>
          <w:sz w:val="18"/>
          <w:szCs w:val="18"/>
        </w:rPr>
        <w:t>, mostrando una disminución respecto del 2014 derivado del uso eficaz y eficiente de los recursos materiales</w:t>
      </w:r>
      <w:r w:rsidRPr="0073056A">
        <w:rPr>
          <w:rFonts w:ascii="Arial" w:hAnsi="Arial" w:cs="Arial"/>
          <w:sz w:val="18"/>
          <w:szCs w:val="18"/>
        </w:rPr>
        <w:t>.</w:t>
      </w:r>
    </w:p>
    <w:p w:rsidR="00A54D75" w:rsidRDefault="00A54D75" w:rsidP="00A54D75">
      <w:pPr>
        <w:tabs>
          <w:tab w:val="left" w:pos="284"/>
        </w:tabs>
        <w:spacing w:after="0"/>
        <w:ind w:left="284"/>
        <w:jc w:val="both"/>
        <w:rPr>
          <w:rFonts w:ascii="Arial" w:hAnsi="Arial" w:cs="Arial"/>
          <w:sz w:val="18"/>
          <w:szCs w:val="18"/>
        </w:rPr>
      </w:pPr>
    </w:p>
    <w:tbl>
      <w:tblPr>
        <w:tblStyle w:val="Tablaconcuadrcula"/>
        <w:tblW w:w="0" w:type="auto"/>
        <w:tblInd w:w="2357" w:type="dxa"/>
        <w:tblLook w:val="04A0" w:firstRow="1" w:lastRow="0" w:firstColumn="1" w:lastColumn="0" w:noHBand="0" w:noVBand="1"/>
      </w:tblPr>
      <w:tblGrid>
        <w:gridCol w:w="1795"/>
        <w:gridCol w:w="1795"/>
        <w:gridCol w:w="1796"/>
        <w:gridCol w:w="1796"/>
        <w:gridCol w:w="1796"/>
      </w:tblGrid>
      <w:tr w:rsidR="003E2CAA" w:rsidRPr="0073056A" w:rsidTr="003E2CAA">
        <w:tc>
          <w:tcPr>
            <w:tcW w:w="1795" w:type="dxa"/>
            <w:vMerge w:val="restart"/>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r>
              <w:rPr>
                <w:rFonts w:ascii="Arial" w:hAnsi="Arial" w:cs="Arial"/>
                <w:b/>
                <w:sz w:val="18"/>
                <w:szCs w:val="18"/>
              </w:rPr>
              <w:t>2015</w:t>
            </w:r>
          </w:p>
        </w:tc>
        <w:tc>
          <w:tcPr>
            <w:tcW w:w="1796" w:type="dxa"/>
            <w:vMerge w:val="restart"/>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Pr>
                <w:rFonts w:ascii="Arial" w:hAnsi="Arial" w:cs="Arial"/>
                <w:b/>
                <w:sz w:val="18"/>
                <w:szCs w:val="18"/>
              </w:rPr>
              <w:t>4</w:t>
            </w:r>
          </w:p>
        </w:tc>
        <w:tc>
          <w:tcPr>
            <w:tcW w:w="3592" w:type="dxa"/>
            <w:gridSpan w:val="2"/>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3E2CAA" w:rsidRPr="0073056A" w:rsidTr="003E2CAA">
        <w:tc>
          <w:tcPr>
            <w:tcW w:w="1795" w:type="dxa"/>
            <w:vMerge/>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p>
        </w:tc>
        <w:tc>
          <w:tcPr>
            <w:tcW w:w="1795" w:type="dxa"/>
            <w:vMerge/>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p>
        </w:tc>
        <w:tc>
          <w:tcPr>
            <w:tcW w:w="1796" w:type="dxa"/>
            <w:vMerge/>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p>
        </w:tc>
        <w:tc>
          <w:tcPr>
            <w:tcW w:w="1796" w:type="dxa"/>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3E2CAA" w:rsidRPr="0073056A" w:rsidTr="003E2CAA">
        <w:tc>
          <w:tcPr>
            <w:tcW w:w="1795" w:type="dxa"/>
            <w:vAlign w:val="center"/>
          </w:tcPr>
          <w:p w:rsidR="003E2CAA" w:rsidRPr="0073056A" w:rsidRDefault="003E2CAA" w:rsidP="003E2CAA">
            <w:pPr>
              <w:tabs>
                <w:tab w:val="left" w:pos="284"/>
              </w:tabs>
              <w:spacing w:line="276" w:lineRule="auto"/>
              <w:ind w:left="284"/>
              <w:jc w:val="center"/>
              <w:rPr>
                <w:rFonts w:ascii="Arial" w:hAnsi="Arial" w:cs="Arial"/>
                <w:sz w:val="18"/>
                <w:szCs w:val="18"/>
              </w:rPr>
            </w:pPr>
            <w:r>
              <w:rPr>
                <w:rFonts w:ascii="Arial" w:hAnsi="Arial" w:cs="Arial"/>
                <w:sz w:val="18"/>
                <w:szCs w:val="18"/>
              </w:rPr>
              <w:t>Materiales y Suministros</w:t>
            </w:r>
          </w:p>
        </w:tc>
        <w:tc>
          <w:tcPr>
            <w:tcW w:w="1795" w:type="dxa"/>
            <w:vAlign w:val="center"/>
          </w:tcPr>
          <w:p w:rsidR="003E2CAA" w:rsidRPr="0073056A" w:rsidRDefault="003E2CAA" w:rsidP="003E2CAA">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162,551,387</w:t>
            </w:r>
          </w:p>
        </w:tc>
        <w:tc>
          <w:tcPr>
            <w:tcW w:w="1796" w:type="dxa"/>
            <w:vAlign w:val="center"/>
          </w:tcPr>
          <w:p w:rsidR="003E2CAA" w:rsidRPr="0073056A" w:rsidRDefault="003E2CAA" w:rsidP="003E2CAA">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210</w:t>
            </w:r>
            <w:r w:rsidRPr="007B2FE4">
              <w:rPr>
                <w:rFonts w:ascii="Arial" w:hAnsi="Arial" w:cs="Arial"/>
                <w:sz w:val="18"/>
                <w:szCs w:val="20"/>
              </w:rPr>
              <w:t>,</w:t>
            </w:r>
            <w:r>
              <w:rPr>
                <w:rFonts w:ascii="Arial" w:hAnsi="Arial" w:cs="Arial"/>
                <w:sz w:val="18"/>
                <w:szCs w:val="20"/>
              </w:rPr>
              <w:t>954</w:t>
            </w:r>
            <w:r w:rsidRPr="007B2FE4">
              <w:rPr>
                <w:rFonts w:ascii="Arial" w:hAnsi="Arial" w:cs="Arial"/>
                <w:sz w:val="18"/>
                <w:szCs w:val="20"/>
              </w:rPr>
              <w:t>,</w:t>
            </w:r>
            <w:r>
              <w:rPr>
                <w:rFonts w:ascii="Arial" w:hAnsi="Arial" w:cs="Arial"/>
                <w:sz w:val="18"/>
                <w:szCs w:val="20"/>
              </w:rPr>
              <w:t>643</w:t>
            </w:r>
          </w:p>
        </w:tc>
        <w:tc>
          <w:tcPr>
            <w:tcW w:w="1796" w:type="dxa"/>
            <w:vAlign w:val="center"/>
          </w:tcPr>
          <w:p w:rsidR="003E2CAA" w:rsidRPr="0073056A" w:rsidRDefault="003E2CAA" w:rsidP="003E2CAA">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-48,403,256</w:t>
            </w:r>
          </w:p>
        </w:tc>
        <w:tc>
          <w:tcPr>
            <w:tcW w:w="1796" w:type="dxa"/>
            <w:vAlign w:val="center"/>
          </w:tcPr>
          <w:p w:rsidR="003E2CAA" w:rsidRPr="0073056A" w:rsidRDefault="00D66E68" w:rsidP="003E2CAA">
            <w:pPr>
              <w:tabs>
                <w:tab w:val="left" w:pos="284"/>
              </w:tabs>
              <w:spacing w:line="276" w:lineRule="auto"/>
              <w:ind w:left="284"/>
              <w:jc w:val="center"/>
              <w:rPr>
                <w:rFonts w:ascii="Arial" w:hAnsi="Arial" w:cs="Arial"/>
                <w:sz w:val="18"/>
                <w:szCs w:val="18"/>
              </w:rPr>
            </w:pPr>
            <w:r>
              <w:rPr>
                <w:rFonts w:ascii="Arial" w:hAnsi="Arial" w:cs="Arial"/>
                <w:sz w:val="18"/>
                <w:szCs w:val="18"/>
              </w:rPr>
              <w:t>-</w:t>
            </w:r>
            <w:r w:rsidR="003E2CAA">
              <w:rPr>
                <w:rFonts w:ascii="Arial" w:hAnsi="Arial" w:cs="Arial"/>
                <w:sz w:val="18"/>
                <w:szCs w:val="18"/>
              </w:rPr>
              <w:t>22.9%</w:t>
            </w:r>
          </w:p>
        </w:tc>
      </w:tr>
    </w:tbl>
    <w:p w:rsidR="003E2CAA" w:rsidRDefault="003E2CAA" w:rsidP="00A54D75">
      <w:pPr>
        <w:tabs>
          <w:tab w:val="left" w:pos="284"/>
        </w:tabs>
        <w:spacing w:after="0"/>
        <w:ind w:left="284"/>
        <w:jc w:val="both"/>
        <w:rPr>
          <w:rFonts w:ascii="Arial" w:hAnsi="Arial" w:cs="Arial"/>
          <w:sz w:val="18"/>
          <w:szCs w:val="18"/>
        </w:rPr>
      </w:pPr>
    </w:p>
    <w:p w:rsidR="00CB4CBC" w:rsidRPr="0073056A" w:rsidRDefault="00CB4CBC"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t>Servicios Generales</w:t>
      </w:r>
    </w:p>
    <w:p w:rsidR="00A54D75" w:rsidRPr="0073056A" w:rsidRDefault="00C013A1" w:rsidP="00A54D75">
      <w:pPr>
        <w:tabs>
          <w:tab w:val="left" w:pos="284"/>
        </w:tabs>
        <w:spacing w:after="0"/>
        <w:ind w:left="284"/>
        <w:jc w:val="both"/>
        <w:rPr>
          <w:rFonts w:ascii="Arial" w:hAnsi="Arial" w:cs="Arial"/>
          <w:sz w:val="18"/>
          <w:szCs w:val="18"/>
        </w:rPr>
      </w:pPr>
      <w:r w:rsidRPr="0073056A">
        <w:rPr>
          <w:rFonts w:ascii="Arial" w:hAnsi="Arial" w:cs="Arial"/>
          <w:sz w:val="18"/>
          <w:szCs w:val="18"/>
        </w:rPr>
        <w:t>El saldo representa el gasto realizado por las dependencias en servicios, necesarios para el desarrollo de las actividades vinculadas al sector público</w:t>
      </w:r>
      <w:r w:rsidR="007C53EF">
        <w:rPr>
          <w:rFonts w:ascii="Arial" w:hAnsi="Arial" w:cs="Arial"/>
          <w:sz w:val="18"/>
          <w:szCs w:val="18"/>
        </w:rPr>
        <w:t>, en los que también se lograron disminuciones por la optimización de procesos</w:t>
      </w:r>
      <w:r w:rsidRPr="0073056A">
        <w:rPr>
          <w:rFonts w:ascii="Arial" w:hAnsi="Arial" w:cs="Arial"/>
          <w:sz w:val="18"/>
          <w:szCs w:val="18"/>
        </w:rPr>
        <w:t>.</w:t>
      </w:r>
    </w:p>
    <w:p w:rsidR="00D14208" w:rsidRDefault="00D14208" w:rsidP="00A54D75">
      <w:pPr>
        <w:tabs>
          <w:tab w:val="left" w:pos="284"/>
        </w:tabs>
        <w:spacing w:after="0"/>
        <w:ind w:left="284"/>
        <w:jc w:val="both"/>
        <w:rPr>
          <w:rFonts w:ascii="Arial" w:hAnsi="Arial" w:cs="Arial"/>
          <w:sz w:val="18"/>
          <w:szCs w:val="18"/>
        </w:rPr>
      </w:pPr>
    </w:p>
    <w:tbl>
      <w:tblPr>
        <w:tblStyle w:val="Tablaconcuadrcula"/>
        <w:tblW w:w="0" w:type="auto"/>
        <w:tblInd w:w="2357" w:type="dxa"/>
        <w:tblLook w:val="04A0" w:firstRow="1" w:lastRow="0" w:firstColumn="1" w:lastColumn="0" w:noHBand="0" w:noVBand="1"/>
      </w:tblPr>
      <w:tblGrid>
        <w:gridCol w:w="1795"/>
        <w:gridCol w:w="1795"/>
        <w:gridCol w:w="1796"/>
        <w:gridCol w:w="1796"/>
        <w:gridCol w:w="1796"/>
      </w:tblGrid>
      <w:tr w:rsidR="003E2CAA" w:rsidRPr="0073056A" w:rsidTr="003E2CAA">
        <w:tc>
          <w:tcPr>
            <w:tcW w:w="1795" w:type="dxa"/>
            <w:vMerge w:val="restart"/>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r>
              <w:rPr>
                <w:rFonts w:ascii="Arial" w:hAnsi="Arial" w:cs="Arial"/>
                <w:b/>
                <w:sz w:val="18"/>
                <w:szCs w:val="18"/>
              </w:rPr>
              <w:t>2015</w:t>
            </w:r>
          </w:p>
        </w:tc>
        <w:tc>
          <w:tcPr>
            <w:tcW w:w="1796" w:type="dxa"/>
            <w:vMerge w:val="restart"/>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Pr>
                <w:rFonts w:ascii="Arial" w:hAnsi="Arial" w:cs="Arial"/>
                <w:b/>
                <w:sz w:val="18"/>
                <w:szCs w:val="18"/>
              </w:rPr>
              <w:t>4</w:t>
            </w:r>
          </w:p>
        </w:tc>
        <w:tc>
          <w:tcPr>
            <w:tcW w:w="3592" w:type="dxa"/>
            <w:gridSpan w:val="2"/>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3E2CAA" w:rsidRPr="0073056A" w:rsidTr="003E2CAA">
        <w:tc>
          <w:tcPr>
            <w:tcW w:w="1795" w:type="dxa"/>
            <w:vMerge/>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p>
        </w:tc>
        <w:tc>
          <w:tcPr>
            <w:tcW w:w="1795" w:type="dxa"/>
            <w:vMerge/>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p>
        </w:tc>
        <w:tc>
          <w:tcPr>
            <w:tcW w:w="1796" w:type="dxa"/>
            <w:vMerge/>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p>
        </w:tc>
        <w:tc>
          <w:tcPr>
            <w:tcW w:w="1796" w:type="dxa"/>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3E2CAA" w:rsidRPr="0073056A" w:rsidRDefault="003E2CAA" w:rsidP="003E2CAA">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3E2CAA" w:rsidRPr="0073056A" w:rsidTr="003E2CAA">
        <w:tc>
          <w:tcPr>
            <w:tcW w:w="1795" w:type="dxa"/>
            <w:vAlign w:val="center"/>
          </w:tcPr>
          <w:p w:rsidR="003E2CAA" w:rsidRPr="0073056A" w:rsidRDefault="003E2CAA" w:rsidP="003E2CAA">
            <w:pPr>
              <w:tabs>
                <w:tab w:val="left" w:pos="284"/>
              </w:tabs>
              <w:spacing w:line="276" w:lineRule="auto"/>
              <w:ind w:left="284"/>
              <w:jc w:val="center"/>
              <w:rPr>
                <w:rFonts w:ascii="Arial" w:hAnsi="Arial" w:cs="Arial"/>
                <w:sz w:val="18"/>
                <w:szCs w:val="18"/>
              </w:rPr>
            </w:pPr>
            <w:r>
              <w:rPr>
                <w:rFonts w:ascii="Arial" w:hAnsi="Arial" w:cs="Arial"/>
                <w:sz w:val="18"/>
                <w:szCs w:val="18"/>
              </w:rPr>
              <w:t>Servicios Generales</w:t>
            </w:r>
          </w:p>
        </w:tc>
        <w:tc>
          <w:tcPr>
            <w:tcW w:w="1795" w:type="dxa"/>
            <w:vAlign w:val="center"/>
          </w:tcPr>
          <w:p w:rsidR="003E2CAA" w:rsidRPr="0073056A" w:rsidRDefault="003E2CAA" w:rsidP="00D66E68">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w:t>
            </w:r>
            <w:r w:rsidR="00D66E68">
              <w:rPr>
                <w:rFonts w:ascii="Arial" w:hAnsi="Arial" w:cs="Arial"/>
                <w:sz w:val="18"/>
                <w:szCs w:val="18"/>
              </w:rPr>
              <w:t>284</w:t>
            </w:r>
            <w:r>
              <w:rPr>
                <w:rFonts w:ascii="Arial" w:hAnsi="Arial" w:cs="Arial"/>
                <w:sz w:val="18"/>
                <w:szCs w:val="18"/>
              </w:rPr>
              <w:t>,</w:t>
            </w:r>
            <w:r w:rsidR="00D66E68">
              <w:rPr>
                <w:rFonts w:ascii="Arial" w:hAnsi="Arial" w:cs="Arial"/>
                <w:sz w:val="18"/>
                <w:szCs w:val="18"/>
              </w:rPr>
              <w:t>212</w:t>
            </w:r>
            <w:r>
              <w:rPr>
                <w:rFonts w:ascii="Arial" w:hAnsi="Arial" w:cs="Arial"/>
                <w:sz w:val="18"/>
                <w:szCs w:val="18"/>
              </w:rPr>
              <w:t>,</w:t>
            </w:r>
            <w:r w:rsidR="00D66E68">
              <w:rPr>
                <w:rFonts w:ascii="Arial" w:hAnsi="Arial" w:cs="Arial"/>
                <w:sz w:val="18"/>
                <w:szCs w:val="18"/>
              </w:rPr>
              <w:t>810</w:t>
            </w:r>
          </w:p>
        </w:tc>
        <w:tc>
          <w:tcPr>
            <w:tcW w:w="1796" w:type="dxa"/>
            <w:vAlign w:val="center"/>
          </w:tcPr>
          <w:p w:rsidR="003E2CAA" w:rsidRPr="0073056A" w:rsidRDefault="003E2CAA" w:rsidP="00D66E68">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sidR="00D66E68">
              <w:rPr>
                <w:rFonts w:ascii="Arial" w:hAnsi="Arial" w:cs="Arial"/>
                <w:sz w:val="18"/>
                <w:szCs w:val="18"/>
              </w:rPr>
              <w:t xml:space="preserve"> 377</w:t>
            </w:r>
            <w:r w:rsidRPr="007B2FE4">
              <w:rPr>
                <w:rFonts w:ascii="Arial" w:hAnsi="Arial" w:cs="Arial"/>
                <w:sz w:val="18"/>
                <w:szCs w:val="20"/>
              </w:rPr>
              <w:t>,</w:t>
            </w:r>
            <w:r>
              <w:rPr>
                <w:rFonts w:ascii="Arial" w:hAnsi="Arial" w:cs="Arial"/>
                <w:sz w:val="18"/>
                <w:szCs w:val="20"/>
              </w:rPr>
              <w:t>4</w:t>
            </w:r>
            <w:r w:rsidR="00D66E68">
              <w:rPr>
                <w:rFonts w:ascii="Arial" w:hAnsi="Arial" w:cs="Arial"/>
                <w:sz w:val="18"/>
                <w:szCs w:val="20"/>
              </w:rPr>
              <w:t>58</w:t>
            </w:r>
            <w:r w:rsidRPr="007B2FE4">
              <w:rPr>
                <w:rFonts w:ascii="Arial" w:hAnsi="Arial" w:cs="Arial"/>
                <w:sz w:val="18"/>
                <w:szCs w:val="20"/>
              </w:rPr>
              <w:t>,</w:t>
            </w:r>
            <w:r w:rsidR="00D66E68">
              <w:rPr>
                <w:rFonts w:ascii="Arial" w:hAnsi="Arial" w:cs="Arial"/>
                <w:sz w:val="18"/>
                <w:szCs w:val="20"/>
              </w:rPr>
              <w:t>122</w:t>
            </w:r>
          </w:p>
        </w:tc>
        <w:tc>
          <w:tcPr>
            <w:tcW w:w="1796" w:type="dxa"/>
            <w:vAlign w:val="center"/>
          </w:tcPr>
          <w:p w:rsidR="003E2CAA" w:rsidRPr="0073056A" w:rsidRDefault="003E2CAA" w:rsidP="00D66E68">
            <w:pPr>
              <w:tabs>
                <w:tab w:val="left" w:pos="284"/>
              </w:tabs>
              <w:spacing w:line="276" w:lineRule="auto"/>
              <w:ind w:left="284"/>
              <w:jc w:val="right"/>
              <w:rPr>
                <w:rFonts w:ascii="Arial" w:hAnsi="Arial" w:cs="Arial"/>
                <w:sz w:val="18"/>
                <w:szCs w:val="18"/>
              </w:rPr>
            </w:pPr>
            <w:r w:rsidRPr="0073056A">
              <w:rPr>
                <w:rFonts w:ascii="Arial" w:hAnsi="Arial" w:cs="Arial"/>
                <w:sz w:val="18"/>
                <w:szCs w:val="18"/>
              </w:rPr>
              <w:t>$</w:t>
            </w:r>
            <w:r>
              <w:rPr>
                <w:rFonts w:ascii="Arial" w:hAnsi="Arial" w:cs="Arial"/>
                <w:sz w:val="18"/>
                <w:szCs w:val="18"/>
              </w:rPr>
              <w:t xml:space="preserve"> -</w:t>
            </w:r>
            <w:r w:rsidR="00D66E68">
              <w:rPr>
                <w:rFonts w:ascii="Arial" w:hAnsi="Arial" w:cs="Arial"/>
                <w:sz w:val="18"/>
                <w:szCs w:val="18"/>
              </w:rPr>
              <w:t>93</w:t>
            </w:r>
            <w:r>
              <w:rPr>
                <w:rFonts w:ascii="Arial" w:hAnsi="Arial" w:cs="Arial"/>
                <w:sz w:val="18"/>
                <w:szCs w:val="18"/>
              </w:rPr>
              <w:t>,</w:t>
            </w:r>
            <w:r w:rsidR="00D66E68">
              <w:rPr>
                <w:rFonts w:ascii="Arial" w:hAnsi="Arial" w:cs="Arial"/>
                <w:sz w:val="18"/>
                <w:szCs w:val="18"/>
              </w:rPr>
              <w:t>245</w:t>
            </w:r>
            <w:r>
              <w:rPr>
                <w:rFonts w:ascii="Arial" w:hAnsi="Arial" w:cs="Arial"/>
                <w:sz w:val="18"/>
                <w:szCs w:val="18"/>
              </w:rPr>
              <w:t>,</w:t>
            </w:r>
            <w:r w:rsidR="00D66E68">
              <w:rPr>
                <w:rFonts w:ascii="Arial" w:hAnsi="Arial" w:cs="Arial"/>
                <w:sz w:val="18"/>
                <w:szCs w:val="18"/>
              </w:rPr>
              <w:t>312</w:t>
            </w:r>
          </w:p>
        </w:tc>
        <w:tc>
          <w:tcPr>
            <w:tcW w:w="1796" w:type="dxa"/>
            <w:vAlign w:val="center"/>
          </w:tcPr>
          <w:p w:rsidR="003E2CAA" w:rsidRPr="0073056A" w:rsidRDefault="00D66E68" w:rsidP="00D66E68">
            <w:pPr>
              <w:tabs>
                <w:tab w:val="left" w:pos="284"/>
              </w:tabs>
              <w:spacing w:line="276" w:lineRule="auto"/>
              <w:ind w:left="284"/>
              <w:jc w:val="center"/>
              <w:rPr>
                <w:rFonts w:ascii="Arial" w:hAnsi="Arial" w:cs="Arial"/>
                <w:sz w:val="18"/>
                <w:szCs w:val="18"/>
              </w:rPr>
            </w:pPr>
            <w:r>
              <w:rPr>
                <w:rFonts w:ascii="Arial" w:hAnsi="Arial" w:cs="Arial"/>
                <w:sz w:val="18"/>
                <w:szCs w:val="18"/>
              </w:rPr>
              <w:t>-</w:t>
            </w:r>
            <w:r w:rsidR="003E2CAA">
              <w:rPr>
                <w:rFonts w:ascii="Arial" w:hAnsi="Arial" w:cs="Arial"/>
                <w:sz w:val="18"/>
                <w:szCs w:val="18"/>
              </w:rPr>
              <w:t>2</w:t>
            </w:r>
            <w:r>
              <w:rPr>
                <w:rFonts w:ascii="Arial" w:hAnsi="Arial" w:cs="Arial"/>
                <w:sz w:val="18"/>
                <w:szCs w:val="18"/>
              </w:rPr>
              <w:t>4</w:t>
            </w:r>
            <w:r w:rsidR="003E2CAA">
              <w:rPr>
                <w:rFonts w:ascii="Arial" w:hAnsi="Arial" w:cs="Arial"/>
                <w:sz w:val="18"/>
                <w:szCs w:val="18"/>
              </w:rPr>
              <w:t>.</w:t>
            </w:r>
            <w:r>
              <w:rPr>
                <w:rFonts w:ascii="Arial" w:hAnsi="Arial" w:cs="Arial"/>
                <w:sz w:val="18"/>
                <w:szCs w:val="18"/>
              </w:rPr>
              <w:t>7</w:t>
            </w:r>
            <w:r w:rsidR="003E2CAA">
              <w:rPr>
                <w:rFonts w:ascii="Arial" w:hAnsi="Arial" w:cs="Arial"/>
                <w:sz w:val="18"/>
                <w:szCs w:val="18"/>
              </w:rPr>
              <w:t>%</w:t>
            </w:r>
          </w:p>
        </w:tc>
      </w:tr>
    </w:tbl>
    <w:p w:rsidR="00A54D75" w:rsidRDefault="00A54D75" w:rsidP="00A54D75">
      <w:pPr>
        <w:tabs>
          <w:tab w:val="left" w:pos="284"/>
        </w:tabs>
        <w:spacing w:after="0"/>
        <w:ind w:left="284"/>
        <w:jc w:val="both"/>
        <w:rPr>
          <w:rFonts w:ascii="Arial" w:hAnsi="Arial" w:cs="Arial"/>
          <w:sz w:val="18"/>
          <w:szCs w:val="18"/>
        </w:rPr>
      </w:pPr>
    </w:p>
    <w:p w:rsidR="00CB4CBC" w:rsidRPr="0073056A" w:rsidRDefault="00CB4CBC"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lastRenderedPageBreak/>
        <w:t>Transferencias, Asignaciones, Subsidios y Otras Ayudas</w:t>
      </w:r>
    </w:p>
    <w:p w:rsidR="00C013A1" w:rsidRPr="00D14208" w:rsidRDefault="00C013A1" w:rsidP="00FA426C">
      <w:pPr>
        <w:ind w:left="284"/>
        <w:rPr>
          <w:rFonts w:ascii="Arial" w:eastAsia="Times New Roman" w:hAnsi="Arial" w:cs="Arial"/>
          <w:sz w:val="18"/>
          <w:szCs w:val="18"/>
          <w:lang w:eastAsia="es-MX"/>
        </w:rPr>
      </w:pPr>
      <w:r w:rsidRPr="00D14208">
        <w:rPr>
          <w:rFonts w:ascii="Arial" w:hAnsi="Arial" w:cs="Arial"/>
          <w:sz w:val="18"/>
          <w:szCs w:val="18"/>
        </w:rPr>
        <w:t>Su saldo representa las erogaciones que se destinan en forma directa e indirecta, a</w:t>
      </w:r>
      <w:r w:rsidR="00FA426C">
        <w:rPr>
          <w:rFonts w:ascii="Arial" w:hAnsi="Arial" w:cs="Arial"/>
          <w:sz w:val="18"/>
          <w:szCs w:val="18"/>
        </w:rPr>
        <w:t xml:space="preserve"> </w:t>
      </w:r>
      <w:r w:rsidRPr="00D14208">
        <w:rPr>
          <w:rFonts w:ascii="Arial" w:hAnsi="Arial" w:cs="Arial"/>
          <w:sz w:val="18"/>
          <w:szCs w:val="18"/>
        </w:rPr>
        <w:t>l</w:t>
      </w:r>
      <w:r w:rsidR="00FA426C">
        <w:rPr>
          <w:rFonts w:ascii="Arial" w:hAnsi="Arial" w:cs="Arial"/>
          <w:sz w:val="18"/>
          <w:szCs w:val="18"/>
        </w:rPr>
        <w:t>os</w:t>
      </w:r>
      <w:r w:rsidRPr="00D14208">
        <w:rPr>
          <w:rFonts w:ascii="Arial" w:hAnsi="Arial" w:cs="Arial"/>
          <w:sz w:val="18"/>
          <w:szCs w:val="18"/>
        </w:rPr>
        <w:t xml:space="preserve"> Poder</w:t>
      </w:r>
      <w:r w:rsidR="00FA426C">
        <w:rPr>
          <w:rFonts w:ascii="Arial" w:hAnsi="Arial" w:cs="Arial"/>
          <w:sz w:val="18"/>
          <w:szCs w:val="18"/>
        </w:rPr>
        <w:t>es</w:t>
      </w:r>
      <w:r w:rsidRPr="00D14208">
        <w:rPr>
          <w:rFonts w:ascii="Arial" w:hAnsi="Arial" w:cs="Arial"/>
          <w:sz w:val="18"/>
          <w:szCs w:val="18"/>
        </w:rPr>
        <w:t xml:space="preserve"> Legislativo</w:t>
      </w:r>
      <w:r w:rsidR="00FA426C">
        <w:rPr>
          <w:rFonts w:ascii="Arial" w:hAnsi="Arial" w:cs="Arial"/>
          <w:sz w:val="18"/>
          <w:szCs w:val="18"/>
        </w:rPr>
        <w:t xml:space="preserve"> y Judicial así como a los Ó</w:t>
      </w:r>
      <w:r w:rsidRPr="00D14208">
        <w:rPr>
          <w:rFonts w:ascii="Arial" w:hAnsi="Arial" w:cs="Arial"/>
          <w:sz w:val="18"/>
          <w:szCs w:val="18"/>
        </w:rPr>
        <w:t>rganos Autónomos</w:t>
      </w:r>
      <w:r w:rsidR="00FA426C">
        <w:rPr>
          <w:rFonts w:ascii="Arial" w:hAnsi="Arial" w:cs="Arial"/>
          <w:sz w:val="18"/>
          <w:szCs w:val="18"/>
        </w:rPr>
        <w:t xml:space="preserve"> y Entidades del Sector Paraestatal.</w:t>
      </w:r>
      <w:r w:rsidRPr="00D14208">
        <w:rPr>
          <w:rFonts w:ascii="Arial" w:hAnsi="Arial" w:cs="Arial"/>
          <w:sz w:val="18"/>
          <w:szCs w:val="18"/>
        </w:rPr>
        <w:t xml:space="preserve"> </w:t>
      </w:r>
    </w:p>
    <w:p w:rsidR="00C013A1" w:rsidRDefault="00C013A1" w:rsidP="00A54D75">
      <w:pPr>
        <w:tabs>
          <w:tab w:val="left" w:pos="284"/>
        </w:tabs>
        <w:spacing w:after="0"/>
        <w:ind w:left="284"/>
        <w:jc w:val="both"/>
        <w:rPr>
          <w:rFonts w:ascii="Arial" w:hAnsi="Arial" w:cs="Arial"/>
          <w:sz w:val="18"/>
          <w:szCs w:val="18"/>
        </w:rPr>
      </w:pPr>
    </w:p>
    <w:p w:rsidR="00CB4CBC" w:rsidRDefault="00CB4CBC" w:rsidP="00A54D75">
      <w:pPr>
        <w:tabs>
          <w:tab w:val="left" w:pos="284"/>
        </w:tabs>
        <w:spacing w:after="0"/>
        <w:ind w:left="284"/>
        <w:jc w:val="both"/>
        <w:rPr>
          <w:rFonts w:ascii="Arial" w:hAnsi="Arial" w:cs="Arial"/>
          <w:sz w:val="18"/>
          <w:szCs w:val="18"/>
        </w:rPr>
      </w:pPr>
    </w:p>
    <w:p w:rsidR="00CB4CBC" w:rsidRDefault="00CB4CBC" w:rsidP="00A54D75">
      <w:pPr>
        <w:tabs>
          <w:tab w:val="left" w:pos="284"/>
        </w:tabs>
        <w:spacing w:after="0"/>
        <w:ind w:left="284"/>
        <w:jc w:val="both"/>
        <w:rPr>
          <w:rFonts w:ascii="Arial" w:hAnsi="Arial" w:cs="Arial"/>
          <w:sz w:val="18"/>
          <w:szCs w:val="18"/>
        </w:rPr>
      </w:pPr>
    </w:p>
    <w:p w:rsidR="00CB4CBC" w:rsidRDefault="00CB4CBC" w:rsidP="00A54D75">
      <w:pPr>
        <w:tabs>
          <w:tab w:val="left" w:pos="284"/>
        </w:tabs>
        <w:spacing w:after="0"/>
        <w:ind w:left="284"/>
        <w:jc w:val="both"/>
        <w:rPr>
          <w:rFonts w:ascii="Arial" w:hAnsi="Arial" w:cs="Arial"/>
          <w:sz w:val="18"/>
          <w:szCs w:val="18"/>
        </w:rPr>
      </w:pPr>
    </w:p>
    <w:p w:rsidR="00CB4CBC" w:rsidRPr="0073056A" w:rsidRDefault="00CB4CBC"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t>Participaciones, Fondo para el Fortalecimiento y Subsidios a Municipios</w:t>
      </w:r>
    </w:p>
    <w:p w:rsidR="00C013A1" w:rsidRDefault="00C013A1" w:rsidP="00A54D75">
      <w:pPr>
        <w:tabs>
          <w:tab w:val="left" w:pos="284"/>
        </w:tabs>
        <w:spacing w:after="0"/>
        <w:ind w:left="284"/>
        <w:jc w:val="both"/>
        <w:rPr>
          <w:rFonts w:ascii="Arial" w:hAnsi="Arial" w:cs="Arial"/>
          <w:sz w:val="18"/>
          <w:szCs w:val="18"/>
        </w:rPr>
      </w:pPr>
      <w:r w:rsidRPr="0073056A">
        <w:rPr>
          <w:rFonts w:ascii="Arial" w:hAnsi="Arial" w:cs="Arial"/>
          <w:sz w:val="18"/>
          <w:szCs w:val="18"/>
        </w:rPr>
        <w:t xml:space="preserve">Su saldo representa el monto de los recursos que se transfieren a los 60 Municipios del Estado de Tlaxcala, de conformidad con lo establecido en la Ley de Coordinación Fiscal (Participaciones y Aportaciones). El incremento del </w:t>
      </w:r>
      <w:r w:rsidR="00D66E68">
        <w:rPr>
          <w:rFonts w:ascii="Arial" w:hAnsi="Arial" w:cs="Arial"/>
          <w:sz w:val="18"/>
          <w:szCs w:val="18"/>
        </w:rPr>
        <w:t>5.2</w:t>
      </w:r>
      <w:r w:rsidRPr="0073056A">
        <w:rPr>
          <w:rFonts w:ascii="Arial" w:hAnsi="Arial" w:cs="Arial"/>
          <w:sz w:val="18"/>
          <w:szCs w:val="18"/>
        </w:rPr>
        <w:t>% corresponde básicamente a las aportaciones federales y a los convenios específicos.</w:t>
      </w:r>
    </w:p>
    <w:p w:rsidR="00A54D75" w:rsidRPr="0073056A" w:rsidRDefault="00A54D75" w:rsidP="00A54D75">
      <w:pPr>
        <w:tabs>
          <w:tab w:val="left" w:pos="284"/>
        </w:tabs>
        <w:spacing w:after="0"/>
        <w:ind w:left="284"/>
        <w:jc w:val="both"/>
        <w:rPr>
          <w:rFonts w:ascii="Arial" w:hAnsi="Arial" w:cs="Arial"/>
          <w:sz w:val="18"/>
          <w:szCs w:val="18"/>
        </w:rPr>
      </w:pPr>
    </w:p>
    <w:tbl>
      <w:tblPr>
        <w:tblStyle w:val="Tablaconcuadrcula"/>
        <w:tblW w:w="0" w:type="auto"/>
        <w:tblInd w:w="2357" w:type="dxa"/>
        <w:tblLook w:val="04A0" w:firstRow="1" w:lastRow="0" w:firstColumn="1" w:lastColumn="0" w:noHBand="0" w:noVBand="1"/>
      </w:tblPr>
      <w:tblGrid>
        <w:gridCol w:w="1795"/>
        <w:gridCol w:w="1795"/>
        <w:gridCol w:w="1796"/>
        <w:gridCol w:w="1796"/>
        <w:gridCol w:w="1796"/>
      </w:tblGrid>
      <w:tr w:rsidR="00C013A1" w:rsidRPr="0073056A" w:rsidTr="00A54D75">
        <w:tc>
          <w:tcPr>
            <w:tcW w:w="1795" w:type="dxa"/>
            <w:vMerge w:val="restart"/>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C013A1" w:rsidRPr="0073056A" w:rsidRDefault="000C270E" w:rsidP="00A54D75">
            <w:pPr>
              <w:tabs>
                <w:tab w:val="left" w:pos="284"/>
              </w:tabs>
              <w:spacing w:line="276" w:lineRule="auto"/>
              <w:ind w:left="284"/>
              <w:jc w:val="center"/>
              <w:rPr>
                <w:rFonts w:ascii="Arial" w:hAnsi="Arial" w:cs="Arial"/>
                <w:b/>
                <w:sz w:val="18"/>
                <w:szCs w:val="18"/>
              </w:rPr>
            </w:pPr>
            <w:r>
              <w:rPr>
                <w:rFonts w:ascii="Arial" w:hAnsi="Arial" w:cs="Arial"/>
                <w:b/>
                <w:sz w:val="18"/>
                <w:szCs w:val="18"/>
              </w:rPr>
              <w:t>2015</w:t>
            </w:r>
          </w:p>
        </w:tc>
        <w:tc>
          <w:tcPr>
            <w:tcW w:w="1796" w:type="dxa"/>
            <w:vMerge w:val="restart"/>
            <w:shd w:val="pct10" w:color="auto" w:fill="auto"/>
            <w:vAlign w:val="center"/>
          </w:tcPr>
          <w:p w:rsidR="00C013A1" w:rsidRPr="0073056A" w:rsidRDefault="00C013A1" w:rsidP="000C270E">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0C270E">
              <w:rPr>
                <w:rFonts w:ascii="Arial" w:hAnsi="Arial" w:cs="Arial"/>
                <w:b/>
                <w:sz w:val="18"/>
                <w:szCs w:val="18"/>
              </w:rPr>
              <w:t>4</w:t>
            </w:r>
          </w:p>
        </w:tc>
        <w:tc>
          <w:tcPr>
            <w:tcW w:w="3592" w:type="dxa"/>
            <w:gridSpan w:val="2"/>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C013A1" w:rsidRPr="0073056A" w:rsidTr="00A54D75">
        <w:tc>
          <w:tcPr>
            <w:tcW w:w="1795"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5"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D14208" w:rsidRPr="0073056A" w:rsidTr="00D14208">
        <w:tc>
          <w:tcPr>
            <w:tcW w:w="1795" w:type="dxa"/>
            <w:vAlign w:val="center"/>
          </w:tcPr>
          <w:p w:rsidR="00D14208" w:rsidRPr="0073056A" w:rsidRDefault="00D14208" w:rsidP="00A54D75">
            <w:pPr>
              <w:tabs>
                <w:tab w:val="left" w:pos="284"/>
              </w:tabs>
              <w:spacing w:line="276" w:lineRule="auto"/>
              <w:ind w:left="284"/>
              <w:jc w:val="center"/>
              <w:rPr>
                <w:rFonts w:ascii="Arial" w:hAnsi="Arial" w:cs="Arial"/>
                <w:sz w:val="18"/>
                <w:szCs w:val="18"/>
              </w:rPr>
            </w:pPr>
            <w:r w:rsidRPr="0073056A">
              <w:rPr>
                <w:rFonts w:ascii="Arial" w:hAnsi="Arial" w:cs="Arial"/>
                <w:sz w:val="18"/>
                <w:szCs w:val="18"/>
              </w:rPr>
              <w:t>Participaciones, Fondo para el Fortalecimiento y Subsidios a Municipios</w:t>
            </w:r>
          </w:p>
        </w:tc>
        <w:tc>
          <w:tcPr>
            <w:tcW w:w="1795" w:type="dxa"/>
            <w:vAlign w:val="center"/>
          </w:tcPr>
          <w:p w:rsidR="00D14208" w:rsidRPr="00D14208" w:rsidRDefault="00D14208" w:rsidP="00D66E68">
            <w:pPr>
              <w:jc w:val="right"/>
              <w:rPr>
                <w:rFonts w:ascii="Arial" w:hAnsi="Arial" w:cs="Arial"/>
                <w:bCs/>
                <w:sz w:val="18"/>
                <w:szCs w:val="18"/>
              </w:rPr>
            </w:pPr>
            <w:r>
              <w:rPr>
                <w:rFonts w:ascii="Arial" w:hAnsi="Arial" w:cs="Arial"/>
                <w:bCs/>
                <w:sz w:val="18"/>
                <w:szCs w:val="18"/>
              </w:rPr>
              <w:t xml:space="preserve">$ </w:t>
            </w:r>
            <w:r w:rsidR="00D66E68">
              <w:rPr>
                <w:rFonts w:ascii="Arial" w:hAnsi="Arial" w:cs="Arial"/>
                <w:bCs/>
                <w:sz w:val="18"/>
                <w:szCs w:val="18"/>
              </w:rPr>
              <w:t>3,189,929,548</w:t>
            </w:r>
          </w:p>
        </w:tc>
        <w:tc>
          <w:tcPr>
            <w:tcW w:w="1796" w:type="dxa"/>
            <w:vAlign w:val="center"/>
          </w:tcPr>
          <w:p w:rsidR="00D14208" w:rsidRPr="00D14208" w:rsidRDefault="00D14208" w:rsidP="00D14208">
            <w:pPr>
              <w:jc w:val="right"/>
              <w:rPr>
                <w:rFonts w:ascii="Arial" w:hAnsi="Arial" w:cs="Arial"/>
                <w:bCs/>
                <w:sz w:val="18"/>
                <w:szCs w:val="18"/>
              </w:rPr>
            </w:pPr>
            <w:r>
              <w:rPr>
                <w:rFonts w:ascii="Arial" w:hAnsi="Arial" w:cs="Arial"/>
                <w:bCs/>
                <w:sz w:val="18"/>
                <w:szCs w:val="18"/>
              </w:rPr>
              <w:t xml:space="preserve">$  </w:t>
            </w:r>
            <w:r w:rsidR="000C270E" w:rsidRPr="00D14208">
              <w:rPr>
                <w:rFonts w:ascii="Arial" w:hAnsi="Arial" w:cs="Arial"/>
                <w:bCs/>
                <w:sz w:val="18"/>
                <w:szCs w:val="18"/>
              </w:rPr>
              <w:t>3,031,505,062</w:t>
            </w:r>
          </w:p>
        </w:tc>
        <w:tc>
          <w:tcPr>
            <w:tcW w:w="1796" w:type="dxa"/>
            <w:vAlign w:val="center"/>
          </w:tcPr>
          <w:p w:rsidR="00D14208" w:rsidRPr="0073056A" w:rsidRDefault="00D14208" w:rsidP="000C270E">
            <w:pPr>
              <w:tabs>
                <w:tab w:val="left" w:pos="284"/>
              </w:tabs>
              <w:spacing w:line="276" w:lineRule="auto"/>
              <w:ind w:left="284"/>
              <w:jc w:val="center"/>
              <w:rPr>
                <w:rFonts w:ascii="Arial" w:hAnsi="Arial" w:cs="Arial"/>
                <w:sz w:val="18"/>
                <w:szCs w:val="18"/>
              </w:rPr>
            </w:pPr>
            <w:r w:rsidRPr="00D14208">
              <w:rPr>
                <w:rFonts w:ascii="Arial" w:hAnsi="Arial" w:cs="Arial"/>
                <w:sz w:val="18"/>
                <w:szCs w:val="18"/>
              </w:rPr>
              <w:t>$</w:t>
            </w:r>
            <w:r>
              <w:rPr>
                <w:rFonts w:ascii="Arial" w:hAnsi="Arial" w:cs="Arial"/>
                <w:sz w:val="18"/>
                <w:szCs w:val="18"/>
              </w:rPr>
              <w:t xml:space="preserve"> </w:t>
            </w:r>
            <w:r w:rsidR="00D66E68">
              <w:rPr>
                <w:rFonts w:ascii="Arial" w:hAnsi="Arial" w:cs="Arial"/>
                <w:sz w:val="18"/>
                <w:szCs w:val="18"/>
              </w:rPr>
              <w:t>158,424,486</w:t>
            </w:r>
          </w:p>
        </w:tc>
        <w:tc>
          <w:tcPr>
            <w:tcW w:w="1796" w:type="dxa"/>
            <w:vAlign w:val="center"/>
          </w:tcPr>
          <w:p w:rsidR="00D14208" w:rsidRPr="0073056A" w:rsidRDefault="00D66E68" w:rsidP="00A54D75">
            <w:pPr>
              <w:tabs>
                <w:tab w:val="left" w:pos="284"/>
              </w:tabs>
              <w:spacing w:line="276" w:lineRule="auto"/>
              <w:ind w:left="284"/>
              <w:jc w:val="center"/>
              <w:rPr>
                <w:rFonts w:ascii="Arial" w:hAnsi="Arial" w:cs="Arial"/>
                <w:sz w:val="18"/>
                <w:szCs w:val="18"/>
              </w:rPr>
            </w:pPr>
            <w:r>
              <w:rPr>
                <w:rFonts w:ascii="Arial" w:hAnsi="Arial" w:cs="Arial"/>
                <w:sz w:val="18"/>
                <w:szCs w:val="18"/>
              </w:rPr>
              <w:t>5.2</w:t>
            </w:r>
            <w:r w:rsidR="00D14208">
              <w:rPr>
                <w:rFonts w:ascii="Arial" w:hAnsi="Arial" w:cs="Arial"/>
                <w:sz w:val="18"/>
                <w:szCs w:val="18"/>
              </w:rPr>
              <w:t>%</w:t>
            </w:r>
          </w:p>
        </w:tc>
      </w:tr>
    </w:tbl>
    <w:p w:rsidR="00A54D75" w:rsidRDefault="00A54D75" w:rsidP="00A54D75">
      <w:pPr>
        <w:tabs>
          <w:tab w:val="left" w:pos="284"/>
        </w:tabs>
        <w:spacing w:after="0"/>
        <w:ind w:left="284"/>
        <w:jc w:val="both"/>
        <w:rPr>
          <w:rFonts w:ascii="Arial" w:hAnsi="Arial" w:cs="Arial"/>
          <w:sz w:val="18"/>
          <w:szCs w:val="18"/>
        </w:rPr>
      </w:pPr>
    </w:p>
    <w:p w:rsidR="00A54D75" w:rsidRDefault="00A54D75" w:rsidP="00A54D75">
      <w:pPr>
        <w:tabs>
          <w:tab w:val="left" w:pos="284"/>
        </w:tabs>
        <w:spacing w:after="0"/>
        <w:ind w:left="284"/>
        <w:jc w:val="both"/>
        <w:rPr>
          <w:rFonts w:ascii="Arial" w:hAnsi="Arial" w:cs="Arial"/>
          <w:sz w:val="18"/>
          <w:szCs w:val="18"/>
        </w:rPr>
      </w:pPr>
    </w:p>
    <w:p w:rsidR="00A54D75" w:rsidRPr="0073056A" w:rsidRDefault="00A54D75" w:rsidP="00A54D75">
      <w:pPr>
        <w:tabs>
          <w:tab w:val="left" w:pos="284"/>
        </w:tabs>
        <w:spacing w:after="0"/>
        <w:ind w:left="284"/>
        <w:jc w:val="both"/>
        <w:rPr>
          <w:rFonts w:ascii="Arial" w:hAnsi="Arial" w:cs="Arial"/>
          <w:sz w:val="18"/>
          <w:szCs w:val="18"/>
        </w:rPr>
      </w:pPr>
    </w:p>
    <w:p w:rsidR="00540418" w:rsidRPr="0073056A" w:rsidRDefault="00540418" w:rsidP="00A54D75">
      <w:pPr>
        <w:pStyle w:val="INCISO"/>
        <w:tabs>
          <w:tab w:val="left" w:pos="284"/>
        </w:tabs>
        <w:spacing w:after="0" w:line="276" w:lineRule="auto"/>
        <w:ind w:left="284" w:firstLine="0"/>
        <w:rPr>
          <w:b/>
          <w:smallCaps/>
        </w:rPr>
      </w:pPr>
      <w:r w:rsidRPr="0073056A">
        <w:rPr>
          <w:b/>
          <w:smallCaps/>
        </w:rPr>
        <w:t>III)</w:t>
      </w:r>
      <w:r w:rsidRPr="0073056A">
        <w:rPr>
          <w:b/>
          <w:smallCaps/>
        </w:rPr>
        <w:tab/>
        <w:t>Notas al Estado de Variación en la Hacienda Pública</w:t>
      </w:r>
    </w:p>
    <w:p w:rsidR="00C013A1" w:rsidRPr="0073056A" w:rsidRDefault="00C013A1" w:rsidP="00A54D75">
      <w:pPr>
        <w:tabs>
          <w:tab w:val="left" w:pos="284"/>
        </w:tabs>
        <w:spacing w:after="0"/>
        <w:ind w:left="284"/>
        <w:jc w:val="both"/>
        <w:rPr>
          <w:rFonts w:ascii="Arial" w:hAnsi="Arial" w:cs="Arial"/>
          <w:sz w:val="18"/>
          <w:szCs w:val="18"/>
        </w:rPr>
      </w:pPr>
      <w:r w:rsidRPr="0073056A">
        <w:rPr>
          <w:rFonts w:ascii="Arial" w:hAnsi="Arial" w:cs="Arial"/>
          <w:sz w:val="18"/>
          <w:szCs w:val="18"/>
        </w:rPr>
        <w:t>Para el Gobierno del Estado representa la diferencia del activo y pasivo, e incluye el resultado de la gestión del ejercicio actual y de ejercicios anteriores. El saldo integra el reconocimiento de la valuación de los activos, no contempla el reconocimiento de los efectos inflacionarios.</w:t>
      </w:r>
    </w:p>
    <w:p w:rsidR="00540418" w:rsidRPr="0073056A" w:rsidRDefault="00540418" w:rsidP="00A54D75">
      <w:pPr>
        <w:pStyle w:val="ROMANOS"/>
        <w:tabs>
          <w:tab w:val="clear" w:pos="720"/>
          <w:tab w:val="left" w:pos="284"/>
        </w:tabs>
        <w:spacing w:after="0" w:line="276" w:lineRule="auto"/>
        <w:ind w:left="284" w:firstLine="0"/>
        <w:rPr>
          <w:lang w:val="es-MX"/>
        </w:rPr>
      </w:pPr>
    </w:p>
    <w:p w:rsidR="00C013A1" w:rsidRPr="0073056A" w:rsidRDefault="00C013A1" w:rsidP="00A54D75">
      <w:pPr>
        <w:tabs>
          <w:tab w:val="left" w:pos="284"/>
        </w:tabs>
        <w:spacing w:after="0"/>
        <w:ind w:left="284"/>
        <w:jc w:val="both"/>
        <w:rPr>
          <w:rFonts w:ascii="Arial" w:hAnsi="Arial" w:cs="Arial"/>
          <w:b/>
          <w:sz w:val="18"/>
          <w:szCs w:val="18"/>
        </w:rPr>
      </w:pPr>
      <w:r w:rsidRPr="0073056A">
        <w:rPr>
          <w:rFonts w:ascii="Arial" w:hAnsi="Arial" w:cs="Arial"/>
          <w:b/>
          <w:sz w:val="18"/>
          <w:szCs w:val="18"/>
        </w:rPr>
        <w:t>Hacienda Pública Patrimonio/Patrimonio Contribuido</w:t>
      </w:r>
    </w:p>
    <w:p w:rsidR="00C013A1" w:rsidRDefault="00C013A1" w:rsidP="00CB4CBC">
      <w:pPr>
        <w:ind w:left="284"/>
        <w:jc w:val="both"/>
        <w:rPr>
          <w:rFonts w:ascii="Arial" w:hAnsi="Arial" w:cs="Arial"/>
          <w:sz w:val="18"/>
          <w:szCs w:val="18"/>
        </w:rPr>
      </w:pPr>
      <w:r w:rsidRPr="0073056A">
        <w:rPr>
          <w:rFonts w:ascii="Arial" w:hAnsi="Arial" w:cs="Arial"/>
          <w:sz w:val="18"/>
          <w:szCs w:val="18"/>
        </w:rPr>
        <w:t>Está compuesto principalmente por las modificaciones patrimoniales y los resultados de ejercicios anteriores. El saldo al cierre de este ejercicio es por la cantidad de $</w:t>
      </w:r>
      <w:r w:rsidR="0032152C">
        <w:rPr>
          <w:rFonts w:ascii="Arial" w:hAnsi="Arial" w:cs="Arial"/>
          <w:sz w:val="18"/>
          <w:szCs w:val="18"/>
        </w:rPr>
        <w:t xml:space="preserve"> </w:t>
      </w:r>
      <w:r w:rsidR="00D66E68">
        <w:rPr>
          <w:rFonts w:ascii="Arial" w:hAnsi="Arial" w:cs="Arial"/>
          <w:sz w:val="18"/>
          <w:szCs w:val="18"/>
        </w:rPr>
        <w:t>10</w:t>
      </w:r>
      <w:proofErr w:type="gramStart"/>
      <w:r w:rsidR="00D66E68">
        <w:rPr>
          <w:rFonts w:ascii="Arial" w:hAnsi="Arial" w:cs="Arial"/>
          <w:sz w:val="18"/>
          <w:szCs w:val="18"/>
        </w:rPr>
        <w:t>,312,318,358</w:t>
      </w:r>
      <w:proofErr w:type="gramEnd"/>
      <w:r w:rsidRPr="0073056A">
        <w:rPr>
          <w:rFonts w:ascii="Arial" w:hAnsi="Arial" w:cs="Arial"/>
          <w:sz w:val="18"/>
          <w:szCs w:val="18"/>
        </w:rPr>
        <w:t xml:space="preserve">. El incremento del </w:t>
      </w:r>
      <w:r w:rsidR="00D66E68">
        <w:rPr>
          <w:rFonts w:ascii="Arial" w:hAnsi="Arial" w:cs="Arial"/>
          <w:sz w:val="18"/>
          <w:szCs w:val="18"/>
        </w:rPr>
        <w:t>10.9</w:t>
      </w:r>
      <w:r w:rsidRPr="0073056A">
        <w:rPr>
          <w:rFonts w:ascii="Arial" w:hAnsi="Arial" w:cs="Arial"/>
          <w:sz w:val="18"/>
          <w:szCs w:val="18"/>
        </w:rPr>
        <w:t>% obedece principalmente al incremento en el activo, como de los resultados de operación</w:t>
      </w:r>
      <w:r w:rsidR="00A54D75">
        <w:rPr>
          <w:rFonts w:ascii="Arial" w:hAnsi="Arial" w:cs="Arial"/>
          <w:sz w:val="18"/>
          <w:szCs w:val="18"/>
        </w:rPr>
        <w:t>.</w:t>
      </w:r>
    </w:p>
    <w:p w:rsidR="00A54D75" w:rsidRPr="0073056A" w:rsidRDefault="00A54D75" w:rsidP="00A54D75">
      <w:pPr>
        <w:tabs>
          <w:tab w:val="left" w:pos="284"/>
        </w:tabs>
        <w:spacing w:after="0"/>
        <w:ind w:left="284"/>
        <w:jc w:val="both"/>
        <w:rPr>
          <w:rFonts w:ascii="Arial" w:hAnsi="Arial" w:cs="Arial"/>
          <w:sz w:val="18"/>
          <w:szCs w:val="18"/>
        </w:rPr>
      </w:pPr>
    </w:p>
    <w:tbl>
      <w:tblPr>
        <w:tblStyle w:val="Tablaconcuadrcula"/>
        <w:tblW w:w="0" w:type="auto"/>
        <w:tblInd w:w="2119" w:type="dxa"/>
        <w:tblLook w:val="04A0" w:firstRow="1" w:lastRow="0" w:firstColumn="1" w:lastColumn="0" w:noHBand="0" w:noVBand="1"/>
      </w:tblPr>
      <w:tblGrid>
        <w:gridCol w:w="2271"/>
        <w:gridCol w:w="1795"/>
        <w:gridCol w:w="1796"/>
        <w:gridCol w:w="1796"/>
        <w:gridCol w:w="1796"/>
      </w:tblGrid>
      <w:tr w:rsidR="00C013A1" w:rsidRPr="0073056A" w:rsidTr="00A54D75">
        <w:tc>
          <w:tcPr>
            <w:tcW w:w="2271" w:type="dxa"/>
            <w:vMerge w:val="restart"/>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Concepto</w:t>
            </w:r>
          </w:p>
        </w:tc>
        <w:tc>
          <w:tcPr>
            <w:tcW w:w="1795" w:type="dxa"/>
            <w:vMerge w:val="restart"/>
            <w:shd w:val="pct10" w:color="auto" w:fill="auto"/>
            <w:vAlign w:val="center"/>
          </w:tcPr>
          <w:p w:rsidR="00C013A1" w:rsidRPr="0073056A" w:rsidRDefault="000C270E" w:rsidP="00A54D75">
            <w:pPr>
              <w:tabs>
                <w:tab w:val="left" w:pos="284"/>
              </w:tabs>
              <w:spacing w:line="276" w:lineRule="auto"/>
              <w:ind w:left="284"/>
              <w:jc w:val="center"/>
              <w:rPr>
                <w:rFonts w:ascii="Arial" w:hAnsi="Arial" w:cs="Arial"/>
                <w:b/>
                <w:sz w:val="18"/>
                <w:szCs w:val="18"/>
              </w:rPr>
            </w:pPr>
            <w:r>
              <w:rPr>
                <w:rFonts w:ascii="Arial" w:hAnsi="Arial" w:cs="Arial"/>
                <w:b/>
                <w:sz w:val="18"/>
                <w:szCs w:val="18"/>
              </w:rPr>
              <w:t>2015</w:t>
            </w:r>
          </w:p>
        </w:tc>
        <w:tc>
          <w:tcPr>
            <w:tcW w:w="1796" w:type="dxa"/>
            <w:vMerge w:val="restart"/>
            <w:shd w:val="pct10" w:color="auto" w:fill="auto"/>
            <w:vAlign w:val="center"/>
          </w:tcPr>
          <w:p w:rsidR="00C013A1" w:rsidRPr="0073056A" w:rsidRDefault="00C013A1" w:rsidP="000C270E">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201</w:t>
            </w:r>
            <w:r w:rsidR="000C270E">
              <w:rPr>
                <w:rFonts w:ascii="Arial" w:hAnsi="Arial" w:cs="Arial"/>
                <w:b/>
                <w:sz w:val="18"/>
                <w:szCs w:val="18"/>
              </w:rPr>
              <w:t>4</w:t>
            </w:r>
          </w:p>
        </w:tc>
        <w:tc>
          <w:tcPr>
            <w:tcW w:w="3592" w:type="dxa"/>
            <w:gridSpan w:val="2"/>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Variación</w:t>
            </w:r>
          </w:p>
        </w:tc>
      </w:tr>
      <w:tr w:rsidR="00C013A1" w:rsidRPr="0073056A" w:rsidTr="00A54D75">
        <w:tc>
          <w:tcPr>
            <w:tcW w:w="2271"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5"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vMerge/>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Importe</w:t>
            </w:r>
          </w:p>
        </w:tc>
        <w:tc>
          <w:tcPr>
            <w:tcW w:w="1796" w:type="dxa"/>
            <w:shd w:val="pct10" w:color="auto" w:fill="auto"/>
            <w:vAlign w:val="center"/>
          </w:tcPr>
          <w:p w:rsidR="00C013A1" w:rsidRPr="0073056A" w:rsidRDefault="00C013A1" w:rsidP="00A54D75">
            <w:pPr>
              <w:tabs>
                <w:tab w:val="left" w:pos="284"/>
              </w:tabs>
              <w:spacing w:line="276" w:lineRule="auto"/>
              <w:ind w:left="284"/>
              <w:jc w:val="center"/>
              <w:rPr>
                <w:rFonts w:ascii="Arial" w:hAnsi="Arial" w:cs="Arial"/>
                <w:b/>
                <w:sz w:val="18"/>
                <w:szCs w:val="18"/>
              </w:rPr>
            </w:pPr>
            <w:r w:rsidRPr="0073056A">
              <w:rPr>
                <w:rFonts w:ascii="Arial" w:hAnsi="Arial" w:cs="Arial"/>
                <w:b/>
                <w:sz w:val="18"/>
                <w:szCs w:val="18"/>
              </w:rPr>
              <w:t>Porcentaje</w:t>
            </w:r>
          </w:p>
        </w:tc>
      </w:tr>
      <w:tr w:rsidR="0032152C" w:rsidRPr="0073056A" w:rsidTr="0032152C">
        <w:tc>
          <w:tcPr>
            <w:tcW w:w="2271" w:type="dxa"/>
            <w:vAlign w:val="center"/>
          </w:tcPr>
          <w:p w:rsidR="0032152C" w:rsidRPr="0073056A" w:rsidRDefault="0032152C" w:rsidP="00A54D75">
            <w:pPr>
              <w:tabs>
                <w:tab w:val="left" w:pos="284"/>
              </w:tabs>
              <w:spacing w:line="276" w:lineRule="auto"/>
              <w:ind w:left="284"/>
              <w:jc w:val="center"/>
              <w:rPr>
                <w:rFonts w:ascii="Arial" w:hAnsi="Arial" w:cs="Arial"/>
                <w:sz w:val="18"/>
                <w:szCs w:val="18"/>
              </w:rPr>
            </w:pPr>
            <w:r w:rsidRPr="0073056A">
              <w:rPr>
                <w:rFonts w:ascii="Arial" w:hAnsi="Arial" w:cs="Arial"/>
                <w:sz w:val="18"/>
                <w:szCs w:val="18"/>
              </w:rPr>
              <w:t>Hacienda Pública Patrimonio/Patrimonio Contribuido</w:t>
            </w:r>
          </w:p>
        </w:tc>
        <w:tc>
          <w:tcPr>
            <w:tcW w:w="1795" w:type="dxa"/>
            <w:vAlign w:val="center"/>
          </w:tcPr>
          <w:p w:rsidR="0032152C" w:rsidRPr="0032152C" w:rsidRDefault="0032152C" w:rsidP="000C270E">
            <w:pPr>
              <w:jc w:val="right"/>
              <w:rPr>
                <w:rFonts w:ascii="Arial" w:hAnsi="Arial" w:cs="Arial"/>
                <w:bCs/>
                <w:sz w:val="18"/>
                <w:szCs w:val="18"/>
              </w:rPr>
            </w:pPr>
            <w:r>
              <w:rPr>
                <w:rFonts w:ascii="Arial" w:hAnsi="Arial" w:cs="Arial"/>
                <w:bCs/>
                <w:sz w:val="18"/>
                <w:szCs w:val="18"/>
              </w:rPr>
              <w:t xml:space="preserve">$ </w:t>
            </w:r>
            <w:r w:rsidR="00D66E68">
              <w:rPr>
                <w:rFonts w:ascii="Arial" w:hAnsi="Arial" w:cs="Arial"/>
                <w:bCs/>
                <w:sz w:val="18"/>
                <w:szCs w:val="18"/>
              </w:rPr>
              <w:t>10,312,318,358</w:t>
            </w:r>
          </w:p>
        </w:tc>
        <w:tc>
          <w:tcPr>
            <w:tcW w:w="1796" w:type="dxa"/>
            <w:vAlign w:val="center"/>
          </w:tcPr>
          <w:p w:rsidR="0032152C" w:rsidRPr="0032152C" w:rsidRDefault="0032152C" w:rsidP="0032152C">
            <w:pPr>
              <w:jc w:val="right"/>
              <w:rPr>
                <w:rFonts w:ascii="Arial" w:hAnsi="Arial" w:cs="Arial"/>
                <w:bCs/>
                <w:sz w:val="18"/>
                <w:szCs w:val="18"/>
              </w:rPr>
            </w:pPr>
            <w:r>
              <w:rPr>
                <w:rFonts w:ascii="Arial" w:hAnsi="Arial" w:cs="Arial"/>
                <w:bCs/>
                <w:sz w:val="18"/>
                <w:szCs w:val="18"/>
              </w:rPr>
              <w:t xml:space="preserve">$ </w:t>
            </w:r>
            <w:r w:rsidR="000C270E" w:rsidRPr="0032152C">
              <w:rPr>
                <w:rFonts w:ascii="Arial" w:hAnsi="Arial" w:cs="Arial"/>
                <w:bCs/>
                <w:sz w:val="18"/>
                <w:szCs w:val="18"/>
              </w:rPr>
              <w:t>9,296,326,750</w:t>
            </w:r>
          </w:p>
        </w:tc>
        <w:tc>
          <w:tcPr>
            <w:tcW w:w="1796" w:type="dxa"/>
            <w:vAlign w:val="center"/>
          </w:tcPr>
          <w:p w:rsidR="0032152C" w:rsidRPr="0073056A" w:rsidRDefault="0032152C" w:rsidP="00D66E68">
            <w:pPr>
              <w:tabs>
                <w:tab w:val="left" w:pos="99"/>
              </w:tabs>
              <w:spacing w:line="276" w:lineRule="auto"/>
              <w:ind w:left="99"/>
              <w:jc w:val="center"/>
              <w:rPr>
                <w:rFonts w:ascii="Arial" w:hAnsi="Arial" w:cs="Arial"/>
                <w:sz w:val="18"/>
                <w:szCs w:val="18"/>
              </w:rPr>
            </w:pPr>
            <w:r w:rsidRPr="0073056A">
              <w:rPr>
                <w:rFonts w:ascii="Arial" w:hAnsi="Arial" w:cs="Arial"/>
                <w:sz w:val="18"/>
                <w:szCs w:val="18"/>
              </w:rPr>
              <w:t>$</w:t>
            </w:r>
            <w:r w:rsidR="00D66E68">
              <w:rPr>
                <w:rFonts w:ascii="Arial" w:hAnsi="Arial" w:cs="Arial"/>
                <w:sz w:val="18"/>
                <w:szCs w:val="18"/>
              </w:rPr>
              <w:t xml:space="preserve"> 1,015,991,608</w:t>
            </w:r>
          </w:p>
        </w:tc>
        <w:tc>
          <w:tcPr>
            <w:tcW w:w="1796" w:type="dxa"/>
            <w:vAlign w:val="center"/>
          </w:tcPr>
          <w:p w:rsidR="0032152C" w:rsidRPr="0073056A" w:rsidRDefault="00D66E68" w:rsidP="00A54D75">
            <w:pPr>
              <w:tabs>
                <w:tab w:val="left" w:pos="284"/>
              </w:tabs>
              <w:spacing w:line="276" w:lineRule="auto"/>
              <w:ind w:left="284"/>
              <w:jc w:val="center"/>
              <w:rPr>
                <w:rFonts w:ascii="Arial" w:hAnsi="Arial" w:cs="Arial"/>
                <w:sz w:val="18"/>
                <w:szCs w:val="18"/>
              </w:rPr>
            </w:pPr>
            <w:r>
              <w:rPr>
                <w:rFonts w:ascii="Arial" w:hAnsi="Arial" w:cs="Arial"/>
                <w:sz w:val="18"/>
                <w:szCs w:val="18"/>
              </w:rPr>
              <w:t>10.9</w:t>
            </w:r>
            <w:r w:rsidR="0032152C">
              <w:rPr>
                <w:rFonts w:ascii="Arial" w:hAnsi="Arial" w:cs="Arial"/>
                <w:sz w:val="18"/>
                <w:szCs w:val="18"/>
              </w:rPr>
              <w:t>%</w:t>
            </w:r>
          </w:p>
        </w:tc>
      </w:tr>
    </w:tbl>
    <w:p w:rsidR="00C013A1" w:rsidRPr="0073056A" w:rsidRDefault="00C013A1" w:rsidP="00A54D75">
      <w:pPr>
        <w:tabs>
          <w:tab w:val="left" w:pos="284"/>
        </w:tabs>
        <w:spacing w:after="0"/>
        <w:ind w:left="284"/>
        <w:jc w:val="both"/>
        <w:rPr>
          <w:rFonts w:ascii="Arial" w:hAnsi="Arial" w:cs="Arial"/>
          <w:sz w:val="18"/>
          <w:szCs w:val="18"/>
        </w:rPr>
      </w:pPr>
    </w:p>
    <w:p w:rsidR="004E3EA4" w:rsidRDefault="004E3EA4" w:rsidP="00A54D75">
      <w:pPr>
        <w:pStyle w:val="ROMANOS"/>
        <w:tabs>
          <w:tab w:val="clear" w:pos="720"/>
          <w:tab w:val="left" w:pos="284"/>
        </w:tabs>
        <w:spacing w:after="0" w:line="276" w:lineRule="auto"/>
        <w:ind w:left="284" w:firstLine="0"/>
        <w:rPr>
          <w:lang w:val="es-MX"/>
        </w:rPr>
      </w:pPr>
    </w:p>
    <w:p w:rsidR="004E3EA4" w:rsidRDefault="004E3EA4" w:rsidP="00A54D75">
      <w:pPr>
        <w:pStyle w:val="ROMANOS"/>
        <w:tabs>
          <w:tab w:val="clear" w:pos="720"/>
          <w:tab w:val="left" w:pos="284"/>
        </w:tabs>
        <w:spacing w:after="0" w:line="276" w:lineRule="auto"/>
        <w:ind w:left="284" w:firstLine="0"/>
        <w:rPr>
          <w:lang w:val="es-MX"/>
        </w:rPr>
      </w:pPr>
    </w:p>
    <w:p w:rsidR="004A67F1" w:rsidRPr="0073056A" w:rsidRDefault="004A67F1" w:rsidP="00A54D75">
      <w:pPr>
        <w:pStyle w:val="ROMANOS"/>
        <w:tabs>
          <w:tab w:val="clear" w:pos="720"/>
          <w:tab w:val="left" w:pos="284"/>
        </w:tabs>
        <w:spacing w:after="0" w:line="276" w:lineRule="auto"/>
        <w:ind w:left="284" w:firstLine="0"/>
        <w:rPr>
          <w:lang w:val="es-MX"/>
        </w:rPr>
      </w:pPr>
    </w:p>
    <w:p w:rsidR="00540418" w:rsidRPr="00377F19" w:rsidRDefault="00540418" w:rsidP="00A54D75">
      <w:pPr>
        <w:pStyle w:val="INCISO"/>
        <w:tabs>
          <w:tab w:val="left" w:pos="284"/>
        </w:tabs>
        <w:spacing w:after="0" w:line="276" w:lineRule="auto"/>
        <w:ind w:left="284" w:firstLine="0"/>
        <w:rPr>
          <w:b/>
          <w:smallCaps/>
        </w:rPr>
      </w:pPr>
      <w:r w:rsidRPr="00377F19">
        <w:rPr>
          <w:b/>
          <w:smallCaps/>
        </w:rPr>
        <w:t>IV)</w:t>
      </w:r>
      <w:r w:rsidRPr="00377F19">
        <w:rPr>
          <w:b/>
          <w:smallCaps/>
        </w:rPr>
        <w:tab/>
        <w:t xml:space="preserve">Notas al Estado de Flujos de Efectivo </w:t>
      </w:r>
    </w:p>
    <w:p w:rsidR="00540418" w:rsidRPr="00377F19" w:rsidRDefault="00540418" w:rsidP="00A54D75">
      <w:pPr>
        <w:pStyle w:val="INCISO"/>
        <w:tabs>
          <w:tab w:val="left" w:pos="284"/>
        </w:tabs>
        <w:spacing w:after="0" w:line="276" w:lineRule="auto"/>
        <w:ind w:left="284" w:firstLine="0"/>
        <w:rPr>
          <w:b/>
          <w:smallCaps/>
        </w:rPr>
      </w:pPr>
    </w:p>
    <w:p w:rsidR="00540418" w:rsidRPr="00377F19" w:rsidRDefault="00540418" w:rsidP="00A54D75">
      <w:pPr>
        <w:pStyle w:val="ROMANOS"/>
        <w:tabs>
          <w:tab w:val="clear" w:pos="720"/>
          <w:tab w:val="left" w:pos="284"/>
        </w:tabs>
        <w:spacing w:after="0" w:line="276" w:lineRule="auto"/>
        <w:ind w:left="284" w:firstLine="0"/>
        <w:rPr>
          <w:b/>
          <w:lang w:val="es-MX"/>
        </w:rPr>
      </w:pPr>
      <w:r w:rsidRPr="00377F19">
        <w:rPr>
          <w:b/>
          <w:lang w:val="es-MX"/>
        </w:rPr>
        <w:t>Efectivo y equivalentes</w:t>
      </w:r>
    </w:p>
    <w:p w:rsidR="00C013A1" w:rsidRPr="00377F19" w:rsidRDefault="00C013A1" w:rsidP="00A54D75">
      <w:pPr>
        <w:tabs>
          <w:tab w:val="left" w:pos="284"/>
        </w:tabs>
        <w:spacing w:after="0"/>
        <w:ind w:left="284"/>
        <w:jc w:val="both"/>
        <w:rPr>
          <w:rFonts w:ascii="Arial" w:hAnsi="Arial" w:cs="Arial"/>
          <w:b/>
          <w:i/>
          <w:sz w:val="18"/>
          <w:szCs w:val="18"/>
        </w:rPr>
      </w:pPr>
    </w:p>
    <w:p w:rsidR="00C013A1" w:rsidRPr="00377F19" w:rsidRDefault="00C013A1" w:rsidP="00A54D75">
      <w:pPr>
        <w:tabs>
          <w:tab w:val="left" w:pos="284"/>
        </w:tabs>
        <w:spacing w:after="0"/>
        <w:ind w:left="284"/>
        <w:jc w:val="both"/>
        <w:rPr>
          <w:rFonts w:ascii="Arial" w:hAnsi="Arial" w:cs="Arial"/>
          <w:b/>
          <w:sz w:val="18"/>
          <w:szCs w:val="18"/>
        </w:rPr>
      </w:pPr>
      <w:r w:rsidRPr="00377F19">
        <w:rPr>
          <w:rFonts w:ascii="Arial" w:hAnsi="Arial" w:cs="Arial"/>
          <w:b/>
          <w:sz w:val="18"/>
          <w:szCs w:val="18"/>
        </w:rPr>
        <w:t>Efectivo y Equivalentes</w:t>
      </w:r>
    </w:p>
    <w:p w:rsidR="00C013A1" w:rsidRDefault="00C013A1" w:rsidP="00A54D75">
      <w:pPr>
        <w:tabs>
          <w:tab w:val="left" w:pos="284"/>
        </w:tabs>
        <w:spacing w:after="0"/>
        <w:ind w:left="284"/>
        <w:jc w:val="both"/>
        <w:rPr>
          <w:rFonts w:ascii="Arial" w:hAnsi="Arial" w:cs="Arial"/>
          <w:sz w:val="18"/>
          <w:szCs w:val="18"/>
        </w:rPr>
      </w:pPr>
      <w:r w:rsidRPr="00377F19">
        <w:rPr>
          <w:rFonts w:ascii="Arial" w:hAnsi="Arial" w:cs="Arial"/>
          <w:sz w:val="18"/>
          <w:szCs w:val="18"/>
        </w:rPr>
        <w:t>Saldos al 31 de diciembre de 201</w:t>
      </w:r>
      <w:r w:rsidR="000C270E" w:rsidRPr="00377F19">
        <w:rPr>
          <w:rFonts w:ascii="Arial" w:hAnsi="Arial" w:cs="Arial"/>
          <w:sz w:val="18"/>
          <w:szCs w:val="18"/>
        </w:rPr>
        <w:t>5</w:t>
      </w:r>
      <w:r w:rsidRPr="00377F19">
        <w:rPr>
          <w:rFonts w:ascii="Arial" w:hAnsi="Arial" w:cs="Arial"/>
          <w:sz w:val="18"/>
          <w:szCs w:val="18"/>
        </w:rPr>
        <w:t xml:space="preserve">. El incremento del </w:t>
      </w:r>
      <w:r w:rsidR="00377F19">
        <w:rPr>
          <w:rFonts w:ascii="Arial" w:hAnsi="Arial" w:cs="Arial"/>
          <w:sz w:val="18"/>
          <w:szCs w:val="18"/>
        </w:rPr>
        <w:t>8.8</w:t>
      </w:r>
      <w:r w:rsidRPr="00377F19">
        <w:rPr>
          <w:rFonts w:ascii="Arial" w:hAnsi="Arial" w:cs="Arial"/>
          <w:sz w:val="18"/>
          <w:szCs w:val="18"/>
        </w:rPr>
        <w:t>% obedece principalmente al incremento en la cuenta de efectivo y equivalentes.</w:t>
      </w:r>
    </w:p>
    <w:p w:rsidR="004E3EA4" w:rsidRPr="0073056A" w:rsidRDefault="004E3EA4" w:rsidP="00A54D75">
      <w:pPr>
        <w:tabs>
          <w:tab w:val="left" w:pos="284"/>
        </w:tabs>
        <w:spacing w:after="0"/>
        <w:ind w:left="284"/>
        <w:jc w:val="both"/>
        <w:rPr>
          <w:rFonts w:ascii="Arial" w:hAnsi="Arial" w:cs="Arial"/>
          <w:sz w:val="18"/>
          <w:szCs w:val="18"/>
        </w:rPr>
      </w:pPr>
    </w:p>
    <w:tbl>
      <w:tblPr>
        <w:tblW w:w="0" w:type="auto"/>
        <w:tblInd w:w="1809" w:type="dxa"/>
        <w:tblLayout w:type="fixed"/>
        <w:tblLook w:val="0000" w:firstRow="0" w:lastRow="0" w:firstColumn="0" w:lastColumn="0" w:noHBand="0" w:noVBand="0"/>
      </w:tblPr>
      <w:tblGrid>
        <w:gridCol w:w="4111"/>
        <w:gridCol w:w="1843"/>
        <w:gridCol w:w="1843"/>
        <w:gridCol w:w="1275"/>
        <w:gridCol w:w="1276"/>
      </w:tblGrid>
      <w:tr w:rsidR="00C013A1" w:rsidRPr="0073056A" w:rsidTr="00D1757C">
        <w:trPr>
          <w:cantSplit/>
        </w:trPr>
        <w:tc>
          <w:tcPr>
            <w:tcW w:w="411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C013A1" w:rsidP="00A54D75">
            <w:pPr>
              <w:pStyle w:val="Texto"/>
              <w:tabs>
                <w:tab w:val="left" w:pos="284"/>
              </w:tabs>
              <w:spacing w:after="0" w:line="276" w:lineRule="auto"/>
              <w:ind w:left="284" w:firstLine="0"/>
              <w:jc w:val="center"/>
              <w:rPr>
                <w:b/>
                <w:szCs w:val="18"/>
                <w:lang w:val="es-MX"/>
              </w:rPr>
            </w:pPr>
            <w:r w:rsidRPr="0073056A">
              <w:rPr>
                <w:b/>
                <w:szCs w:val="18"/>
                <w:lang w:val="es-MX"/>
              </w:rPr>
              <w:t>Concepto</w:t>
            </w:r>
          </w:p>
        </w:tc>
        <w:tc>
          <w:tcPr>
            <w:tcW w:w="1843"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7C5412" w:rsidP="00A54D75">
            <w:pPr>
              <w:pStyle w:val="Texto"/>
              <w:tabs>
                <w:tab w:val="left" w:pos="284"/>
              </w:tabs>
              <w:spacing w:after="0" w:line="276" w:lineRule="auto"/>
              <w:ind w:left="284" w:firstLine="0"/>
              <w:jc w:val="center"/>
              <w:rPr>
                <w:b/>
                <w:szCs w:val="18"/>
                <w:lang w:val="es-MX"/>
              </w:rPr>
            </w:pPr>
            <w:r>
              <w:rPr>
                <w:b/>
                <w:szCs w:val="18"/>
                <w:lang w:val="es-MX"/>
              </w:rPr>
              <w:t>2015</w:t>
            </w:r>
          </w:p>
        </w:tc>
        <w:tc>
          <w:tcPr>
            <w:tcW w:w="1843"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7C5412" w:rsidP="00A54D75">
            <w:pPr>
              <w:pStyle w:val="Texto"/>
              <w:tabs>
                <w:tab w:val="left" w:pos="284"/>
              </w:tabs>
              <w:spacing w:after="0" w:line="276" w:lineRule="auto"/>
              <w:ind w:left="284" w:firstLine="0"/>
              <w:jc w:val="center"/>
              <w:rPr>
                <w:b/>
                <w:szCs w:val="18"/>
                <w:lang w:val="es-MX"/>
              </w:rPr>
            </w:pPr>
            <w:r>
              <w:rPr>
                <w:b/>
                <w:szCs w:val="18"/>
                <w:lang w:val="es-MX"/>
              </w:rPr>
              <w:t>2014</w:t>
            </w:r>
          </w:p>
        </w:tc>
        <w:tc>
          <w:tcPr>
            <w:tcW w:w="2551"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C013A1" w:rsidP="00A54D75">
            <w:pPr>
              <w:pStyle w:val="Texto"/>
              <w:tabs>
                <w:tab w:val="left" w:pos="284"/>
              </w:tabs>
              <w:spacing w:after="0" w:line="276" w:lineRule="auto"/>
              <w:ind w:left="284" w:firstLine="0"/>
              <w:jc w:val="center"/>
              <w:rPr>
                <w:b/>
                <w:szCs w:val="18"/>
                <w:lang w:val="es-MX"/>
              </w:rPr>
            </w:pPr>
            <w:r w:rsidRPr="0073056A">
              <w:rPr>
                <w:b/>
                <w:szCs w:val="18"/>
                <w:lang w:val="es-MX"/>
              </w:rPr>
              <w:t>Variación</w:t>
            </w:r>
          </w:p>
        </w:tc>
      </w:tr>
      <w:tr w:rsidR="00C013A1" w:rsidRPr="0073056A" w:rsidTr="00D1757C">
        <w:trPr>
          <w:cantSplit/>
        </w:trPr>
        <w:tc>
          <w:tcPr>
            <w:tcW w:w="4111" w:type="dxa"/>
            <w:vMerge/>
            <w:tcBorders>
              <w:top w:val="single" w:sz="4" w:space="0" w:color="auto"/>
              <w:left w:val="single" w:sz="4" w:space="0" w:color="auto"/>
              <w:bottom w:val="single" w:sz="4" w:space="0" w:color="auto"/>
              <w:right w:val="single" w:sz="4" w:space="0" w:color="auto"/>
            </w:tcBorders>
            <w:shd w:val="pct10" w:color="auto" w:fill="auto"/>
          </w:tcPr>
          <w:p w:rsidR="00C013A1" w:rsidRPr="0073056A" w:rsidRDefault="00C013A1" w:rsidP="00A54D75">
            <w:pPr>
              <w:pStyle w:val="Texto"/>
              <w:tabs>
                <w:tab w:val="left" w:pos="284"/>
              </w:tabs>
              <w:spacing w:after="0" w:line="276" w:lineRule="auto"/>
              <w:ind w:left="284" w:firstLine="0"/>
              <w:rPr>
                <w:szCs w:val="18"/>
                <w:lang w:val="es-MX"/>
              </w:rPr>
            </w:pPr>
          </w:p>
        </w:tc>
        <w:tc>
          <w:tcPr>
            <w:tcW w:w="1843" w:type="dxa"/>
            <w:vMerge/>
            <w:tcBorders>
              <w:top w:val="single" w:sz="4" w:space="0" w:color="auto"/>
              <w:left w:val="single" w:sz="4" w:space="0" w:color="auto"/>
              <w:bottom w:val="single" w:sz="4" w:space="0" w:color="auto"/>
              <w:right w:val="single" w:sz="4" w:space="0" w:color="auto"/>
            </w:tcBorders>
            <w:shd w:val="pct10" w:color="auto" w:fill="auto"/>
          </w:tcPr>
          <w:p w:rsidR="00C013A1" w:rsidRPr="0073056A" w:rsidRDefault="00C013A1" w:rsidP="00A54D75">
            <w:pPr>
              <w:pStyle w:val="Texto"/>
              <w:tabs>
                <w:tab w:val="left" w:pos="284"/>
              </w:tabs>
              <w:spacing w:after="0" w:line="276" w:lineRule="auto"/>
              <w:ind w:left="284" w:firstLine="0"/>
              <w:jc w:val="center"/>
              <w:rPr>
                <w:szCs w:val="18"/>
                <w:lang w:val="es-MX"/>
              </w:rPr>
            </w:pPr>
          </w:p>
        </w:tc>
        <w:tc>
          <w:tcPr>
            <w:tcW w:w="1843" w:type="dxa"/>
            <w:vMerge/>
            <w:tcBorders>
              <w:top w:val="single" w:sz="4" w:space="0" w:color="auto"/>
              <w:left w:val="single" w:sz="4" w:space="0" w:color="auto"/>
              <w:bottom w:val="single" w:sz="4" w:space="0" w:color="auto"/>
              <w:right w:val="single" w:sz="4" w:space="0" w:color="auto"/>
            </w:tcBorders>
            <w:shd w:val="pct10" w:color="auto" w:fill="auto"/>
          </w:tcPr>
          <w:p w:rsidR="00C013A1" w:rsidRPr="0073056A" w:rsidRDefault="00C013A1" w:rsidP="00A54D75">
            <w:pPr>
              <w:pStyle w:val="Texto"/>
              <w:tabs>
                <w:tab w:val="left" w:pos="284"/>
              </w:tabs>
              <w:spacing w:after="0" w:line="276" w:lineRule="auto"/>
              <w:ind w:left="284" w:firstLine="0"/>
              <w:jc w:val="center"/>
              <w:rPr>
                <w:szCs w:val="18"/>
                <w:lang w:val="es-MX"/>
              </w:rPr>
            </w:pPr>
          </w:p>
        </w:tc>
        <w:tc>
          <w:tcPr>
            <w:tcW w:w="1275" w:type="dxa"/>
            <w:tcBorders>
              <w:top w:val="single" w:sz="4" w:space="0" w:color="auto"/>
              <w:left w:val="single" w:sz="4" w:space="0" w:color="auto"/>
              <w:bottom w:val="single" w:sz="4" w:space="0" w:color="auto"/>
              <w:right w:val="single" w:sz="4" w:space="0" w:color="auto"/>
            </w:tcBorders>
            <w:shd w:val="pct10" w:color="auto" w:fill="auto"/>
          </w:tcPr>
          <w:p w:rsidR="00C013A1" w:rsidRPr="0073056A" w:rsidRDefault="00C013A1" w:rsidP="00A54D75">
            <w:pPr>
              <w:pStyle w:val="Texto"/>
              <w:tabs>
                <w:tab w:val="left" w:pos="284"/>
              </w:tabs>
              <w:spacing w:after="0" w:line="276" w:lineRule="auto"/>
              <w:ind w:left="284" w:firstLine="0"/>
              <w:jc w:val="center"/>
              <w:rPr>
                <w:b/>
                <w:szCs w:val="18"/>
                <w:lang w:val="es-MX"/>
              </w:rPr>
            </w:pPr>
            <w:r w:rsidRPr="0073056A">
              <w:rPr>
                <w:b/>
                <w:szCs w:val="18"/>
                <w:lang w:val="es-MX"/>
              </w:rPr>
              <w:t>Importe</w:t>
            </w:r>
          </w:p>
        </w:tc>
        <w:tc>
          <w:tcPr>
            <w:tcW w:w="1276" w:type="dxa"/>
            <w:tcBorders>
              <w:top w:val="single" w:sz="4" w:space="0" w:color="auto"/>
              <w:left w:val="single" w:sz="4" w:space="0" w:color="auto"/>
              <w:bottom w:val="single" w:sz="4" w:space="0" w:color="auto"/>
              <w:right w:val="single" w:sz="4" w:space="0" w:color="auto"/>
            </w:tcBorders>
            <w:shd w:val="pct10" w:color="auto" w:fill="auto"/>
          </w:tcPr>
          <w:p w:rsidR="00C013A1" w:rsidRPr="0073056A" w:rsidRDefault="00C013A1" w:rsidP="007B7847">
            <w:pPr>
              <w:pStyle w:val="Texto"/>
              <w:tabs>
                <w:tab w:val="left" w:pos="284"/>
              </w:tabs>
              <w:spacing w:after="0" w:line="276" w:lineRule="auto"/>
              <w:ind w:firstLine="0"/>
              <w:jc w:val="center"/>
              <w:rPr>
                <w:b/>
                <w:szCs w:val="18"/>
                <w:lang w:val="es-MX"/>
              </w:rPr>
            </w:pPr>
            <w:r w:rsidRPr="0073056A">
              <w:rPr>
                <w:b/>
                <w:szCs w:val="18"/>
                <w:lang w:val="es-MX"/>
              </w:rPr>
              <w:t>Porcentaje</w:t>
            </w:r>
          </w:p>
        </w:tc>
      </w:tr>
      <w:tr w:rsidR="0032152C" w:rsidRPr="0073056A" w:rsidTr="00D1757C">
        <w:trPr>
          <w:cantSplit/>
        </w:trPr>
        <w:tc>
          <w:tcPr>
            <w:tcW w:w="4111" w:type="dxa"/>
            <w:tcBorders>
              <w:top w:val="single" w:sz="4" w:space="0" w:color="auto"/>
              <w:left w:val="single" w:sz="6" w:space="0" w:color="auto"/>
              <w:bottom w:val="single" w:sz="6" w:space="0" w:color="auto"/>
              <w:right w:val="single" w:sz="6" w:space="0" w:color="auto"/>
            </w:tcBorders>
            <w:vAlign w:val="center"/>
          </w:tcPr>
          <w:p w:rsidR="0032152C" w:rsidRPr="0073056A" w:rsidRDefault="0032152C" w:rsidP="00D1757C">
            <w:pPr>
              <w:pStyle w:val="Texto"/>
              <w:tabs>
                <w:tab w:val="left" w:pos="284"/>
              </w:tabs>
              <w:spacing w:after="0" w:line="276" w:lineRule="auto"/>
              <w:ind w:left="284" w:firstLine="0"/>
              <w:jc w:val="left"/>
              <w:rPr>
                <w:szCs w:val="18"/>
                <w:lang w:val="es-MX"/>
              </w:rPr>
            </w:pPr>
            <w:r w:rsidRPr="0073056A">
              <w:rPr>
                <w:szCs w:val="18"/>
                <w:lang w:val="es-MX"/>
              </w:rPr>
              <w:t>Efectivo en Bancos –Tesorería</w:t>
            </w:r>
          </w:p>
        </w:tc>
        <w:tc>
          <w:tcPr>
            <w:tcW w:w="1843" w:type="dxa"/>
            <w:tcBorders>
              <w:top w:val="single" w:sz="4" w:space="0" w:color="auto"/>
              <w:left w:val="single" w:sz="6" w:space="0" w:color="auto"/>
              <w:bottom w:val="single" w:sz="6" w:space="0" w:color="auto"/>
              <w:right w:val="single" w:sz="6" w:space="0" w:color="auto"/>
            </w:tcBorders>
            <w:vAlign w:val="center"/>
          </w:tcPr>
          <w:p w:rsidR="0032152C" w:rsidRDefault="00377F19" w:rsidP="00D1757C">
            <w:pPr>
              <w:spacing w:after="0"/>
              <w:jc w:val="right"/>
              <w:rPr>
                <w:rFonts w:ascii="Arial" w:hAnsi="Arial" w:cs="Arial"/>
                <w:sz w:val="18"/>
                <w:szCs w:val="18"/>
              </w:rPr>
            </w:pPr>
            <w:r>
              <w:rPr>
                <w:rFonts w:ascii="Arial" w:hAnsi="Arial" w:cs="Arial"/>
                <w:sz w:val="18"/>
                <w:szCs w:val="18"/>
              </w:rPr>
              <w:t>$ 1,751,687,171</w:t>
            </w:r>
          </w:p>
        </w:tc>
        <w:tc>
          <w:tcPr>
            <w:tcW w:w="1843" w:type="dxa"/>
            <w:tcBorders>
              <w:top w:val="single" w:sz="4" w:space="0" w:color="auto"/>
              <w:left w:val="single" w:sz="6" w:space="0" w:color="auto"/>
              <w:bottom w:val="single" w:sz="6" w:space="0" w:color="auto"/>
              <w:right w:val="single" w:sz="6" w:space="0" w:color="auto"/>
            </w:tcBorders>
            <w:vAlign w:val="center"/>
          </w:tcPr>
          <w:p w:rsidR="0032152C" w:rsidRDefault="00377F19" w:rsidP="007C5412">
            <w:pPr>
              <w:spacing w:after="0"/>
              <w:jc w:val="right"/>
              <w:rPr>
                <w:rFonts w:ascii="Arial" w:hAnsi="Arial" w:cs="Arial"/>
                <w:sz w:val="18"/>
                <w:szCs w:val="18"/>
              </w:rPr>
            </w:pPr>
            <w:r>
              <w:rPr>
                <w:rFonts w:ascii="Arial" w:hAnsi="Arial" w:cs="Arial"/>
                <w:sz w:val="18"/>
                <w:szCs w:val="18"/>
              </w:rPr>
              <w:t xml:space="preserve">$ </w:t>
            </w:r>
            <w:r w:rsidR="007C5412">
              <w:rPr>
                <w:rFonts w:ascii="Arial" w:hAnsi="Arial" w:cs="Arial"/>
                <w:sz w:val="18"/>
                <w:szCs w:val="18"/>
              </w:rPr>
              <w:t>1,609,942,786</w:t>
            </w:r>
          </w:p>
        </w:tc>
        <w:tc>
          <w:tcPr>
            <w:tcW w:w="1275" w:type="dxa"/>
            <w:tcBorders>
              <w:top w:val="single" w:sz="4" w:space="0" w:color="auto"/>
              <w:left w:val="single" w:sz="6" w:space="0" w:color="auto"/>
              <w:bottom w:val="single" w:sz="6" w:space="0" w:color="auto"/>
              <w:right w:val="single" w:sz="6" w:space="0" w:color="auto"/>
            </w:tcBorders>
            <w:vAlign w:val="center"/>
          </w:tcPr>
          <w:p w:rsidR="0032152C" w:rsidRDefault="00377F19" w:rsidP="00377F19">
            <w:pPr>
              <w:spacing w:after="0"/>
              <w:ind w:left="-108"/>
              <w:jc w:val="right"/>
              <w:rPr>
                <w:rFonts w:ascii="Arial" w:hAnsi="Arial" w:cs="Arial"/>
                <w:sz w:val="18"/>
                <w:szCs w:val="18"/>
              </w:rPr>
            </w:pPr>
            <w:r>
              <w:rPr>
                <w:rFonts w:ascii="Arial" w:hAnsi="Arial" w:cs="Arial"/>
                <w:sz w:val="18"/>
                <w:szCs w:val="18"/>
              </w:rPr>
              <w:t>$ 141,744,385</w:t>
            </w:r>
          </w:p>
        </w:tc>
        <w:tc>
          <w:tcPr>
            <w:tcW w:w="1276" w:type="dxa"/>
            <w:tcBorders>
              <w:top w:val="single" w:sz="4" w:space="0" w:color="auto"/>
              <w:left w:val="single" w:sz="6" w:space="0" w:color="auto"/>
              <w:bottom w:val="single" w:sz="6" w:space="0" w:color="auto"/>
              <w:right w:val="single" w:sz="6" w:space="0" w:color="auto"/>
            </w:tcBorders>
            <w:vAlign w:val="center"/>
          </w:tcPr>
          <w:p w:rsidR="0032152C" w:rsidRDefault="00377F19" w:rsidP="00D1757C">
            <w:pPr>
              <w:spacing w:after="0"/>
              <w:jc w:val="center"/>
              <w:rPr>
                <w:rFonts w:ascii="Arial" w:hAnsi="Arial" w:cs="Arial"/>
                <w:sz w:val="18"/>
                <w:szCs w:val="18"/>
              </w:rPr>
            </w:pPr>
            <w:r>
              <w:rPr>
                <w:rFonts w:ascii="Arial" w:hAnsi="Arial" w:cs="Arial"/>
                <w:sz w:val="18"/>
                <w:szCs w:val="18"/>
              </w:rPr>
              <w:t>8.8</w:t>
            </w:r>
            <w:r w:rsidR="0032152C">
              <w:rPr>
                <w:rFonts w:ascii="Arial" w:hAnsi="Arial" w:cs="Arial"/>
                <w:sz w:val="18"/>
                <w:szCs w:val="18"/>
              </w:rPr>
              <w:t>%</w:t>
            </w:r>
          </w:p>
        </w:tc>
      </w:tr>
      <w:tr w:rsidR="00C013A1" w:rsidRPr="0073056A" w:rsidTr="00D1757C">
        <w:trPr>
          <w:cantSplit/>
        </w:trPr>
        <w:tc>
          <w:tcPr>
            <w:tcW w:w="4111" w:type="dxa"/>
            <w:tcBorders>
              <w:top w:val="single" w:sz="6" w:space="0" w:color="auto"/>
              <w:left w:val="single" w:sz="6" w:space="0" w:color="auto"/>
              <w:bottom w:val="single" w:sz="6" w:space="0" w:color="auto"/>
              <w:right w:val="single" w:sz="6" w:space="0" w:color="auto"/>
            </w:tcBorders>
            <w:vAlign w:val="center"/>
          </w:tcPr>
          <w:p w:rsidR="00C013A1" w:rsidRPr="0073056A" w:rsidRDefault="00C013A1" w:rsidP="00D1757C">
            <w:pPr>
              <w:pStyle w:val="Texto"/>
              <w:tabs>
                <w:tab w:val="left" w:pos="284"/>
              </w:tabs>
              <w:spacing w:after="0" w:line="276" w:lineRule="auto"/>
              <w:ind w:left="284" w:firstLine="0"/>
              <w:jc w:val="left"/>
              <w:rPr>
                <w:szCs w:val="18"/>
                <w:lang w:val="es-MX"/>
              </w:rPr>
            </w:pPr>
            <w:r w:rsidRPr="0073056A">
              <w:rPr>
                <w:szCs w:val="18"/>
                <w:lang w:val="es-MX"/>
              </w:rPr>
              <w:t>Efectivo en Bancos- Dependencias</w:t>
            </w:r>
          </w:p>
        </w:tc>
        <w:tc>
          <w:tcPr>
            <w:tcW w:w="1843" w:type="dxa"/>
            <w:tcBorders>
              <w:top w:val="single" w:sz="6" w:space="0" w:color="auto"/>
              <w:left w:val="single" w:sz="6" w:space="0" w:color="auto"/>
              <w:bottom w:val="single" w:sz="6" w:space="0" w:color="auto"/>
              <w:right w:val="single" w:sz="6" w:space="0" w:color="auto"/>
            </w:tcBorders>
            <w:vAlign w:val="center"/>
          </w:tcPr>
          <w:p w:rsidR="00C013A1" w:rsidRPr="0073056A" w:rsidRDefault="0032152C" w:rsidP="00D1757C">
            <w:pPr>
              <w:pStyle w:val="Texto"/>
              <w:tabs>
                <w:tab w:val="left" w:pos="284"/>
              </w:tabs>
              <w:spacing w:after="0" w:line="276" w:lineRule="auto"/>
              <w:ind w:left="284" w:firstLine="0"/>
              <w:jc w:val="right"/>
              <w:rPr>
                <w:szCs w:val="18"/>
                <w:lang w:val="es-MX"/>
              </w:rPr>
            </w:pPr>
            <w:r>
              <w:rPr>
                <w:szCs w:val="18"/>
                <w:lang w:val="es-MX"/>
              </w:rPr>
              <w:t>0</w:t>
            </w:r>
          </w:p>
        </w:tc>
        <w:tc>
          <w:tcPr>
            <w:tcW w:w="1843" w:type="dxa"/>
            <w:tcBorders>
              <w:top w:val="single" w:sz="6" w:space="0" w:color="auto"/>
              <w:left w:val="single" w:sz="6" w:space="0" w:color="auto"/>
              <w:bottom w:val="single" w:sz="6" w:space="0" w:color="auto"/>
              <w:right w:val="single" w:sz="6" w:space="0" w:color="auto"/>
            </w:tcBorders>
            <w:vAlign w:val="center"/>
          </w:tcPr>
          <w:p w:rsidR="00C013A1" w:rsidRPr="0073056A" w:rsidRDefault="00D1757C" w:rsidP="00D1757C">
            <w:pPr>
              <w:pStyle w:val="Texto"/>
              <w:tabs>
                <w:tab w:val="left" w:pos="284"/>
              </w:tabs>
              <w:spacing w:after="0" w:line="276" w:lineRule="auto"/>
              <w:ind w:left="284"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vAlign w:val="center"/>
          </w:tcPr>
          <w:p w:rsidR="00C013A1" w:rsidRPr="0073056A" w:rsidRDefault="00D1757C" w:rsidP="00D1757C">
            <w:pPr>
              <w:pStyle w:val="Texto"/>
              <w:tabs>
                <w:tab w:val="left" w:pos="284"/>
              </w:tabs>
              <w:spacing w:after="0" w:line="276" w:lineRule="auto"/>
              <w:ind w:left="284"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vAlign w:val="center"/>
          </w:tcPr>
          <w:p w:rsidR="00C013A1" w:rsidRPr="0073056A" w:rsidRDefault="00D1757C" w:rsidP="00D1757C">
            <w:pPr>
              <w:pStyle w:val="Texto"/>
              <w:tabs>
                <w:tab w:val="left" w:pos="284"/>
              </w:tabs>
              <w:spacing w:after="0" w:line="276" w:lineRule="auto"/>
              <w:rPr>
                <w:szCs w:val="18"/>
                <w:lang w:val="es-MX"/>
              </w:rPr>
            </w:pPr>
            <w:r>
              <w:rPr>
                <w:szCs w:val="18"/>
                <w:lang w:val="es-MX"/>
              </w:rPr>
              <w:t xml:space="preserve">   0%</w:t>
            </w:r>
          </w:p>
        </w:tc>
      </w:tr>
      <w:tr w:rsidR="00D1757C" w:rsidRPr="0073056A" w:rsidTr="00D1757C">
        <w:trPr>
          <w:cantSplit/>
        </w:trPr>
        <w:tc>
          <w:tcPr>
            <w:tcW w:w="4111" w:type="dxa"/>
            <w:tcBorders>
              <w:top w:val="single" w:sz="6" w:space="0" w:color="auto"/>
              <w:left w:val="single" w:sz="6" w:space="0" w:color="auto"/>
              <w:bottom w:val="single" w:sz="6" w:space="0" w:color="auto"/>
              <w:right w:val="single" w:sz="6" w:space="0" w:color="auto"/>
            </w:tcBorders>
            <w:vAlign w:val="center"/>
          </w:tcPr>
          <w:p w:rsidR="00D1757C" w:rsidRPr="0073056A" w:rsidRDefault="00D1757C" w:rsidP="00D1757C">
            <w:pPr>
              <w:pStyle w:val="Texto"/>
              <w:tabs>
                <w:tab w:val="left" w:pos="284"/>
              </w:tabs>
              <w:spacing w:after="0" w:line="276" w:lineRule="auto"/>
              <w:ind w:left="284" w:firstLine="0"/>
              <w:jc w:val="left"/>
              <w:rPr>
                <w:szCs w:val="18"/>
                <w:lang w:val="es-MX"/>
              </w:rPr>
            </w:pPr>
            <w:r w:rsidRPr="0073056A">
              <w:rPr>
                <w:szCs w:val="18"/>
                <w:lang w:val="es-MX"/>
              </w:rPr>
              <w:t xml:space="preserve">Inversiones temporales (hasta 3 meses) </w:t>
            </w:r>
          </w:p>
        </w:tc>
        <w:tc>
          <w:tcPr>
            <w:tcW w:w="1843" w:type="dxa"/>
            <w:tcBorders>
              <w:top w:val="single" w:sz="6" w:space="0" w:color="auto"/>
              <w:left w:val="single" w:sz="6" w:space="0" w:color="auto"/>
              <w:bottom w:val="single" w:sz="6" w:space="0" w:color="auto"/>
              <w:right w:val="single" w:sz="6" w:space="0" w:color="auto"/>
            </w:tcBorders>
            <w:vAlign w:val="center"/>
          </w:tcPr>
          <w:p w:rsidR="00D1757C" w:rsidRPr="0073056A" w:rsidRDefault="00D1757C" w:rsidP="00D1757C">
            <w:pPr>
              <w:pStyle w:val="Texto"/>
              <w:tabs>
                <w:tab w:val="left" w:pos="284"/>
              </w:tabs>
              <w:spacing w:after="0" w:line="276" w:lineRule="auto"/>
              <w:ind w:left="284" w:firstLine="0"/>
              <w:jc w:val="right"/>
              <w:rPr>
                <w:szCs w:val="18"/>
                <w:lang w:val="es-MX"/>
              </w:rPr>
            </w:pPr>
            <w:r>
              <w:rPr>
                <w:szCs w:val="18"/>
                <w:lang w:val="es-MX"/>
              </w:rPr>
              <w:t>0</w:t>
            </w:r>
          </w:p>
        </w:tc>
        <w:tc>
          <w:tcPr>
            <w:tcW w:w="1843" w:type="dxa"/>
            <w:tcBorders>
              <w:top w:val="single" w:sz="6" w:space="0" w:color="auto"/>
              <w:left w:val="single" w:sz="6" w:space="0" w:color="auto"/>
              <w:bottom w:val="single" w:sz="6" w:space="0" w:color="auto"/>
              <w:right w:val="single" w:sz="6" w:space="0" w:color="auto"/>
            </w:tcBorders>
            <w:vAlign w:val="center"/>
          </w:tcPr>
          <w:p w:rsidR="00D1757C" w:rsidRPr="0073056A" w:rsidRDefault="00D1757C" w:rsidP="00D1757C">
            <w:pPr>
              <w:pStyle w:val="Texto"/>
              <w:tabs>
                <w:tab w:val="left" w:pos="284"/>
              </w:tabs>
              <w:spacing w:after="0" w:line="276" w:lineRule="auto"/>
              <w:ind w:left="284"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vAlign w:val="center"/>
          </w:tcPr>
          <w:p w:rsidR="00D1757C" w:rsidRPr="0073056A" w:rsidRDefault="00D1757C" w:rsidP="00D1757C">
            <w:pPr>
              <w:pStyle w:val="Texto"/>
              <w:tabs>
                <w:tab w:val="left" w:pos="284"/>
              </w:tabs>
              <w:spacing w:after="0" w:line="276" w:lineRule="auto"/>
              <w:ind w:left="284"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vAlign w:val="center"/>
          </w:tcPr>
          <w:p w:rsidR="00D1757C" w:rsidRDefault="00D1757C" w:rsidP="00D1757C">
            <w:pPr>
              <w:spacing w:after="0"/>
              <w:jc w:val="center"/>
            </w:pPr>
            <w:r w:rsidRPr="00A50045">
              <w:rPr>
                <w:szCs w:val="18"/>
              </w:rPr>
              <w:t>0%</w:t>
            </w:r>
          </w:p>
        </w:tc>
      </w:tr>
      <w:tr w:rsidR="00D1757C" w:rsidRPr="0073056A" w:rsidTr="00D1757C">
        <w:trPr>
          <w:cantSplit/>
        </w:trPr>
        <w:tc>
          <w:tcPr>
            <w:tcW w:w="4111" w:type="dxa"/>
            <w:tcBorders>
              <w:top w:val="single" w:sz="6" w:space="0" w:color="auto"/>
              <w:left w:val="single" w:sz="6" w:space="0" w:color="auto"/>
              <w:bottom w:val="single" w:sz="6" w:space="0" w:color="auto"/>
              <w:right w:val="single" w:sz="6" w:space="0" w:color="auto"/>
            </w:tcBorders>
            <w:vAlign w:val="center"/>
          </w:tcPr>
          <w:p w:rsidR="00D1757C" w:rsidRPr="0073056A" w:rsidRDefault="00D1757C" w:rsidP="00D1757C">
            <w:pPr>
              <w:pStyle w:val="Texto"/>
              <w:tabs>
                <w:tab w:val="left" w:pos="284"/>
              </w:tabs>
              <w:spacing w:after="0" w:line="276" w:lineRule="auto"/>
              <w:ind w:left="284" w:firstLine="0"/>
              <w:jc w:val="left"/>
              <w:rPr>
                <w:szCs w:val="18"/>
                <w:lang w:val="es-MX"/>
              </w:rPr>
            </w:pPr>
            <w:r w:rsidRPr="0073056A">
              <w:rPr>
                <w:szCs w:val="18"/>
                <w:lang w:val="es-MX"/>
              </w:rPr>
              <w:t>Fondos con afectación específica</w:t>
            </w:r>
          </w:p>
        </w:tc>
        <w:tc>
          <w:tcPr>
            <w:tcW w:w="1843" w:type="dxa"/>
            <w:tcBorders>
              <w:top w:val="single" w:sz="6" w:space="0" w:color="auto"/>
              <w:left w:val="single" w:sz="6" w:space="0" w:color="auto"/>
              <w:bottom w:val="single" w:sz="6" w:space="0" w:color="auto"/>
              <w:right w:val="single" w:sz="6" w:space="0" w:color="auto"/>
            </w:tcBorders>
            <w:vAlign w:val="center"/>
          </w:tcPr>
          <w:p w:rsidR="00D1757C" w:rsidRPr="0073056A" w:rsidRDefault="00D1757C" w:rsidP="00D1757C">
            <w:pPr>
              <w:pStyle w:val="Texto"/>
              <w:tabs>
                <w:tab w:val="left" w:pos="284"/>
              </w:tabs>
              <w:spacing w:after="0" w:line="276" w:lineRule="auto"/>
              <w:ind w:left="284" w:firstLine="0"/>
              <w:jc w:val="right"/>
              <w:rPr>
                <w:szCs w:val="18"/>
                <w:lang w:val="es-MX"/>
              </w:rPr>
            </w:pPr>
            <w:r>
              <w:rPr>
                <w:szCs w:val="18"/>
                <w:lang w:val="es-MX"/>
              </w:rPr>
              <w:t>0</w:t>
            </w:r>
          </w:p>
        </w:tc>
        <w:tc>
          <w:tcPr>
            <w:tcW w:w="1843" w:type="dxa"/>
            <w:tcBorders>
              <w:top w:val="single" w:sz="6" w:space="0" w:color="auto"/>
              <w:left w:val="single" w:sz="6" w:space="0" w:color="auto"/>
              <w:bottom w:val="single" w:sz="6" w:space="0" w:color="auto"/>
              <w:right w:val="single" w:sz="6" w:space="0" w:color="auto"/>
            </w:tcBorders>
            <w:vAlign w:val="center"/>
          </w:tcPr>
          <w:p w:rsidR="00D1757C" w:rsidRPr="0073056A" w:rsidRDefault="00D1757C" w:rsidP="00D1757C">
            <w:pPr>
              <w:pStyle w:val="Texto"/>
              <w:tabs>
                <w:tab w:val="left" w:pos="284"/>
              </w:tabs>
              <w:spacing w:after="0" w:line="276" w:lineRule="auto"/>
              <w:ind w:left="284"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vAlign w:val="center"/>
          </w:tcPr>
          <w:p w:rsidR="00D1757C" w:rsidRPr="0073056A" w:rsidRDefault="00D1757C" w:rsidP="00D1757C">
            <w:pPr>
              <w:pStyle w:val="Texto"/>
              <w:tabs>
                <w:tab w:val="left" w:pos="284"/>
              </w:tabs>
              <w:spacing w:after="0" w:line="276" w:lineRule="auto"/>
              <w:ind w:left="284"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vAlign w:val="center"/>
          </w:tcPr>
          <w:p w:rsidR="00D1757C" w:rsidRDefault="00D1757C" w:rsidP="00D1757C">
            <w:pPr>
              <w:spacing w:after="0"/>
              <w:jc w:val="center"/>
            </w:pPr>
            <w:r w:rsidRPr="00A50045">
              <w:rPr>
                <w:szCs w:val="18"/>
              </w:rPr>
              <w:t>0%</w:t>
            </w:r>
          </w:p>
        </w:tc>
      </w:tr>
      <w:tr w:rsidR="00D1757C" w:rsidRPr="0073056A" w:rsidTr="00D1757C">
        <w:trPr>
          <w:cantSplit/>
        </w:trPr>
        <w:tc>
          <w:tcPr>
            <w:tcW w:w="4111" w:type="dxa"/>
            <w:tcBorders>
              <w:top w:val="single" w:sz="6" w:space="0" w:color="auto"/>
              <w:left w:val="single" w:sz="6" w:space="0" w:color="auto"/>
              <w:bottom w:val="single" w:sz="6" w:space="0" w:color="auto"/>
              <w:right w:val="single" w:sz="6" w:space="0" w:color="auto"/>
            </w:tcBorders>
            <w:vAlign w:val="center"/>
          </w:tcPr>
          <w:p w:rsidR="00D1757C" w:rsidRPr="0073056A" w:rsidRDefault="00D1757C" w:rsidP="00D1757C">
            <w:pPr>
              <w:pStyle w:val="Texto"/>
              <w:tabs>
                <w:tab w:val="left" w:pos="284"/>
              </w:tabs>
              <w:spacing w:after="0" w:line="276" w:lineRule="auto"/>
              <w:ind w:left="284" w:firstLine="0"/>
              <w:jc w:val="left"/>
              <w:rPr>
                <w:szCs w:val="18"/>
                <w:lang w:val="es-MX"/>
              </w:rPr>
            </w:pPr>
            <w:r w:rsidRPr="0073056A">
              <w:rPr>
                <w:szCs w:val="18"/>
                <w:lang w:val="es-MX"/>
              </w:rPr>
              <w:t>Depósitos de fondos de terceros y otros</w:t>
            </w:r>
          </w:p>
        </w:tc>
        <w:tc>
          <w:tcPr>
            <w:tcW w:w="1843" w:type="dxa"/>
            <w:tcBorders>
              <w:top w:val="single" w:sz="6" w:space="0" w:color="auto"/>
              <w:left w:val="single" w:sz="6" w:space="0" w:color="auto"/>
              <w:bottom w:val="single" w:sz="6" w:space="0" w:color="auto"/>
              <w:right w:val="single" w:sz="6" w:space="0" w:color="auto"/>
            </w:tcBorders>
            <w:vAlign w:val="center"/>
          </w:tcPr>
          <w:p w:rsidR="00D1757C" w:rsidRPr="0073056A" w:rsidRDefault="00D1757C" w:rsidP="00D1757C">
            <w:pPr>
              <w:pStyle w:val="Texto"/>
              <w:tabs>
                <w:tab w:val="left" w:pos="284"/>
              </w:tabs>
              <w:spacing w:after="0" w:line="276" w:lineRule="auto"/>
              <w:ind w:left="284" w:firstLine="0"/>
              <w:jc w:val="right"/>
              <w:rPr>
                <w:szCs w:val="18"/>
                <w:lang w:val="es-MX"/>
              </w:rPr>
            </w:pPr>
            <w:r>
              <w:rPr>
                <w:szCs w:val="18"/>
                <w:lang w:val="es-MX"/>
              </w:rPr>
              <w:t>0</w:t>
            </w:r>
          </w:p>
        </w:tc>
        <w:tc>
          <w:tcPr>
            <w:tcW w:w="1843" w:type="dxa"/>
            <w:tcBorders>
              <w:top w:val="single" w:sz="6" w:space="0" w:color="auto"/>
              <w:left w:val="single" w:sz="6" w:space="0" w:color="auto"/>
              <w:bottom w:val="single" w:sz="6" w:space="0" w:color="auto"/>
              <w:right w:val="single" w:sz="6" w:space="0" w:color="auto"/>
            </w:tcBorders>
            <w:vAlign w:val="center"/>
          </w:tcPr>
          <w:p w:rsidR="00D1757C" w:rsidRPr="0073056A" w:rsidRDefault="00D1757C" w:rsidP="00D1757C">
            <w:pPr>
              <w:pStyle w:val="Texto"/>
              <w:tabs>
                <w:tab w:val="left" w:pos="284"/>
              </w:tabs>
              <w:spacing w:after="0" w:line="276" w:lineRule="auto"/>
              <w:ind w:left="284" w:firstLine="0"/>
              <w:jc w:val="right"/>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vAlign w:val="center"/>
          </w:tcPr>
          <w:p w:rsidR="00D1757C" w:rsidRPr="0073056A" w:rsidRDefault="00D1757C" w:rsidP="00D1757C">
            <w:pPr>
              <w:pStyle w:val="Texto"/>
              <w:tabs>
                <w:tab w:val="left" w:pos="284"/>
              </w:tabs>
              <w:spacing w:after="0" w:line="276" w:lineRule="auto"/>
              <w:ind w:left="284"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vAlign w:val="center"/>
          </w:tcPr>
          <w:p w:rsidR="00D1757C" w:rsidRDefault="00D1757C" w:rsidP="00D1757C">
            <w:pPr>
              <w:spacing w:after="0"/>
              <w:jc w:val="center"/>
            </w:pPr>
            <w:r w:rsidRPr="00A50045">
              <w:rPr>
                <w:szCs w:val="18"/>
              </w:rPr>
              <w:t>0%</w:t>
            </w:r>
          </w:p>
        </w:tc>
      </w:tr>
      <w:tr w:rsidR="00C013A1" w:rsidRPr="0073056A" w:rsidTr="00D1757C">
        <w:trPr>
          <w:cantSplit/>
        </w:trPr>
        <w:tc>
          <w:tcPr>
            <w:tcW w:w="4111"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rPr>
                <w:szCs w:val="18"/>
                <w:lang w:val="es-MX"/>
              </w:rPr>
            </w:pPr>
            <w:r w:rsidRPr="0073056A">
              <w:rPr>
                <w:szCs w:val="18"/>
                <w:lang w:val="es-MX"/>
              </w:rPr>
              <w:t>Total de Efectivo y Equivalentes</w:t>
            </w:r>
          </w:p>
        </w:tc>
        <w:tc>
          <w:tcPr>
            <w:tcW w:w="1843" w:type="dxa"/>
            <w:tcBorders>
              <w:top w:val="single" w:sz="6" w:space="0" w:color="auto"/>
              <w:left w:val="single" w:sz="6" w:space="0" w:color="auto"/>
              <w:bottom w:val="single" w:sz="6" w:space="0" w:color="auto"/>
              <w:right w:val="single" w:sz="6" w:space="0" w:color="auto"/>
            </w:tcBorders>
          </w:tcPr>
          <w:p w:rsidR="00C013A1" w:rsidRPr="0073056A" w:rsidRDefault="00377F19" w:rsidP="007C5412">
            <w:pPr>
              <w:pStyle w:val="Texto"/>
              <w:tabs>
                <w:tab w:val="left" w:pos="284"/>
              </w:tabs>
              <w:spacing w:after="0" w:line="276" w:lineRule="auto"/>
              <w:ind w:left="284" w:firstLine="0"/>
              <w:jc w:val="right"/>
              <w:rPr>
                <w:szCs w:val="18"/>
                <w:lang w:val="es-MX"/>
              </w:rPr>
            </w:pPr>
            <w:r>
              <w:rPr>
                <w:szCs w:val="18"/>
                <w:lang w:val="es-MX"/>
              </w:rPr>
              <w:t>$ 1,751,687,171</w:t>
            </w:r>
            <w:r w:rsidR="00F646C2">
              <w:rPr>
                <w:szCs w:val="18"/>
                <w:lang w:val="es-MX"/>
              </w:rPr>
              <w:fldChar w:fldCharType="begin"/>
            </w:r>
            <w:r w:rsidR="00D1757C">
              <w:rPr>
                <w:szCs w:val="18"/>
                <w:lang w:val="es-MX"/>
              </w:rPr>
              <w:instrText xml:space="preserve"> =SUM(ABOVE) </w:instrText>
            </w:r>
            <w:r w:rsidR="00F646C2">
              <w:rPr>
                <w:szCs w:val="18"/>
                <w:lang w:val="es-MX"/>
              </w:rPr>
              <w:fldChar w:fldCharType="end"/>
            </w:r>
          </w:p>
        </w:tc>
        <w:tc>
          <w:tcPr>
            <w:tcW w:w="1843" w:type="dxa"/>
            <w:tcBorders>
              <w:top w:val="single" w:sz="6" w:space="0" w:color="auto"/>
              <w:left w:val="single" w:sz="6" w:space="0" w:color="auto"/>
              <w:bottom w:val="single" w:sz="6" w:space="0" w:color="auto"/>
              <w:right w:val="single" w:sz="6" w:space="0" w:color="auto"/>
            </w:tcBorders>
          </w:tcPr>
          <w:p w:rsidR="00C013A1" w:rsidRPr="0073056A" w:rsidRDefault="00377F19" w:rsidP="007C5412">
            <w:pPr>
              <w:pStyle w:val="Texto"/>
              <w:tabs>
                <w:tab w:val="left" w:pos="284"/>
              </w:tabs>
              <w:spacing w:after="0" w:line="276" w:lineRule="auto"/>
              <w:ind w:left="284" w:firstLine="0"/>
              <w:jc w:val="right"/>
              <w:rPr>
                <w:szCs w:val="18"/>
                <w:lang w:val="es-MX"/>
              </w:rPr>
            </w:pPr>
            <w:r>
              <w:rPr>
                <w:szCs w:val="18"/>
                <w:lang w:val="es-MX"/>
              </w:rPr>
              <w:t xml:space="preserve">$ </w:t>
            </w:r>
            <w:r w:rsidR="00F646C2">
              <w:rPr>
                <w:szCs w:val="18"/>
                <w:lang w:val="es-MX"/>
              </w:rPr>
              <w:fldChar w:fldCharType="begin"/>
            </w:r>
            <w:r w:rsidR="00D1757C">
              <w:rPr>
                <w:szCs w:val="18"/>
                <w:lang w:val="es-MX"/>
              </w:rPr>
              <w:instrText xml:space="preserve"> =SUM(ABOVE) </w:instrText>
            </w:r>
            <w:r w:rsidR="00F646C2">
              <w:rPr>
                <w:szCs w:val="18"/>
                <w:lang w:val="es-MX"/>
              </w:rPr>
              <w:fldChar w:fldCharType="separate"/>
            </w:r>
            <w:r w:rsidR="00F646C2">
              <w:rPr>
                <w:szCs w:val="18"/>
                <w:lang w:val="es-MX"/>
              </w:rPr>
              <w:fldChar w:fldCharType="begin"/>
            </w:r>
            <w:r w:rsidR="007C5412">
              <w:rPr>
                <w:szCs w:val="18"/>
                <w:lang w:val="es-MX"/>
              </w:rPr>
              <w:instrText xml:space="preserve"> =SUM(ABOVE) </w:instrText>
            </w:r>
            <w:r w:rsidR="00F646C2">
              <w:rPr>
                <w:szCs w:val="18"/>
                <w:lang w:val="es-MX"/>
              </w:rPr>
              <w:fldChar w:fldCharType="separate"/>
            </w:r>
            <w:r w:rsidR="007C5412">
              <w:rPr>
                <w:noProof/>
                <w:szCs w:val="18"/>
                <w:lang w:val="es-MX"/>
              </w:rPr>
              <w:t>1,609,942,786</w:t>
            </w:r>
            <w:r w:rsidR="00F646C2">
              <w:rPr>
                <w:szCs w:val="18"/>
                <w:lang w:val="es-MX"/>
              </w:rPr>
              <w:fldChar w:fldCharType="end"/>
            </w:r>
            <w:r w:rsidR="00F646C2">
              <w:rPr>
                <w:szCs w:val="18"/>
                <w:lang w:val="es-MX"/>
              </w:rPr>
              <w:fldChar w:fldCharType="end"/>
            </w:r>
            <w:r w:rsidR="00F646C2">
              <w:rPr>
                <w:szCs w:val="18"/>
                <w:lang w:val="es-MX"/>
              </w:rPr>
              <w:fldChar w:fldCharType="begin"/>
            </w:r>
            <w:r w:rsidR="00D1757C">
              <w:rPr>
                <w:szCs w:val="18"/>
                <w:lang w:val="es-MX"/>
              </w:rPr>
              <w:instrText xml:space="preserve"> =SUM(LEFT) </w:instrText>
            </w:r>
            <w:r w:rsidR="00F646C2">
              <w:rPr>
                <w:szCs w:val="18"/>
                <w:lang w:val="es-MX"/>
              </w:rPr>
              <w:fldChar w:fldCharType="end"/>
            </w:r>
          </w:p>
        </w:tc>
        <w:tc>
          <w:tcPr>
            <w:tcW w:w="1275" w:type="dxa"/>
            <w:tcBorders>
              <w:top w:val="single" w:sz="6" w:space="0" w:color="auto"/>
              <w:left w:val="single" w:sz="6" w:space="0" w:color="auto"/>
              <w:bottom w:val="single" w:sz="6" w:space="0" w:color="auto"/>
              <w:right w:val="single" w:sz="6" w:space="0" w:color="auto"/>
            </w:tcBorders>
          </w:tcPr>
          <w:p w:rsidR="00C013A1" w:rsidRPr="0073056A" w:rsidRDefault="00377F19" w:rsidP="00377F19">
            <w:pPr>
              <w:pStyle w:val="Texto"/>
              <w:tabs>
                <w:tab w:val="left" w:pos="33"/>
              </w:tabs>
              <w:spacing w:after="0" w:line="276" w:lineRule="auto"/>
              <w:ind w:left="-108" w:firstLine="0"/>
              <w:jc w:val="right"/>
              <w:rPr>
                <w:szCs w:val="18"/>
                <w:lang w:val="es-MX"/>
              </w:rPr>
            </w:pPr>
            <w:r>
              <w:rPr>
                <w:szCs w:val="18"/>
                <w:lang w:val="es-MX"/>
              </w:rPr>
              <w:t>$ 141,744,385</w:t>
            </w:r>
          </w:p>
        </w:tc>
        <w:tc>
          <w:tcPr>
            <w:tcW w:w="1276" w:type="dxa"/>
            <w:tcBorders>
              <w:top w:val="single" w:sz="6" w:space="0" w:color="auto"/>
              <w:left w:val="single" w:sz="6" w:space="0" w:color="auto"/>
              <w:bottom w:val="single" w:sz="6" w:space="0" w:color="auto"/>
              <w:right w:val="single" w:sz="6" w:space="0" w:color="auto"/>
            </w:tcBorders>
          </w:tcPr>
          <w:p w:rsidR="00C013A1" w:rsidRPr="0073056A" w:rsidRDefault="00377F19" w:rsidP="00377F19">
            <w:pPr>
              <w:pStyle w:val="Texto"/>
              <w:spacing w:after="0" w:line="276" w:lineRule="auto"/>
              <w:ind w:firstLine="0"/>
              <w:jc w:val="center"/>
              <w:rPr>
                <w:szCs w:val="18"/>
                <w:lang w:val="es-MX"/>
              </w:rPr>
            </w:pPr>
            <w:r>
              <w:rPr>
                <w:szCs w:val="18"/>
                <w:lang w:val="es-MX"/>
              </w:rPr>
              <w:t>8.8%</w:t>
            </w:r>
          </w:p>
        </w:tc>
      </w:tr>
    </w:tbl>
    <w:p w:rsidR="00C013A1" w:rsidRPr="0073056A" w:rsidRDefault="00C013A1" w:rsidP="00A54D75">
      <w:pPr>
        <w:tabs>
          <w:tab w:val="left" w:pos="284"/>
        </w:tabs>
        <w:spacing w:after="0"/>
        <w:ind w:left="284"/>
        <w:jc w:val="both"/>
        <w:rPr>
          <w:rFonts w:ascii="Arial" w:hAnsi="Arial" w:cs="Arial"/>
          <w:b/>
          <w:sz w:val="18"/>
          <w:szCs w:val="18"/>
        </w:rPr>
      </w:pPr>
    </w:p>
    <w:p w:rsidR="004E3EA4" w:rsidRDefault="004E3EA4"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bookmarkStart w:id="0" w:name="_MON_1514288184"/>
    <w:bookmarkEnd w:id="0"/>
    <w:p w:rsidR="009C4575" w:rsidRDefault="00157BC9" w:rsidP="00A54D75">
      <w:pPr>
        <w:tabs>
          <w:tab w:val="left" w:pos="284"/>
        </w:tabs>
        <w:spacing w:after="0"/>
        <w:ind w:left="284"/>
        <w:jc w:val="both"/>
        <w:rPr>
          <w:rFonts w:ascii="Arial" w:hAnsi="Arial" w:cs="Arial"/>
          <w:sz w:val="18"/>
          <w:szCs w:val="18"/>
        </w:rPr>
      </w:pPr>
      <w:r>
        <w:object w:dxaOrig="26008" w:dyaOrig="13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93pt;height:351pt" o:ole="">
            <v:imagedata r:id="rId8" o:title=""/>
          </v:shape>
          <o:OLEObject Type="Embed" ProgID="Excel.Sheet.12" ShapeID="_x0000_i1032" DrawAspect="Content" ObjectID="_1530910812" r:id="rId9"/>
        </w:object>
      </w:r>
    </w:p>
    <w:p w:rsidR="009C4575" w:rsidRDefault="009C4575"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2D2BEE" w:rsidRDefault="002D2BEE"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Default="009C4575" w:rsidP="00A54D75">
      <w:pPr>
        <w:tabs>
          <w:tab w:val="left" w:pos="284"/>
        </w:tabs>
        <w:spacing w:after="0"/>
        <w:ind w:left="284"/>
        <w:jc w:val="both"/>
        <w:rPr>
          <w:rFonts w:ascii="Arial" w:hAnsi="Arial" w:cs="Arial"/>
          <w:sz w:val="18"/>
          <w:szCs w:val="18"/>
        </w:rPr>
      </w:pPr>
    </w:p>
    <w:p w:rsidR="009C4575" w:rsidRPr="0073056A" w:rsidRDefault="009C4575" w:rsidP="00A54D75">
      <w:pPr>
        <w:tabs>
          <w:tab w:val="left" w:pos="284"/>
        </w:tabs>
        <w:spacing w:after="0"/>
        <w:ind w:left="284"/>
        <w:jc w:val="both"/>
        <w:rPr>
          <w:rFonts w:ascii="Arial" w:hAnsi="Arial" w:cs="Arial"/>
          <w:sz w:val="18"/>
          <w:szCs w:val="18"/>
        </w:rPr>
      </w:pPr>
    </w:p>
    <w:p w:rsidR="00C013A1" w:rsidRPr="0073056A" w:rsidRDefault="00C013A1" w:rsidP="00A54D75">
      <w:pPr>
        <w:tabs>
          <w:tab w:val="left" w:pos="284"/>
        </w:tabs>
        <w:spacing w:after="0"/>
        <w:ind w:left="284"/>
        <w:jc w:val="both"/>
        <w:rPr>
          <w:rFonts w:ascii="Arial" w:hAnsi="Arial" w:cs="Arial"/>
          <w:sz w:val="18"/>
          <w:szCs w:val="18"/>
        </w:rPr>
      </w:pPr>
    </w:p>
    <w:p w:rsidR="00C013A1" w:rsidRPr="0073056A" w:rsidRDefault="004E3EA4" w:rsidP="00A54D75">
      <w:pPr>
        <w:tabs>
          <w:tab w:val="left" w:pos="284"/>
        </w:tabs>
        <w:spacing w:after="0"/>
        <w:ind w:left="284"/>
        <w:jc w:val="both"/>
        <w:rPr>
          <w:rFonts w:ascii="Arial" w:hAnsi="Arial" w:cs="Arial"/>
          <w:b/>
          <w:sz w:val="18"/>
          <w:szCs w:val="18"/>
        </w:rPr>
      </w:pPr>
      <w:r>
        <w:rPr>
          <w:rFonts w:ascii="Arial" w:hAnsi="Arial" w:cs="Arial"/>
          <w:b/>
          <w:sz w:val="18"/>
          <w:szCs w:val="18"/>
        </w:rPr>
        <w:lastRenderedPageBreak/>
        <w:t>A</w:t>
      </w:r>
      <w:r w:rsidR="00C013A1" w:rsidRPr="0073056A">
        <w:rPr>
          <w:rFonts w:ascii="Arial" w:hAnsi="Arial" w:cs="Arial"/>
          <w:b/>
          <w:sz w:val="18"/>
          <w:szCs w:val="18"/>
        </w:rPr>
        <w:t>horro/Desahorro antes de rubros extraordinarios</w:t>
      </w:r>
    </w:p>
    <w:p w:rsidR="00C013A1" w:rsidRDefault="00C013A1" w:rsidP="00A54D75">
      <w:pPr>
        <w:tabs>
          <w:tab w:val="left" w:pos="284"/>
        </w:tabs>
        <w:spacing w:after="0"/>
        <w:ind w:left="284"/>
        <w:jc w:val="both"/>
        <w:rPr>
          <w:rFonts w:ascii="Arial" w:hAnsi="Arial" w:cs="Arial"/>
          <w:sz w:val="18"/>
          <w:szCs w:val="18"/>
        </w:rPr>
      </w:pPr>
      <w:r w:rsidRPr="0073056A">
        <w:rPr>
          <w:rFonts w:ascii="Arial" w:hAnsi="Arial" w:cs="Arial"/>
          <w:sz w:val="18"/>
          <w:szCs w:val="18"/>
        </w:rPr>
        <w:t>______________________________________________</w:t>
      </w:r>
    </w:p>
    <w:p w:rsidR="004E3EA4" w:rsidRPr="0073056A" w:rsidRDefault="004E3EA4" w:rsidP="00A54D75">
      <w:pPr>
        <w:tabs>
          <w:tab w:val="left" w:pos="284"/>
        </w:tabs>
        <w:spacing w:after="0"/>
        <w:ind w:left="284"/>
        <w:jc w:val="both"/>
        <w:rPr>
          <w:rFonts w:ascii="Arial" w:hAnsi="Arial" w:cs="Arial"/>
          <w:sz w:val="18"/>
          <w:szCs w:val="18"/>
        </w:rPr>
      </w:pPr>
    </w:p>
    <w:tbl>
      <w:tblPr>
        <w:tblW w:w="0" w:type="auto"/>
        <w:jc w:val="center"/>
        <w:tblLayout w:type="fixed"/>
        <w:tblLook w:val="0000" w:firstRow="0" w:lastRow="0" w:firstColumn="0" w:lastColumn="0" w:noHBand="0" w:noVBand="0"/>
      </w:tblPr>
      <w:tblGrid>
        <w:gridCol w:w="5734"/>
        <w:gridCol w:w="1701"/>
        <w:gridCol w:w="1706"/>
        <w:gridCol w:w="1386"/>
        <w:gridCol w:w="1579"/>
      </w:tblGrid>
      <w:tr w:rsidR="00C013A1" w:rsidRPr="0073056A" w:rsidTr="009C4575">
        <w:trPr>
          <w:cantSplit/>
          <w:jc w:val="center"/>
        </w:trPr>
        <w:tc>
          <w:tcPr>
            <w:tcW w:w="5734"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C013A1" w:rsidP="00A54D75">
            <w:pPr>
              <w:pStyle w:val="Texto"/>
              <w:tabs>
                <w:tab w:val="left" w:pos="284"/>
              </w:tabs>
              <w:spacing w:after="0" w:line="276" w:lineRule="auto"/>
              <w:ind w:left="284" w:firstLine="0"/>
              <w:jc w:val="center"/>
              <w:rPr>
                <w:b/>
                <w:szCs w:val="18"/>
                <w:lang w:val="es-MX"/>
              </w:rPr>
            </w:pPr>
            <w:r w:rsidRPr="0073056A">
              <w:rPr>
                <w:b/>
                <w:szCs w:val="18"/>
                <w:lang w:val="es-MX"/>
              </w:rPr>
              <w:t>Concepto</w:t>
            </w:r>
          </w:p>
        </w:tc>
        <w:tc>
          <w:tcPr>
            <w:tcW w:w="1701"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C013A1" w:rsidP="005718EC">
            <w:pPr>
              <w:pStyle w:val="Texto"/>
              <w:tabs>
                <w:tab w:val="left" w:pos="284"/>
              </w:tabs>
              <w:spacing w:after="0" w:line="276" w:lineRule="auto"/>
              <w:ind w:left="284" w:firstLine="0"/>
              <w:jc w:val="center"/>
              <w:rPr>
                <w:b/>
                <w:szCs w:val="18"/>
                <w:lang w:val="es-MX"/>
              </w:rPr>
            </w:pPr>
            <w:r w:rsidRPr="0073056A">
              <w:rPr>
                <w:b/>
                <w:szCs w:val="18"/>
                <w:lang w:val="es-MX"/>
              </w:rPr>
              <w:t>201</w:t>
            </w:r>
            <w:r w:rsidR="005718EC">
              <w:rPr>
                <w:b/>
                <w:szCs w:val="18"/>
                <w:lang w:val="es-MX"/>
              </w:rPr>
              <w:t>5</w:t>
            </w:r>
          </w:p>
        </w:tc>
        <w:tc>
          <w:tcPr>
            <w:tcW w:w="1706" w:type="dxa"/>
            <w:vMerge w:val="restart"/>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7C5412" w:rsidP="00A54D75">
            <w:pPr>
              <w:pStyle w:val="Texto"/>
              <w:tabs>
                <w:tab w:val="left" w:pos="284"/>
              </w:tabs>
              <w:spacing w:after="0" w:line="276" w:lineRule="auto"/>
              <w:ind w:left="284" w:firstLine="0"/>
              <w:jc w:val="center"/>
              <w:rPr>
                <w:b/>
                <w:szCs w:val="18"/>
                <w:lang w:val="es-MX"/>
              </w:rPr>
            </w:pPr>
            <w:r>
              <w:rPr>
                <w:b/>
                <w:szCs w:val="18"/>
                <w:lang w:val="es-MX"/>
              </w:rPr>
              <w:t>2014</w:t>
            </w:r>
          </w:p>
        </w:tc>
        <w:tc>
          <w:tcPr>
            <w:tcW w:w="2965"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C013A1" w:rsidP="00A54D75">
            <w:pPr>
              <w:pStyle w:val="Texto"/>
              <w:tabs>
                <w:tab w:val="left" w:pos="284"/>
              </w:tabs>
              <w:spacing w:after="0" w:line="276" w:lineRule="auto"/>
              <w:ind w:left="284" w:firstLine="0"/>
              <w:jc w:val="center"/>
              <w:rPr>
                <w:b/>
                <w:szCs w:val="18"/>
                <w:lang w:val="es-MX"/>
              </w:rPr>
            </w:pPr>
            <w:r w:rsidRPr="0073056A">
              <w:rPr>
                <w:b/>
                <w:szCs w:val="18"/>
                <w:lang w:val="es-MX"/>
              </w:rPr>
              <w:t>Variación</w:t>
            </w:r>
          </w:p>
        </w:tc>
      </w:tr>
      <w:tr w:rsidR="00C013A1" w:rsidRPr="0073056A" w:rsidTr="009C4575">
        <w:trPr>
          <w:cantSplit/>
          <w:jc w:val="center"/>
        </w:trPr>
        <w:tc>
          <w:tcPr>
            <w:tcW w:w="5734" w:type="dxa"/>
            <w:vMerge/>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C013A1" w:rsidP="00A54D75">
            <w:pPr>
              <w:pStyle w:val="Texto"/>
              <w:tabs>
                <w:tab w:val="left" w:pos="284"/>
              </w:tabs>
              <w:spacing w:after="0" w:line="276" w:lineRule="auto"/>
              <w:ind w:left="284" w:firstLine="0"/>
              <w:jc w:val="center"/>
              <w:rPr>
                <w:b/>
                <w:szCs w:val="18"/>
                <w:lang w:val="es-MX"/>
              </w:rPr>
            </w:pPr>
          </w:p>
        </w:tc>
        <w:tc>
          <w:tcPr>
            <w:tcW w:w="1701" w:type="dxa"/>
            <w:vMerge/>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C013A1" w:rsidP="00A54D75">
            <w:pPr>
              <w:pStyle w:val="Texto"/>
              <w:tabs>
                <w:tab w:val="left" w:pos="284"/>
              </w:tabs>
              <w:spacing w:after="0" w:line="276" w:lineRule="auto"/>
              <w:ind w:left="284" w:firstLine="0"/>
              <w:jc w:val="center"/>
              <w:rPr>
                <w:b/>
                <w:szCs w:val="18"/>
                <w:lang w:val="es-MX"/>
              </w:rPr>
            </w:pPr>
          </w:p>
        </w:tc>
        <w:tc>
          <w:tcPr>
            <w:tcW w:w="1706" w:type="dxa"/>
            <w:vMerge/>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C013A1" w:rsidP="00A54D75">
            <w:pPr>
              <w:pStyle w:val="Texto"/>
              <w:tabs>
                <w:tab w:val="left" w:pos="284"/>
              </w:tabs>
              <w:spacing w:after="0" w:line="276" w:lineRule="auto"/>
              <w:ind w:left="284" w:firstLine="0"/>
              <w:jc w:val="center"/>
              <w:rPr>
                <w:b/>
                <w:szCs w:val="18"/>
                <w:lang w:val="es-MX"/>
              </w:rPr>
            </w:pPr>
          </w:p>
        </w:tc>
        <w:tc>
          <w:tcPr>
            <w:tcW w:w="1386" w:type="dxa"/>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C013A1" w:rsidP="00A54D75">
            <w:pPr>
              <w:pStyle w:val="Texto"/>
              <w:tabs>
                <w:tab w:val="left" w:pos="284"/>
              </w:tabs>
              <w:spacing w:after="0" w:line="276" w:lineRule="auto"/>
              <w:ind w:left="284" w:firstLine="0"/>
              <w:jc w:val="center"/>
              <w:rPr>
                <w:b/>
                <w:szCs w:val="18"/>
                <w:lang w:val="es-MX"/>
              </w:rPr>
            </w:pPr>
            <w:r w:rsidRPr="0073056A">
              <w:rPr>
                <w:b/>
                <w:szCs w:val="18"/>
                <w:lang w:val="es-MX"/>
              </w:rPr>
              <w:t>Importe</w:t>
            </w:r>
          </w:p>
        </w:tc>
        <w:tc>
          <w:tcPr>
            <w:tcW w:w="1579" w:type="dxa"/>
            <w:tcBorders>
              <w:top w:val="single" w:sz="4" w:space="0" w:color="auto"/>
              <w:left w:val="single" w:sz="4" w:space="0" w:color="auto"/>
              <w:bottom w:val="single" w:sz="4" w:space="0" w:color="auto"/>
              <w:right w:val="single" w:sz="4" w:space="0" w:color="auto"/>
            </w:tcBorders>
            <w:shd w:val="pct10" w:color="auto" w:fill="auto"/>
            <w:vAlign w:val="center"/>
          </w:tcPr>
          <w:p w:rsidR="00C013A1" w:rsidRPr="0073056A" w:rsidRDefault="00C013A1" w:rsidP="00A54D75">
            <w:pPr>
              <w:pStyle w:val="Texto"/>
              <w:tabs>
                <w:tab w:val="left" w:pos="284"/>
              </w:tabs>
              <w:spacing w:after="0" w:line="276" w:lineRule="auto"/>
              <w:ind w:left="284" w:firstLine="0"/>
              <w:jc w:val="center"/>
              <w:rPr>
                <w:b/>
                <w:szCs w:val="18"/>
                <w:lang w:val="es-MX"/>
              </w:rPr>
            </w:pPr>
            <w:r w:rsidRPr="0073056A">
              <w:rPr>
                <w:b/>
                <w:szCs w:val="18"/>
                <w:lang w:val="es-MX"/>
              </w:rPr>
              <w:t>Porcentaje</w:t>
            </w:r>
          </w:p>
        </w:tc>
      </w:tr>
      <w:tr w:rsidR="009C4575" w:rsidRPr="0073056A" w:rsidTr="009C4575">
        <w:trPr>
          <w:cantSplit/>
          <w:jc w:val="center"/>
        </w:trPr>
        <w:tc>
          <w:tcPr>
            <w:tcW w:w="5734" w:type="dxa"/>
            <w:tcBorders>
              <w:top w:val="single" w:sz="4" w:space="0" w:color="auto"/>
              <w:left w:val="single" w:sz="6" w:space="0" w:color="auto"/>
              <w:bottom w:val="single" w:sz="6" w:space="0" w:color="auto"/>
              <w:right w:val="single" w:sz="6" w:space="0" w:color="auto"/>
            </w:tcBorders>
          </w:tcPr>
          <w:p w:rsidR="009C4575" w:rsidRPr="0073056A" w:rsidRDefault="009C4575" w:rsidP="00A54D75">
            <w:pPr>
              <w:pStyle w:val="Texto"/>
              <w:tabs>
                <w:tab w:val="left" w:pos="284"/>
              </w:tabs>
              <w:spacing w:after="0" w:line="276" w:lineRule="auto"/>
              <w:ind w:left="284" w:firstLine="0"/>
              <w:rPr>
                <w:b/>
                <w:szCs w:val="18"/>
                <w:lang w:val="es-MX"/>
              </w:rPr>
            </w:pPr>
            <w:r w:rsidRPr="0073056A">
              <w:rPr>
                <w:b/>
                <w:szCs w:val="18"/>
                <w:lang w:val="es-MX"/>
              </w:rPr>
              <w:t>Ahorro/Desahorro antes de rubros Extraordinarios</w:t>
            </w:r>
          </w:p>
        </w:tc>
        <w:tc>
          <w:tcPr>
            <w:tcW w:w="1701" w:type="dxa"/>
            <w:tcBorders>
              <w:top w:val="single" w:sz="4" w:space="0" w:color="auto"/>
              <w:left w:val="single" w:sz="6" w:space="0" w:color="auto"/>
              <w:bottom w:val="single" w:sz="6" w:space="0" w:color="auto"/>
              <w:right w:val="single" w:sz="6" w:space="0" w:color="auto"/>
            </w:tcBorders>
          </w:tcPr>
          <w:p w:rsidR="009C4575" w:rsidRPr="009C4575" w:rsidRDefault="00EF4AF4" w:rsidP="009C4575">
            <w:pPr>
              <w:spacing w:after="0"/>
              <w:jc w:val="right"/>
              <w:rPr>
                <w:rFonts w:ascii="Arial" w:hAnsi="Arial" w:cs="Arial"/>
                <w:b/>
                <w:bCs/>
                <w:i/>
                <w:iCs/>
                <w:sz w:val="18"/>
                <w:szCs w:val="18"/>
              </w:rPr>
            </w:pPr>
            <w:r>
              <w:rPr>
                <w:rFonts w:ascii="Arial" w:hAnsi="Arial" w:cs="Arial"/>
                <w:b/>
                <w:bCs/>
                <w:i/>
                <w:iCs/>
                <w:sz w:val="18"/>
                <w:szCs w:val="18"/>
              </w:rPr>
              <w:t>2,132,446,999</w:t>
            </w:r>
          </w:p>
        </w:tc>
        <w:tc>
          <w:tcPr>
            <w:tcW w:w="1706" w:type="dxa"/>
            <w:tcBorders>
              <w:top w:val="single" w:sz="4" w:space="0" w:color="auto"/>
              <w:left w:val="single" w:sz="6" w:space="0" w:color="auto"/>
              <w:bottom w:val="single" w:sz="6" w:space="0" w:color="auto"/>
              <w:right w:val="single" w:sz="6" w:space="0" w:color="auto"/>
            </w:tcBorders>
          </w:tcPr>
          <w:p w:rsidR="009C4575" w:rsidRPr="009C4575" w:rsidRDefault="007C5412" w:rsidP="009C4575">
            <w:pPr>
              <w:spacing w:after="0"/>
              <w:jc w:val="right"/>
              <w:rPr>
                <w:rFonts w:ascii="Arial" w:hAnsi="Arial" w:cs="Arial"/>
                <w:b/>
                <w:bCs/>
                <w:i/>
                <w:iCs/>
                <w:sz w:val="18"/>
                <w:szCs w:val="18"/>
              </w:rPr>
            </w:pPr>
            <w:r w:rsidRPr="009C4575">
              <w:rPr>
                <w:rFonts w:ascii="Arial" w:hAnsi="Arial" w:cs="Arial"/>
                <w:b/>
                <w:bCs/>
                <w:i/>
                <w:iCs/>
                <w:sz w:val="18"/>
                <w:szCs w:val="18"/>
              </w:rPr>
              <w:t>1,452,137,312</w:t>
            </w:r>
          </w:p>
        </w:tc>
        <w:tc>
          <w:tcPr>
            <w:tcW w:w="1386" w:type="dxa"/>
            <w:tcBorders>
              <w:top w:val="single" w:sz="4" w:space="0" w:color="auto"/>
              <w:left w:val="single" w:sz="6" w:space="0" w:color="auto"/>
              <w:bottom w:val="single" w:sz="6" w:space="0" w:color="auto"/>
              <w:right w:val="single" w:sz="6" w:space="0" w:color="auto"/>
            </w:tcBorders>
          </w:tcPr>
          <w:p w:rsidR="009C4575" w:rsidRPr="00EF4AF4" w:rsidRDefault="00EF4AF4" w:rsidP="009C4575">
            <w:pPr>
              <w:spacing w:after="0"/>
              <w:jc w:val="right"/>
              <w:rPr>
                <w:rFonts w:ascii="Arial" w:hAnsi="Arial" w:cs="Arial"/>
                <w:b/>
                <w:i/>
                <w:sz w:val="18"/>
                <w:szCs w:val="18"/>
              </w:rPr>
            </w:pPr>
            <w:r w:rsidRPr="00EF4AF4">
              <w:rPr>
                <w:rFonts w:ascii="Arial" w:hAnsi="Arial" w:cs="Arial"/>
                <w:b/>
                <w:i/>
                <w:sz w:val="18"/>
                <w:szCs w:val="18"/>
              </w:rPr>
              <w:t>680,309,687</w:t>
            </w:r>
          </w:p>
        </w:tc>
        <w:tc>
          <w:tcPr>
            <w:tcW w:w="1579" w:type="dxa"/>
            <w:tcBorders>
              <w:top w:val="single" w:sz="4" w:space="0" w:color="auto"/>
              <w:left w:val="single" w:sz="6" w:space="0" w:color="auto"/>
              <w:bottom w:val="single" w:sz="6" w:space="0" w:color="auto"/>
              <w:right w:val="single" w:sz="6" w:space="0" w:color="auto"/>
            </w:tcBorders>
          </w:tcPr>
          <w:p w:rsidR="009C4575" w:rsidRPr="009C4575" w:rsidRDefault="00EF4AF4" w:rsidP="00A54D75">
            <w:pPr>
              <w:pStyle w:val="Texto"/>
              <w:tabs>
                <w:tab w:val="left" w:pos="284"/>
              </w:tabs>
              <w:spacing w:after="0" w:line="276" w:lineRule="auto"/>
              <w:ind w:left="284" w:firstLine="0"/>
              <w:jc w:val="center"/>
              <w:rPr>
                <w:b/>
                <w:i/>
                <w:szCs w:val="18"/>
                <w:lang w:val="es-MX"/>
              </w:rPr>
            </w:pPr>
            <w:r>
              <w:rPr>
                <w:b/>
                <w:i/>
                <w:szCs w:val="18"/>
                <w:lang w:val="es-MX"/>
              </w:rPr>
              <w:t>46.8</w:t>
            </w:r>
            <w:r w:rsidR="009C4575" w:rsidRPr="009C4575">
              <w:rPr>
                <w:b/>
                <w:i/>
                <w:szCs w:val="18"/>
                <w:lang w:val="es-MX"/>
              </w:rPr>
              <w:t>%</w:t>
            </w:r>
          </w:p>
        </w:tc>
      </w:tr>
      <w:tr w:rsidR="00C013A1" w:rsidRPr="0073056A" w:rsidTr="009C4575">
        <w:trPr>
          <w:cantSplit/>
          <w:jc w:val="center"/>
        </w:trPr>
        <w:tc>
          <w:tcPr>
            <w:tcW w:w="5734"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rPr>
                <w:i/>
                <w:szCs w:val="18"/>
                <w:lang w:val="es-MX"/>
              </w:rPr>
            </w:pPr>
            <w:r w:rsidRPr="0073056A">
              <w:rPr>
                <w:i/>
                <w:szCs w:val="18"/>
                <w:lang w:val="es-MX"/>
              </w:rPr>
              <w:t>Movimientos de partidas (o rubros) que no afectan al efectivo.</w:t>
            </w:r>
          </w:p>
        </w:tc>
        <w:tc>
          <w:tcPr>
            <w:tcW w:w="1701"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jc w:val="center"/>
              <w:rPr>
                <w:szCs w:val="18"/>
                <w:lang w:val="es-MX"/>
              </w:rPr>
            </w:pPr>
          </w:p>
        </w:tc>
        <w:tc>
          <w:tcPr>
            <w:tcW w:w="1706"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jc w:val="center"/>
              <w:rPr>
                <w:szCs w:val="18"/>
                <w:lang w:val="es-MX"/>
              </w:rPr>
            </w:pPr>
          </w:p>
        </w:tc>
        <w:tc>
          <w:tcPr>
            <w:tcW w:w="1386"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jc w:val="center"/>
              <w:rPr>
                <w:szCs w:val="18"/>
                <w:lang w:val="es-MX"/>
              </w:rPr>
            </w:pPr>
          </w:p>
        </w:tc>
        <w:tc>
          <w:tcPr>
            <w:tcW w:w="1579"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jc w:val="center"/>
              <w:rPr>
                <w:szCs w:val="18"/>
                <w:lang w:val="es-MX"/>
              </w:rPr>
            </w:pPr>
          </w:p>
        </w:tc>
      </w:tr>
      <w:tr w:rsidR="00C013A1" w:rsidRPr="0073056A" w:rsidTr="009C4575">
        <w:trPr>
          <w:cantSplit/>
          <w:jc w:val="center"/>
        </w:trPr>
        <w:tc>
          <w:tcPr>
            <w:tcW w:w="5734"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rPr>
                <w:szCs w:val="18"/>
                <w:lang w:val="es-MX"/>
              </w:rPr>
            </w:pPr>
            <w:r w:rsidRPr="0073056A">
              <w:rPr>
                <w:szCs w:val="18"/>
                <w:lang w:val="es-MX"/>
              </w:rPr>
              <w:t>Depreciación</w:t>
            </w:r>
          </w:p>
        </w:tc>
        <w:tc>
          <w:tcPr>
            <w:tcW w:w="1701"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70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38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579"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r>
      <w:tr w:rsidR="00C013A1" w:rsidRPr="0073056A" w:rsidTr="009C4575">
        <w:trPr>
          <w:cantSplit/>
          <w:jc w:val="center"/>
        </w:trPr>
        <w:tc>
          <w:tcPr>
            <w:tcW w:w="5734"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rPr>
                <w:szCs w:val="18"/>
                <w:lang w:val="es-MX"/>
              </w:rPr>
            </w:pPr>
            <w:r w:rsidRPr="0073056A">
              <w:rPr>
                <w:szCs w:val="18"/>
                <w:lang w:val="es-MX"/>
              </w:rPr>
              <w:t>Amortización</w:t>
            </w:r>
          </w:p>
        </w:tc>
        <w:tc>
          <w:tcPr>
            <w:tcW w:w="1701"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70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38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579"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r>
      <w:tr w:rsidR="00C013A1" w:rsidRPr="0073056A" w:rsidTr="009C4575">
        <w:trPr>
          <w:cantSplit/>
          <w:jc w:val="center"/>
        </w:trPr>
        <w:tc>
          <w:tcPr>
            <w:tcW w:w="5734"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rPr>
                <w:szCs w:val="18"/>
                <w:lang w:val="es-MX"/>
              </w:rPr>
            </w:pPr>
            <w:r w:rsidRPr="0073056A">
              <w:rPr>
                <w:szCs w:val="18"/>
                <w:lang w:val="es-MX"/>
              </w:rPr>
              <w:t>Incrementos en las provisiones</w:t>
            </w:r>
          </w:p>
        </w:tc>
        <w:tc>
          <w:tcPr>
            <w:tcW w:w="1701"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70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38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579"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r>
      <w:tr w:rsidR="00C013A1" w:rsidRPr="0073056A" w:rsidTr="009C4575">
        <w:trPr>
          <w:cantSplit/>
          <w:trHeight w:val="212"/>
          <w:jc w:val="center"/>
        </w:trPr>
        <w:tc>
          <w:tcPr>
            <w:tcW w:w="5734"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rPr>
                <w:szCs w:val="18"/>
                <w:lang w:val="es-MX"/>
              </w:rPr>
            </w:pPr>
            <w:r w:rsidRPr="0073056A">
              <w:rPr>
                <w:szCs w:val="18"/>
                <w:lang w:val="es-MX"/>
              </w:rPr>
              <w:t>Incremento en inversiones producido por revaluación</w:t>
            </w:r>
          </w:p>
        </w:tc>
        <w:tc>
          <w:tcPr>
            <w:tcW w:w="1701"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70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38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579"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r>
      <w:tr w:rsidR="00C013A1" w:rsidRPr="0073056A" w:rsidTr="009C4575">
        <w:trPr>
          <w:cantSplit/>
          <w:trHeight w:val="102"/>
          <w:jc w:val="center"/>
        </w:trPr>
        <w:tc>
          <w:tcPr>
            <w:tcW w:w="5734"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rPr>
                <w:szCs w:val="18"/>
                <w:lang w:val="es-MX"/>
              </w:rPr>
            </w:pPr>
            <w:r w:rsidRPr="0073056A">
              <w:rPr>
                <w:szCs w:val="18"/>
                <w:lang w:val="es-MX"/>
              </w:rPr>
              <w:t>Ganancia/pérdida en venta de propiedad, planta y equipo</w:t>
            </w:r>
          </w:p>
        </w:tc>
        <w:tc>
          <w:tcPr>
            <w:tcW w:w="1701"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70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38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579"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r>
      <w:tr w:rsidR="00C013A1" w:rsidRPr="0073056A" w:rsidTr="009C4575">
        <w:trPr>
          <w:cantSplit/>
          <w:jc w:val="center"/>
        </w:trPr>
        <w:tc>
          <w:tcPr>
            <w:tcW w:w="5734"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rPr>
                <w:szCs w:val="18"/>
                <w:lang w:val="es-MX"/>
              </w:rPr>
            </w:pPr>
            <w:r w:rsidRPr="0073056A">
              <w:rPr>
                <w:szCs w:val="18"/>
                <w:lang w:val="es-MX"/>
              </w:rPr>
              <w:t>Incremento en cuentas por cobrar</w:t>
            </w:r>
          </w:p>
        </w:tc>
        <w:tc>
          <w:tcPr>
            <w:tcW w:w="1701"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70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38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579"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r>
      <w:tr w:rsidR="00C013A1" w:rsidRPr="0073056A" w:rsidTr="009C4575">
        <w:trPr>
          <w:cantSplit/>
          <w:jc w:val="center"/>
        </w:trPr>
        <w:tc>
          <w:tcPr>
            <w:tcW w:w="5734" w:type="dxa"/>
            <w:tcBorders>
              <w:top w:val="single" w:sz="6" w:space="0" w:color="auto"/>
              <w:left w:val="single" w:sz="6" w:space="0" w:color="auto"/>
              <w:bottom w:val="single" w:sz="6" w:space="0" w:color="auto"/>
              <w:right w:val="single" w:sz="6" w:space="0" w:color="auto"/>
            </w:tcBorders>
          </w:tcPr>
          <w:p w:rsidR="00C013A1" w:rsidRPr="0073056A" w:rsidRDefault="00C013A1" w:rsidP="00A54D75">
            <w:pPr>
              <w:pStyle w:val="Texto"/>
              <w:tabs>
                <w:tab w:val="left" w:pos="284"/>
              </w:tabs>
              <w:spacing w:after="0" w:line="276" w:lineRule="auto"/>
              <w:ind w:left="284" w:firstLine="0"/>
              <w:rPr>
                <w:szCs w:val="18"/>
                <w:lang w:val="es-MX"/>
              </w:rPr>
            </w:pPr>
            <w:r w:rsidRPr="0073056A">
              <w:rPr>
                <w:szCs w:val="18"/>
                <w:lang w:val="es-MX"/>
              </w:rPr>
              <w:t>Partidas extraordinarias</w:t>
            </w:r>
          </w:p>
        </w:tc>
        <w:tc>
          <w:tcPr>
            <w:tcW w:w="1701"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70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386"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c>
          <w:tcPr>
            <w:tcW w:w="1579" w:type="dxa"/>
            <w:tcBorders>
              <w:top w:val="single" w:sz="6" w:space="0" w:color="auto"/>
              <w:left w:val="single" w:sz="6" w:space="0" w:color="auto"/>
              <w:bottom w:val="single" w:sz="6" w:space="0" w:color="auto"/>
              <w:right w:val="single" w:sz="6" w:space="0" w:color="auto"/>
            </w:tcBorders>
          </w:tcPr>
          <w:p w:rsidR="00C013A1" w:rsidRPr="0073056A" w:rsidRDefault="009C4575" w:rsidP="00A54D75">
            <w:pPr>
              <w:pStyle w:val="Texto"/>
              <w:tabs>
                <w:tab w:val="left" w:pos="284"/>
              </w:tabs>
              <w:spacing w:after="0" w:line="276" w:lineRule="auto"/>
              <w:ind w:left="284" w:firstLine="0"/>
              <w:jc w:val="center"/>
              <w:rPr>
                <w:szCs w:val="18"/>
                <w:lang w:val="es-MX"/>
              </w:rPr>
            </w:pPr>
            <w:r>
              <w:rPr>
                <w:szCs w:val="18"/>
                <w:lang w:val="es-MX"/>
              </w:rPr>
              <w:t>0%</w:t>
            </w:r>
          </w:p>
        </w:tc>
      </w:tr>
    </w:tbl>
    <w:p w:rsidR="00C013A1" w:rsidRPr="0073056A" w:rsidRDefault="00C013A1" w:rsidP="00A54D75">
      <w:pPr>
        <w:tabs>
          <w:tab w:val="left" w:pos="284"/>
        </w:tabs>
        <w:spacing w:after="0"/>
        <w:ind w:left="284"/>
        <w:jc w:val="both"/>
        <w:rPr>
          <w:rFonts w:ascii="Arial" w:hAnsi="Arial" w:cs="Arial"/>
          <w:sz w:val="18"/>
          <w:szCs w:val="18"/>
        </w:rPr>
      </w:pPr>
    </w:p>
    <w:p w:rsidR="00540418" w:rsidRDefault="00540418" w:rsidP="00C50527">
      <w:pPr>
        <w:pStyle w:val="Texto"/>
        <w:tabs>
          <w:tab w:val="left" w:pos="284"/>
        </w:tabs>
        <w:spacing w:after="0" w:line="276" w:lineRule="auto"/>
        <w:ind w:left="284" w:firstLine="0"/>
        <w:rPr>
          <w:szCs w:val="18"/>
          <w:lang w:val="es-MX"/>
        </w:rPr>
      </w:pPr>
    </w:p>
    <w:p w:rsidR="007C53EF" w:rsidRPr="0073056A" w:rsidRDefault="007C53EF" w:rsidP="00C50527">
      <w:pPr>
        <w:pStyle w:val="Texto"/>
        <w:tabs>
          <w:tab w:val="left" w:pos="284"/>
        </w:tabs>
        <w:spacing w:after="0" w:line="276" w:lineRule="auto"/>
        <w:ind w:left="284" w:firstLine="0"/>
        <w:rPr>
          <w:szCs w:val="18"/>
          <w:lang w:val="es-MX"/>
        </w:rPr>
      </w:pPr>
    </w:p>
    <w:p w:rsidR="00CD299E" w:rsidRDefault="00CD299E" w:rsidP="00C50527">
      <w:pPr>
        <w:pStyle w:val="INCISO"/>
        <w:tabs>
          <w:tab w:val="left" w:pos="284"/>
        </w:tabs>
        <w:spacing w:after="0" w:line="276" w:lineRule="auto"/>
        <w:ind w:left="284" w:firstLine="0"/>
        <w:rPr>
          <w:b/>
          <w:smallCaps/>
        </w:rPr>
      </w:pPr>
    </w:p>
    <w:p w:rsidR="00CD299E" w:rsidRDefault="00CD299E" w:rsidP="00C50527">
      <w:pPr>
        <w:pStyle w:val="INCISO"/>
        <w:tabs>
          <w:tab w:val="left" w:pos="284"/>
        </w:tabs>
        <w:spacing w:after="0" w:line="276" w:lineRule="auto"/>
        <w:ind w:left="284" w:firstLine="0"/>
        <w:rPr>
          <w:b/>
          <w:smallCaps/>
        </w:rPr>
      </w:pPr>
    </w:p>
    <w:p w:rsidR="00CD299E" w:rsidRDefault="00CD299E" w:rsidP="00C50527">
      <w:pPr>
        <w:pStyle w:val="INCISO"/>
        <w:tabs>
          <w:tab w:val="left" w:pos="284"/>
        </w:tabs>
        <w:spacing w:after="0" w:line="276" w:lineRule="auto"/>
        <w:ind w:left="284" w:firstLine="0"/>
        <w:rPr>
          <w:b/>
          <w:smallCaps/>
        </w:rPr>
      </w:pPr>
    </w:p>
    <w:p w:rsidR="00340B8D" w:rsidRDefault="00340B8D" w:rsidP="00C50527">
      <w:pPr>
        <w:pStyle w:val="INCISO"/>
        <w:tabs>
          <w:tab w:val="left" w:pos="284"/>
        </w:tabs>
        <w:spacing w:after="0" w:line="276" w:lineRule="auto"/>
        <w:ind w:left="284" w:firstLine="0"/>
        <w:rPr>
          <w:b/>
          <w:smallCaps/>
        </w:rPr>
      </w:pPr>
    </w:p>
    <w:p w:rsidR="00340B8D" w:rsidRDefault="00340B8D" w:rsidP="00C50527">
      <w:pPr>
        <w:pStyle w:val="INCISO"/>
        <w:tabs>
          <w:tab w:val="left" w:pos="284"/>
        </w:tabs>
        <w:spacing w:after="0" w:line="276" w:lineRule="auto"/>
        <w:ind w:left="284" w:firstLine="0"/>
        <w:rPr>
          <w:b/>
          <w:smallCaps/>
        </w:rPr>
      </w:pPr>
    </w:p>
    <w:p w:rsidR="00340B8D" w:rsidRDefault="00340B8D" w:rsidP="00C50527">
      <w:pPr>
        <w:pStyle w:val="INCISO"/>
        <w:tabs>
          <w:tab w:val="left" w:pos="284"/>
        </w:tabs>
        <w:spacing w:after="0" w:line="276" w:lineRule="auto"/>
        <w:ind w:left="284" w:firstLine="0"/>
        <w:rPr>
          <w:b/>
          <w:smallCaps/>
        </w:rPr>
      </w:pPr>
    </w:p>
    <w:p w:rsidR="00340B8D" w:rsidRDefault="00340B8D" w:rsidP="00C50527">
      <w:pPr>
        <w:pStyle w:val="INCISO"/>
        <w:tabs>
          <w:tab w:val="left" w:pos="284"/>
        </w:tabs>
        <w:spacing w:after="0" w:line="276" w:lineRule="auto"/>
        <w:ind w:left="284" w:firstLine="0"/>
        <w:rPr>
          <w:b/>
          <w:smallCaps/>
        </w:rPr>
      </w:pPr>
    </w:p>
    <w:p w:rsidR="00340B8D" w:rsidRDefault="00340B8D" w:rsidP="00C50527">
      <w:pPr>
        <w:pStyle w:val="INCISO"/>
        <w:tabs>
          <w:tab w:val="left" w:pos="284"/>
        </w:tabs>
        <w:spacing w:after="0" w:line="276" w:lineRule="auto"/>
        <w:ind w:left="284" w:firstLine="0"/>
        <w:rPr>
          <w:b/>
          <w:smallCaps/>
        </w:rPr>
      </w:pPr>
    </w:p>
    <w:p w:rsidR="00340B8D" w:rsidRDefault="00340B8D" w:rsidP="00C50527">
      <w:pPr>
        <w:pStyle w:val="INCISO"/>
        <w:tabs>
          <w:tab w:val="left" w:pos="284"/>
        </w:tabs>
        <w:spacing w:after="0" w:line="276" w:lineRule="auto"/>
        <w:ind w:left="284" w:firstLine="0"/>
        <w:rPr>
          <w:b/>
          <w:smallCaps/>
        </w:rPr>
      </w:pPr>
    </w:p>
    <w:p w:rsidR="00340B8D" w:rsidRDefault="00340B8D" w:rsidP="00C50527">
      <w:pPr>
        <w:pStyle w:val="INCISO"/>
        <w:tabs>
          <w:tab w:val="left" w:pos="284"/>
        </w:tabs>
        <w:spacing w:after="0" w:line="276" w:lineRule="auto"/>
        <w:ind w:left="284" w:firstLine="0"/>
        <w:rPr>
          <w:b/>
          <w:smallCaps/>
        </w:rPr>
      </w:pPr>
    </w:p>
    <w:p w:rsidR="00CB4CBC" w:rsidRDefault="00CB4CBC" w:rsidP="00C50527">
      <w:pPr>
        <w:pStyle w:val="INCISO"/>
        <w:tabs>
          <w:tab w:val="left" w:pos="284"/>
        </w:tabs>
        <w:spacing w:after="0" w:line="276" w:lineRule="auto"/>
        <w:ind w:left="284" w:firstLine="0"/>
        <w:rPr>
          <w:b/>
          <w:smallCaps/>
        </w:rPr>
      </w:pPr>
    </w:p>
    <w:p w:rsidR="00CB4CBC" w:rsidRDefault="00CB4CBC" w:rsidP="00C50527">
      <w:pPr>
        <w:pStyle w:val="INCISO"/>
        <w:tabs>
          <w:tab w:val="left" w:pos="284"/>
        </w:tabs>
        <w:spacing w:after="0" w:line="276" w:lineRule="auto"/>
        <w:ind w:left="284" w:firstLine="0"/>
        <w:rPr>
          <w:b/>
          <w:smallCaps/>
        </w:rPr>
      </w:pPr>
    </w:p>
    <w:p w:rsidR="00CB4CBC" w:rsidRDefault="00CB4CBC" w:rsidP="00C50527">
      <w:pPr>
        <w:pStyle w:val="INCISO"/>
        <w:tabs>
          <w:tab w:val="left" w:pos="284"/>
        </w:tabs>
        <w:spacing w:after="0" w:line="276" w:lineRule="auto"/>
        <w:ind w:left="284" w:firstLine="0"/>
        <w:rPr>
          <w:b/>
          <w:smallCaps/>
        </w:rPr>
      </w:pPr>
    </w:p>
    <w:p w:rsidR="00CB4CBC" w:rsidRDefault="00CB4CBC" w:rsidP="00C50527">
      <w:pPr>
        <w:pStyle w:val="INCISO"/>
        <w:tabs>
          <w:tab w:val="left" w:pos="284"/>
        </w:tabs>
        <w:spacing w:after="0" w:line="276" w:lineRule="auto"/>
        <w:ind w:left="284" w:firstLine="0"/>
        <w:rPr>
          <w:b/>
          <w:smallCaps/>
        </w:rPr>
      </w:pPr>
    </w:p>
    <w:p w:rsidR="00CB4CBC" w:rsidRDefault="00CB4CBC" w:rsidP="00C50527">
      <w:pPr>
        <w:pStyle w:val="INCISO"/>
        <w:tabs>
          <w:tab w:val="left" w:pos="284"/>
        </w:tabs>
        <w:spacing w:after="0" w:line="276" w:lineRule="auto"/>
        <w:ind w:left="284" w:firstLine="0"/>
        <w:rPr>
          <w:b/>
          <w:smallCaps/>
        </w:rPr>
      </w:pPr>
    </w:p>
    <w:p w:rsidR="00CB4CBC" w:rsidRDefault="00CB4CBC" w:rsidP="00C50527">
      <w:pPr>
        <w:pStyle w:val="INCISO"/>
        <w:tabs>
          <w:tab w:val="left" w:pos="284"/>
        </w:tabs>
        <w:spacing w:after="0" w:line="276" w:lineRule="auto"/>
        <w:ind w:left="284" w:firstLine="0"/>
        <w:rPr>
          <w:b/>
          <w:smallCaps/>
        </w:rPr>
      </w:pPr>
    </w:p>
    <w:p w:rsidR="00340B8D" w:rsidRDefault="00340B8D" w:rsidP="00C50527">
      <w:pPr>
        <w:pStyle w:val="INCISO"/>
        <w:tabs>
          <w:tab w:val="left" w:pos="284"/>
        </w:tabs>
        <w:spacing w:after="0" w:line="276" w:lineRule="auto"/>
        <w:ind w:left="284" w:firstLine="0"/>
        <w:rPr>
          <w:b/>
          <w:smallCaps/>
        </w:rPr>
      </w:pPr>
    </w:p>
    <w:p w:rsidR="00340B8D" w:rsidRDefault="00340B8D" w:rsidP="00C50527">
      <w:pPr>
        <w:pStyle w:val="INCISO"/>
        <w:tabs>
          <w:tab w:val="left" w:pos="284"/>
        </w:tabs>
        <w:spacing w:after="0" w:line="276" w:lineRule="auto"/>
        <w:ind w:left="284" w:firstLine="0"/>
        <w:rPr>
          <w:b/>
          <w:smallCaps/>
        </w:rPr>
      </w:pPr>
    </w:p>
    <w:p w:rsidR="00340B8D" w:rsidRDefault="00340B8D" w:rsidP="00C50527">
      <w:pPr>
        <w:pStyle w:val="INCISO"/>
        <w:tabs>
          <w:tab w:val="left" w:pos="284"/>
        </w:tabs>
        <w:spacing w:after="0" w:line="276" w:lineRule="auto"/>
        <w:ind w:left="284" w:firstLine="0"/>
        <w:rPr>
          <w:b/>
          <w:smallCaps/>
        </w:rPr>
      </w:pPr>
    </w:p>
    <w:p w:rsidR="00340B8D" w:rsidRDefault="00340B8D" w:rsidP="00C50527">
      <w:pPr>
        <w:pStyle w:val="INCISO"/>
        <w:tabs>
          <w:tab w:val="left" w:pos="284"/>
        </w:tabs>
        <w:spacing w:after="0" w:line="276" w:lineRule="auto"/>
        <w:ind w:left="284" w:firstLine="0"/>
        <w:rPr>
          <w:b/>
          <w:smallCaps/>
        </w:rPr>
      </w:pPr>
    </w:p>
    <w:p w:rsidR="00CD299E" w:rsidRDefault="00CD299E" w:rsidP="00C50527">
      <w:pPr>
        <w:pStyle w:val="INCISO"/>
        <w:tabs>
          <w:tab w:val="left" w:pos="284"/>
        </w:tabs>
        <w:spacing w:after="0" w:line="276" w:lineRule="auto"/>
        <w:ind w:left="284" w:firstLine="0"/>
        <w:rPr>
          <w:b/>
          <w:smallCaps/>
        </w:rPr>
      </w:pPr>
    </w:p>
    <w:p w:rsidR="00540418" w:rsidRDefault="00540418" w:rsidP="00C50527">
      <w:pPr>
        <w:pStyle w:val="INCISO"/>
        <w:tabs>
          <w:tab w:val="left" w:pos="284"/>
        </w:tabs>
        <w:spacing w:after="0" w:line="276" w:lineRule="auto"/>
        <w:ind w:left="284" w:firstLine="0"/>
        <w:rPr>
          <w:b/>
          <w:smallCaps/>
        </w:rPr>
      </w:pPr>
      <w:r w:rsidRPr="0073056A">
        <w:rPr>
          <w:b/>
          <w:smallCaps/>
        </w:rPr>
        <w:lastRenderedPageBreak/>
        <w:t>V) Conciliación entre los ingresos presupuestarios y contables, así como entre los egresos presupuestarios y los gastos contables</w:t>
      </w:r>
    </w:p>
    <w:p w:rsidR="00CB4CBC" w:rsidRDefault="00CB4CBC" w:rsidP="00CB4CBC">
      <w:pPr>
        <w:pStyle w:val="Texto"/>
        <w:tabs>
          <w:tab w:val="left" w:pos="284"/>
        </w:tabs>
        <w:spacing w:after="0" w:line="276" w:lineRule="auto"/>
        <w:ind w:left="284" w:firstLine="0"/>
        <w:rPr>
          <w:szCs w:val="18"/>
          <w:lang w:val="es-MX"/>
        </w:rPr>
      </w:pPr>
    </w:p>
    <w:p w:rsidR="00CB4CBC" w:rsidRPr="0073056A" w:rsidRDefault="00CB4CBC" w:rsidP="00CB4CBC">
      <w:pPr>
        <w:pStyle w:val="Texto"/>
        <w:tabs>
          <w:tab w:val="left" w:pos="284"/>
        </w:tabs>
        <w:spacing w:after="0" w:line="276" w:lineRule="auto"/>
        <w:ind w:left="284" w:firstLine="0"/>
        <w:rPr>
          <w:szCs w:val="18"/>
          <w:lang w:val="es-MX"/>
        </w:rPr>
      </w:pPr>
      <w:r w:rsidRPr="0073056A">
        <w:rPr>
          <w:szCs w:val="18"/>
          <w:lang w:val="es-MX"/>
        </w:rPr>
        <w:t xml:space="preserve">La conciliación se presentará atendiendo a lo dispuesto por </w:t>
      </w:r>
      <w:r>
        <w:rPr>
          <w:szCs w:val="18"/>
          <w:lang w:val="es-MX"/>
        </w:rPr>
        <w:t>el</w:t>
      </w:r>
      <w:r w:rsidRPr="0073056A">
        <w:rPr>
          <w:szCs w:val="18"/>
          <w:lang w:val="es-MX"/>
        </w:rPr>
        <w:t xml:space="preserve"> Acuerdo por el que se emite el formato de conciliación entre los ingresos presupuestarios y contables, así como entre los egresos presupuestarios y los gastos contables.</w:t>
      </w:r>
    </w:p>
    <w:p w:rsidR="00CB4CBC" w:rsidRPr="00CB4CBC" w:rsidRDefault="00CB4CBC" w:rsidP="00C50527">
      <w:pPr>
        <w:pStyle w:val="INCISO"/>
        <w:tabs>
          <w:tab w:val="left" w:pos="284"/>
        </w:tabs>
        <w:spacing w:after="0" w:line="276" w:lineRule="auto"/>
        <w:ind w:left="284" w:firstLine="0"/>
        <w:rPr>
          <w:b/>
          <w:smallCaps/>
          <w:lang w:val="es-MX"/>
        </w:rPr>
      </w:pPr>
    </w:p>
    <w:p w:rsidR="00540418" w:rsidRPr="0073056A" w:rsidRDefault="008E4190" w:rsidP="00CB4CBC">
      <w:pPr>
        <w:pStyle w:val="INCISO"/>
        <w:tabs>
          <w:tab w:val="left" w:pos="284"/>
        </w:tabs>
        <w:spacing w:after="0" w:line="276" w:lineRule="auto"/>
        <w:ind w:left="284" w:firstLine="0"/>
        <w:rPr>
          <w:b/>
          <w:smallCaps/>
          <w:lang w:val="es-MX"/>
        </w:rPr>
      </w:pPr>
      <w:r>
        <w:rPr>
          <w:noProof/>
          <w:lang w:val="es-MX" w:eastAsia="es-MX"/>
        </w:rPr>
        <w:object w:dxaOrig="1440" w:dyaOrig="1440">
          <v:shape id="_x0000_s1046" type="#_x0000_t75" style="position:absolute;left:0;text-align:left;margin-left:17.25pt;margin-top:.2pt;width:613.7pt;height:375.35pt;z-index:251663360">
            <v:imagedata r:id="rId10" o:title=""/>
            <w10:wrap type="topAndBottom"/>
          </v:shape>
          <o:OLEObject Type="Embed" ProgID="Excel.Sheet.12" ShapeID="_x0000_s1046" DrawAspect="Content" ObjectID="_1530910813" r:id="rId11"/>
        </w:object>
      </w:r>
    </w:p>
    <w:p w:rsidR="00C013A1" w:rsidRDefault="00C013A1" w:rsidP="00C50527">
      <w:pPr>
        <w:pStyle w:val="Texto"/>
        <w:tabs>
          <w:tab w:val="left" w:pos="284"/>
        </w:tabs>
        <w:spacing w:after="0" w:line="276" w:lineRule="auto"/>
        <w:ind w:left="284" w:firstLine="0"/>
        <w:rPr>
          <w:szCs w:val="18"/>
          <w:lang w:val="es-MX"/>
        </w:rPr>
      </w:pPr>
    </w:p>
    <w:p w:rsidR="00CB4CBC" w:rsidRPr="0073056A" w:rsidRDefault="008E4190" w:rsidP="00C50527">
      <w:pPr>
        <w:pStyle w:val="Texto"/>
        <w:tabs>
          <w:tab w:val="left" w:pos="284"/>
        </w:tabs>
        <w:spacing w:after="0" w:line="276" w:lineRule="auto"/>
        <w:ind w:left="284" w:firstLine="0"/>
        <w:rPr>
          <w:szCs w:val="18"/>
          <w:lang w:val="es-MX"/>
        </w:rPr>
      </w:pPr>
      <w:r>
        <w:rPr>
          <w:noProof/>
          <w:szCs w:val="18"/>
          <w:lang w:val="es-MX" w:eastAsia="es-MX"/>
        </w:rPr>
        <w:lastRenderedPageBreak/>
        <w:object w:dxaOrig="1440" w:dyaOrig="1440">
          <v:shape id="_x0000_s1132" type="#_x0000_t75" style="position:absolute;left:0;text-align:left;margin-left:29.2pt;margin-top:-19pt;width:440.25pt;height:344.45pt;z-index:251671552">
            <v:imagedata r:id="rId12" o:title=""/>
            <w10:wrap type="topAndBottom"/>
          </v:shape>
          <o:OLEObject Type="Embed" ProgID="Excel.Sheet.12" ShapeID="_x0000_s1132" DrawAspect="Content" ObjectID="_1530910814" r:id="rId13"/>
        </w:object>
      </w:r>
    </w:p>
    <w:p w:rsidR="00540418" w:rsidRPr="0073056A" w:rsidRDefault="00540418" w:rsidP="00C50527">
      <w:pPr>
        <w:pStyle w:val="Texto"/>
        <w:tabs>
          <w:tab w:val="left" w:pos="284"/>
        </w:tabs>
        <w:spacing w:after="0" w:line="276" w:lineRule="auto"/>
        <w:ind w:left="284" w:firstLine="0"/>
        <w:jc w:val="center"/>
        <w:rPr>
          <w:b/>
          <w:szCs w:val="18"/>
          <w:lang w:val="es-MX"/>
        </w:rPr>
      </w:pPr>
      <w:r w:rsidRPr="0073056A">
        <w:rPr>
          <w:szCs w:val="18"/>
        </w:rPr>
        <w:t xml:space="preserve"> </w:t>
      </w:r>
      <w:r w:rsidRPr="0073056A">
        <w:rPr>
          <w:b/>
          <w:szCs w:val="18"/>
        </w:rPr>
        <w:t>b)</w:t>
      </w:r>
      <w:r w:rsidRPr="0073056A">
        <w:rPr>
          <w:szCs w:val="18"/>
        </w:rPr>
        <w:t xml:space="preserve"> </w:t>
      </w:r>
      <w:r w:rsidRPr="0073056A">
        <w:rPr>
          <w:b/>
          <w:szCs w:val="18"/>
          <w:lang w:val="es-MX"/>
        </w:rPr>
        <w:t>NOTAS DE MEMORIA (CUENTAS DE ORDEN)</w:t>
      </w:r>
    </w:p>
    <w:p w:rsidR="00540418" w:rsidRPr="0073056A" w:rsidRDefault="00540418" w:rsidP="00C50527">
      <w:pPr>
        <w:pStyle w:val="Texto"/>
        <w:tabs>
          <w:tab w:val="left" w:pos="284"/>
        </w:tabs>
        <w:spacing w:after="0" w:line="276" w:lineRule="auto"/>
        <w:ind w:left="284" w:firstLine="0"/>
        <w:rPr>
          <w:b/>
          <w:szCs w:val="18"/>
          <w:lang w:val="es-MX"/>
        </w:rPr>
      </w:pPr>
    </w:p>
    <w:p w:rsidR="00F32EC8" w:rsidRPr="0073056A" w:rsidRDefault="00F32EC8" w:rsidP="00C50527">
      <w:pPr>
        <w:pStyle w:val="Texto"/>
        <w:tabs>
          <w:tab w:val="left" w:pos="284"/>
        </w:tabs>
        <w:spacing w:after="0" w:line="276" w:lineRule="auto"/>
        <w:ind w:left="284" w:firstLine="0"/>
        <w:rPr>
          <w:b/>
          <w:szCs w:val="18"/>
          <w:lang w:val="es-MX"/>
        </w:rPr>
      </w:pPr>
    </w:p>
    <w:p w:rsidR="00AA3279" w:rsidRPr="0073056A" w:rsidRDefault="00AA3279" w:rsidP="00C50527">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AA3279" w:rsidRPr="0073056A" w:rsidRDefault="00AA3279" w:rsidP="00C50527">
      <w:pPr>
        <w:tabs>
          <w:tab w:val="left" w:pos="284"/>
        </w:tabs>
        <w:ind w:left="284"/>
        <w:jc w:val="both"/>
        <w:rPr>
          <w:rFonts w:ascii="Arial" w:hAnsi="Arial" w:cs="Arial"/>
          <w:sz w:val="18"/>
          <w:szCs w:val="18"/>
        </w:rPr>
      </w:pPr>
    </w:p>
    <w:p w:rsidR="00AA3279" w:rsidRPr="0073056A" w:rsidRDefault="00AA3279" w:rsidP="00C50527">
      <w:pPr>
        <w:tabs>
          <w:tab w:val="left" w:pos="284"/>
        </w:tabs>
        <w:ind w:left="284"/>
        <w:jc w:val="both"/>
        <w:rPr>
          <w:rFonts w:ascii="Arial" w:hAnsi="Arial" w:cs="Arial"/>
          <w:b/>
          <w:sz w:val="18"/>
          <w:szCs w:val="18"/>
        </w:rPr>
      </w:pPr>
      <w:r w:rsidRPr="0073056A">
        <w:rPr>
          <w:rFonts w:ascii="Arial" w:hAnsi="Arial" w:cs="Arial"/>
          <w:b/>
          <w:sz w:val="18"/>
          <w:szCs w:val="18"/>
        </w:rPr>
        <w:lastRenderedPageBreak/>
        <w:t>Cuentas de Orden Contables</w:t>
      </w:r>
    </w:p>
    <w:p w:rsidR="00AA3279" w:rsidRPr="007C53EF" w:rsidRDefault="00340B8D" w:rsidP="00C50527">
      <w:pPr>
        <w:tabs>
          <w:tab w:val="left" w:pos="284"/>
        </w:tabs>
        <w:ind w:left="284"/>
        <w:jc w:val="both"/>
        <w:rPr>
          <w:rFonts w:ascii="Arial" w:hAnsi="Arial" w:cs="Arial"/>
          <w:sz w:val="18"/>
          <w:szCs w:val="18"/>
        </w:rPr>
      </w:pPr>
      <w:r w:rsidRPr="007C53EF">
        <w:rPr>
          <w:rFonts w:ascii="Arial" w:hAnsi="Arial" w:cs="Arial"/>
          <w:sz w:val="18"/>
          <w:szCs w:val="18"/>
        </w:rPr>
        <w:t>No Aplica</w:t>
      </w:r>
      <w:r w:rsidR="007C53EF" w:rsidRPr="007C53EF">
        <w:rPr>
          <w:rFonts w:ascii="Arial" w:hAnsi="Arial" w:cs="Arial"/>
          <w:sz w:val="18"/>
          <w:szCs w:val="18"/>
        </w:rPr>
        <w:t>,</w:t>
      </w:r>
      <w:r w:rsidR="00CB4CBC">
        <w:rPr>
          <w:rFonts w:ascii="Arial" w:hAnsi="Arial" w:cs="Arial"/>
          <w:sz w:val="18"/>
          <w:szCs w:val="18"/>
        </w:rPr>
        <w:t xml:space="preserve"> No se utilizan cuentas de orden que afectan de manera directa o modifican las cuantas del Estado de Posición Financiera ni del Estado de Actividades.</w:t>
      </w:r>
    </w:p>
    <w:p w:rsidR="00340B8D" w:rsidRPr="0073056A" w:rsidRDefault="00340B8D" w:rsidP="00C50527">
      <w:pPr>
        <w:tabs>
          <w:tab w:val="left" w:pos="284"/>
        </w:tabs>
        <w:ind w:left="284"/>
        <w:jc w:val="both"/>
        <w:rPr>
          <w:rFonts w:ascii="Arial" w:hAnsi="Arial" w:cs="Arial"/>
          <w:sz w:val="18"/>
          <w:szCs w:val="18"/>
        </w:rPr>
      </w:pPr>
    </w:p>
    <w:p w:rsidR="00AA3279" w:rsidRDefault="00AA3279" w:rsidP="00655EB2">
      <w:pPr>
        <w:tabs>
          <w:tab w:val="left" w:pos="284"/>
        </w:tabs>
        <w:spacing w:after="0"/>
        <w:ind w:left="284"/>
        <w:jc w:val="both"/>
        <w:rPr>
          <w:rFonts w:ascii="Arial" w:hAnsi="Arial" w:cs="Arial"/>
          <w:b/>
          <w:sz w:val="18"/>
          <w:szCs w:val="18"/>
        </w:rPr>
      </w:pPr>
      <w:r w:rsidRPr="0073056A">
        <w:rPr>
          <w:rFonts w:ascii="Arial" w:hAnsi="Arial" w:cs="Arial"/>
          <w:b/>
          <w:sz w:val="18"/>
          <w:szCs w:val="18"/>
        </w:rPr>
        <w:t>Cuentas de Orden Presupuestarias</w:t>
      </w:r>
    </w:p>
    <w:p w:rsidR="00340B8D" w:rsidRPr="0073056A" w:rsidRDefault="00340B8D" w:rsidP="00655EB2">
      <w:pPr>
        <w:tabs>
          <w:tab w:val="left" w:pos="284"/>
        </w:tabs>
        <w:spacing w:after="0"/>
        <w:ind w:left="284"/>
        <w:jc w:val="both"/>
        <w:rPr>
          <w:rFonts w:ascii="Arial" w:hAnsi="Arial" w:cs="Arial"/>
          <w:b/>
          <w:sz w:val="18"/>
          <w:szCs w:val="18"/>
        </w:rPr>
      </w:pPr>
    </w:p>
    <w:p w:rsidR="00AA3279" w:rsidRPr="0073056A" w:rsidRDefault="00AA3279" w:rsidP="00655EB2">
      <w:pPr>
        <w:tabs>
          <w:tab w:val="left" w:pos="284"/>
        </w:tabs>
        <w:spacing w:after="0"/>
        <w:ind w:left="284"/>
        <w:jc w:val="both"/>
        <w:rPr>
          <w:rFonts w:ascii="Arial" w:hAnsi="Arial" w:cs="Arial"/>
          <w:sz w:val="18"/>
          <w:szCs w:val="18"/>
        </w:rPr>
      </w:pPr>
      <w:r w:rsidRPr="0073056A">
        <w:rPr>
          <w:rFonts w:ascii="Arial" w:hAnsi="Arial" w:cs="Arial"/>
          <w:sz w:val="18"/>
          <w:szCs w:val="18"/>
        </w:rPr>
        <w:t>Al inicio del ejercicio 201</w:t>
      </w:r>
      <w:r w:rsidR="007C5412">
        <w:rPr>
          <w:rFonts w:ascii="Arial" w:hAnsi="Arial" w:cs="Arial"/>
          <w:sz w:val="18"/>
          <w:szCs w:val="18"/>
        </w:rPr>
        <w:t>5</w:t>
      </w:r>
      <w:r w:rsidRPr="0073056A">
        <w:rPr>
          <w:rFonts w:ascii="Arial" w:hAnsi="Arial" w:cs="Arial"/>
          <w:sz w:val="18"/>
          <w:szCs w:val="18"/>
        </w:rPr>
        <w:t>, se aprobó un presupuesto de ingresos de $</w:t>
      </w:r>
      <w:r w:rsidR="007C5412">
        <w:rPr>
          <w:rFonts w:ascii="Arial" w:hAnsi="Arial" w:cs="Arial"/>
          <w:sz w:val="18"/>
          <w:szCs w:val="18"/>
        </w:rPr>
        <w:t xml:space="preserve"> </w:t>
      </w:r>
      <w:r w:rsidR="000A40EB">
        <w:rPr>
          <w:rFonts w:ascii="Arial" w:hAnsi="Arial" w:cs="Arial"/>
          <w:sz w:val="18"/>
          <w:szCs w:val="18"/>
        </w:rPr>
        <w:t>12</w:t>
      </w:r>
      <w:proofErr w:type="gramStart"/>
      <w:r w:rsidR="000A40EB">
        <w:rPr>
          <w:rFonts w:ascii="Arial" w:hAnsi="Arial" w:cs="Arial"/>
          <w:sz w:val="18"/>
          <w:szCs w:val="18"/>
        </w:rPr>
        <w:t>,675,920,034</w:t>
      </w:r>
      <w:proofErr w:type="gramEnd"/>
      <w:r w:rsidRPr="0073056A">
        <w:rPr>
          <w:rFonts w:ascii="Arial" w:hAnsi="Arial" w:cs="Arial"/>
          <w:sz w:val="18"/>
          <w:szCs w:val="18"/>
        </w:rPr>
        <w:t xml:space="preserve">, sin embargo las estrategias implementadas para obtener mayores recursos, lograron un incremento de </w:t>
      </w:r>
      <w:r w:rsidRPr="00E913D9">
        <w:rPr>
          <w:rFonts w:ascii="Arial" w:hAnsi="Arial" w:cs="Arial"/>
          <w:sz w:val="18"/>
          <w:szCs w:val="18"/>
        </w:rPr>
        <w:t>$</w:t>
      </w:r>
      <w:r w:rsidR="007C5412">
        <w:rPr>
          <w:rFonts w:ascii="Arial" w:hAnsi="Arial" w:cs="Arial"/>
          <w:sz w:val="18"/>
          <w:szCs w:val="18"/>
        </w:rPr>
        <w:t xml:space="preserve"> </w:t>
      </w:r>
      <w:r w:rsidR="000A40EB">
        <w:rPr>
          <w:rFonts w:ascii="Arial" w:hAnsi="Arial" w:cs="Arial"/>
          <w:sz w:val="18"/>
          <w:szCs w:val="18"/>
        </w:rPr>
        <w:t>7,236,730,396</w:t>
      </w:r>
      <w:r w:rsidRPr="00E913D9">
        <w:rPr>
          <w:rFonts w:ascii="Arial" w:hAnsi="Arial" w:cs="Arial"/>
          <w:sz w:val="18"/>
          <w:szCs w:val="18"/>
        </w:rPr>
        <w:t xml:space="preserve"> al</w:t>
      </w:r>
      <w:r w:rsidRPr="0073056A">
        <w:rPr>
          <w:rFonts w:ascii="Arial" w:hAnsi="Arial" w:cs="Arial"/>
          <w:sz w:val="18"/>
          <w:szCs w:val="18"/>
        </w:rPr>
        <w:t xml:space="preserve"> presupuesto estimado para el ejercicio que se informa. Los ingresos recaudados durante el periodo del 1 de enero al 31 de diciembre del 201</w:t>
      </w:r>
      <w:r w:rsidR="007C5412">
        <w:rPr>
          <w:rFonts w:ascii="Arial" w:hAnsi="Arial" w:cs="Arial"/>
          <w:sz w:val="18"/>
          <w:szCs w:val="18"/>
        </w:rPr>
        <w:t>5</w:t>
      </w:r>
      <w:r w:rsidRPr="0073056A">
        <w:rPr>
          <w:rFonts w:ascii="Arial" w:hAnsi="Arial" w:cs="Arial"/>
          <w:sz w:val="18"/>
          <w:szCs w:val="18"/>
        </w:rPr>
        <w:t>, ascendió a la cantidad de $</w:t>
      </w:r>
      <w:r w:rsidR="007C5412">
        <w:rPr>
          <w:rFonts w:ascii="Arial" w:hAnsi="Arial" w:cs="Arial"/>
          <w:sz w:val="18"/>
          <w:szCs w:val="18"/>
        </w:rPr>
        <w:t xml:space="preserve"> </w:t>
      </w:r>
      <w:r w:rsidR="000A40EB">
        <w:rPr>
          <w:rFonts w:ascii="Arial" w:hAnsi="Arial" w:cs="Arial"/>
          <w:sz w:val="18"/>
          <w:szCs w:val="18"/>
        </w:rPr>
        <w:t>19,912,650,430</w:t>
      </w:r>
      <w:r w:rsidR="00E913D9">
        <w:rPr>
          <w:rFonts w:ascii="Arial" w:hAnsi="Arial" w:cs="Arial"/>
          <w:sz w:val="18"/>
          <w:szCs w:val="18"/>
        </w:rPr>
        <w:t xml:space="preserve">, </w:t>
      </w:r>
      <w:r w:rsidR="000A40EB">
        <w:rPr>
          <w:rFonts w:ascii="Arial" w:hAnsi="Arial" w:cs="Arial"/>
          <w:sz w:val="18"/>
          <w:szCs w:val="18"/>
        </w:rPr>
        <w:t>57</w:t>
      </w:r>
      <w:r w:rsidRPr="0073056A">
        <w:rPr>
          <w:rFonts w:ascii="Arial" w:hAnsi="Arial" w:cs="Arial"/>
          <w:sz w:val="18"/>
          <w:szCs w:val="18"/>
        </w:rPr>
        <w:t xml:space="preserve">% mayor al estimado para el ejercicio que se informa. </w:t>
      </w:r>
    </w:p>
    <w:p w:rsidR="00E913D9" w:rsidRDefault="00E913D9" w:rsidP="00E913D9">
      <w:pPr>
        <w:spacing w:after="0"/>
        <w:ind w:left="284"/>
        <w:jc w:val="both"/>
        <w:rPr>
          <w:rFonts w:ascii="Arial" w:hAnsi="Arial" w:cs="Arial"/>
          <w:sz w:val="18"/>
          <w:szCs w:val="18"/>
        </w:rPr>
      </w:pPr>
    </w:p>
    <w:p w:rsidR="00AA3279" w:rsidRPr="0073056A" w:rsidRDefault="00AA3279" w:rsidP="00E913D9">
      <w:pPr>
        <w:ind w:left="284"/>
        <w:jc w:val="both"/>
        <w:rPr>
          <w:rFonts w:ascii="Arial" w:hAnsi="Arial" w:cs="Arial"/>
          <w:sz w:val="18"/>
          <w:szCs w:val="18"/>
        </w:rPr>
      </w:pPr>
      <w:r w:rsidRPr="0073056A">
        <w:rPr>
          <w:rFonts w:ascii="Arial" w:hAnsi="Arial" w:cs="Arial"/>
          <w:sz w:val="18"/>
          <w:szCs w:val="18"/>
        </w:rPr>
        <w:t>Estos se integran por: Ingresos Estatales los cuales ascendieron a $</w:t>
      </w:r>
      <w:r w:rsidR="00E913D9">
        <w:rPr>
          <w:rFonts w:ascii="Arial" w:hAnsi="Arial" w:cs="Arial"/>
          <w:sz w:val="18"/>
          <w:szCs w:val="18"/>
        </w:rPr>
        <w:t xml:space="preserve"> </w:t>
      </w:r>
      <w:r w:rsidR="000A40EB">
        <w:rPr>
          <w:rFonts w:ascii="Arial" w:hAnsi="Arial" w:cs="Arial"/>
          <w:sz w:val="18"/>
          <w:szCs w:val="18"/>
        </w:rPr>
        <w:t>808</w:t>
      </w:r>
      <w:proofErr w:type="gramStart"/>
      <w:r w:rsidR="000A40EB">
        <w:rPr>
          <w:rFonts w:ascii="Arial" w:hAnsi="Arial" w:cs="Arial"/>
          <w:sz w:val="18"/>
          <w:szCs w:val="18"/>
        </w:rPr>
        <w:t>,653,516</w:t>
      </w:r>
      <w:proofErr w:type="gramEnd"/>
      <w:r w:rsidR="000A40EB">
        <w:rPr>
          <w:rFonts w:ascii="Arial" w:hAnsi="Arial" w:cs="Arial"/>
          <w:sz w:val="18"/>
          <w:szCs w:val="18"/>
        </w:rPr>
        <w:t xml:space="preserve"> </w:t>
      </w:r>
      <w:r w:rsidRPr="0073056A">
        <w:rPr>
          <w:rFonts w:ascii="Arial" w:hAnsi="Arial" w:cs="Arial"/>
          <w:sz w:val="18"/>
          <w:szCs w:val="18"/>
        </w:rPr>
        <w:t>e incluye los ingresos propios; impuestos, derechos, productos, aprovechamientos, contribuciones de mejoras.</w:t>
      </w:r>
    </w:p>
    <w:p w:rsidR="00AA3279" w:rsidRPr="00E913D9" w:rsidRDefault="00AA3279" w:rsidP="00E913D9">
      <w:pPr>
        <w:ind w:left="284"/>
        <w:jc w:val="both"/>
        <w:rPr>
          <w:rFonts w:ascii="Arial" w:hAnsi="Arial" w:cs="Arial"/>
          <w:sz w:val="18"/>
          <w:szCs w:val="18"/>
        </w:rPr>
      </w:pPr>
      <w:r w:rsidRPr="0073056A">
        <w:rPr>
          <w:rFonts w:ascii="Arial" w:hAnsi="Arial" w:cs="Arial"/>
          <w:sz w:val="18"/>
          <w:szCs w:val="18"/>
        </w:rPr>
        <w:t xml:space="preserve">Los ingresos derivados por Coordinación Fiscal representó el </w:t>
      </w:r>
      <w:r w:rsidR="00932351">
        <w:rPr>
          <w:rFonts w:ascii="Arial" w:hAnsi="Arial" w:cs="Arial"/>
          <w:sz w:val="18"/>
          <w:szCs w:val="18"/>
        </w:rPr>
        <w:t>95.9</w:t>
      </w:r>
      <w:r w:rsidRPr="0073056A">
        <w:rPr>
          <w:rFonts w:ascii="Arial" w:hAnsi="Arial" w:cs="Arial"/>
          <w:sz w:val="18"/>
          <w:szCs w:val="18"/>
        </w:rPr>
        <w:t>% del total de los ingresos devengados con un importe de $</w:t>
      </w:r>
      <w:r w:rsidR="007C5412">
        <w:rPr>
          <w:rFonts w:ascii="Arial" w:hAnsi="Arial" w:cs="Arial"/>
          <w:sz w:val="18"/>
          <w:szCs w:val="18"/>
        </w:rPr>
        <w:t xml:space="preserve"> </w:t>
      </w:r>
      <w:r w:rsidR="00932351">
        <w:rPr>
          <w:rFonts w:ascii="Arial" w:hAnsi="Arial" w:cs="Arial"/>
          <w:sz w:val="18"/>
          <w:szCs w:val="18"/>
        </w:rPr>
        <w:t>19,103,996,914</w:t>
      </w:r>
      <w:r w:rsidRPr="0073056A">
        <w:rPr>
          <w:rFonts w:ascii="Arial" w:hAnsi="Arial" w:cs="Arial"/>
          <w:sz w:val="18"/>
          <w:szCs w:val="18"/>
        </w:rPr>
        <w:t xml:space="preserve">, integrándose de </w:t>
      </w:r>
      <w:r w:rsidRPr="00E913D9">
        <w:rPr>
          <w:rFonts w:ascii="Arial" w:hAnsi="Arial" w:cs="Arial"/>
          <w:sz w:val="18"/>
          <w:szCs w:val="18"/>
        </w:rPr>
        <w:t>$</w:t>
      </w:r>
      <w:r w:rsidR="007C5412">
        <w:rPr>
          <w:rFonts w:ascii="Arial" w:hAnsi="Arial" w:cs="Arial"/>
          <w:sz w:val="18"/>
          <w:szCs w:val="18"/>
        </w:rPr>
        <w:t xml:space="preserve"> </w:t>
      </w:r>
      <w:r w:rsidR="00932351">
        <w:rPr>
          <w:rFonts w:ascii="Arial" w:hAnsi="Arial" w:cs="Arial"/>
          <w:sz w:val="18"/>
          <w:szCs w:val="18"/>
        </w:rPr>
        <w:t xml:space="preserve">6,322,671,808 </w:t>
      </w:r>
      <w:r w:rsidRPr="00E913D9">
        <w:rPr>
          <w:rFonts w:ascii="Arial" w:hAnsi="Arial" w:cs="Arial"/>
          <w:sz w:val="18"/>
          <w:szCs w:val="18"/>
        </w:rPr>
        <w:t>por participaciones federales y $</w:t>
      </w:r>
      <w:r w:rsidR="007C5412">
        <w:rPr>
          <w:rFonts w:ascii="Arial" w:hAnsi="Arial" w:cs="Arial"/>
          <w:sz w:val="18"/>
          <w:szCs w:val="18"/>
        </w:rPr>
        <w:t xml:space="preserve"> </w:t>
      </w:r>
      <w:r w:rsidR="00932351">
        <w:rPr>
          <w:rFonts w:ascii="Arial" w:hAnsi="Arial" w:cs="Arial"/>
          <w:sz w:val="18"/>
          <w:szCs w:val="18"/>
        </w:rPr>
        <w:t>12,781,325,106</w:t>
      </w:r>
      <w:r w:rsidRPr="00E913D9">
        <w:rPr>
          <w:rFonts w:ascii="Arial" w:hAnsi="Arial" w:cs="Arial"/>
          <w:sz w:val="18"/>
          <w:szCs w:val="18"/>
        </w:rPr>
        <w:t xml:space="preserve"> por Aportaciones y Subsidios Federales.</w:t>
      </w:r>
    </w:p>
    <w:p w:rsidR="00AA3279" w:rsidRPr="00794967" w:rsidRDefault="00AA3279" w:rsidP="00794967">
      <w:pPr>
        <w:ind w:left="284"/>
        <w:jc w:val="both"/>
        <w:rPr>
          <w:rFonts w:ascii="Arial" w:hAnsi="Arial" w:cs="Arial"/>
          <w:sz w:val="18"/>
          <w:szCs w:val="18"/>
        </w:rPr>
      </w:pPr>
      <w:r w:rsidRPr="0073056A">
        <w:rPr>
          <w:rFonts w:ascii="Arial" w:hAnsi="Arial" w:cs="Arial"/>
          <w:sz w:val="18"/>
          <w:szCs w:val="18"/>
        </w:rPr>
        <w:t>El Estado del Ejercicio del Presupuesto, refleja al cierre del ejercicio fiscal 201</w:t>
      </w:r>
      <w:r w:rsidR="007C5412">
        <w:rPr>
          <w:rFonts w:ascii="Arial" w:hAnsi="Arial" w:cs="Arial"/>
          <w:sz w:val="18"/>
          <w:szCs w:val="18"/>
        </w:rPr>
        <w:t>5</w:t>
      </w:r>
      <w:r w:rsidRPr="0073056A">
        <w:rPr>
          <w:rFonts w:ascii="Arial" w:hAnsi="Arial" w:cs="Arial"/>
          <w:sz w:val="18"/>
          <w:szCs w:val="18"/>
        </w:rPr>
        <w:t>, un saldo neto positivo respecto al Presupuesto Aprobado Anual de $</w:t>
      </w:r>
      <w:r w:rsidR="007C5412">
        <w:rPr>
          <w:rFonts w:ascii="Arial" w:hAnsi="Arial" w:cs="Arial"/>
          <w:sz w:val="18"/>
          <w:szCs w:val="18"/>
        </w:rPr>
        <w:t xml:space="preserve"> </w:t>
      </w:r>
      <w:r w:rsidR="00932351">
        <w:rPr>
          <w:rFonts w:ascii="Arial" w:hAnsi="Arial" w:cs="Arial"/>
          <w:sz w:val="18"/>
          <w:szCs w:val="18"/>
        </w:rPr>
        <w:t>6</w:t>
      </w:r>
      <w:proofErr w:type="gramStart"/>
      <w:r w:rsidR="00932351">
        <w:rPr>
          <w:rFonts w:ascii="Arial" w:hAnsi="Arial" w:cs="Arial"/>
          <w:sz w:val="18"/>
          <w:szCs w:val="18"/>
        </w:rPr>
        <w:t>,866,672,457</w:t>
      </w:r>
      <w:proofErr w:type="gramEnd"/>
      <w:r w:rsidRPr="0073056A">
        <w:rPr>
          <w:rFonts w:ascii="Arial" w:hAnsi="Arial" w:cs="Arial"/>
          <w:sz w:val="18"/>
          <w:szCs w:val="18"/>
        </w:rPr>
        <w:t>, llegando a un importe de $</w:t>
      </w:r>
      <w:r w:rsidR="007C5412">
        <w:rPr>
          <w:rFonts w:ascii="Arial" w:hAnsi="Arial" w:cs="Arial"/>
          <w:sz w:val="18"/>
          <w:szCs w:val="18"/>
        </w:rPr>
        <w:t xml:space="preserve"> </w:t>
      </w:r>
      <w:r w:rsidR="00932351">
        <w:rPr>
          <w:rFonts w:ascii="Arial" w:hAnsi="Arial" w:cs="Arial"/>
          <w:sz w:val="18"/>
          <w:szCs w:val="18"/>
        </w:rPr>
        <w:t>19,542,592,491</w:t>
      </w:r>
      <w:r w:rsidRPr="00794967">
        <w:rPr>
          <w:rFonts w:ascii="Arial" w:hAnsi="Arial" w:cs="Arial"/>
          <w:sz w:val="18"/>
          <w:szCs w:val="18"/>
        </w:rPr>
        <w:t xml:space="preserve"> al mes de diciembre del 201</w:t>
      </w:r>
      <w:r w:rsidR="007C5412">
        <w:rPr>
          <w:rFonts w:ascii="Arial" w:hAnsi="Arial" w:cs="Arial"/>
          <w:sz w:val="18"/>
          <w:szCs w:val="18"/>
        </w:rPr>
        <w:t>5</w:t>
      </w:r>
      <w:r w:rsidRPr="00794967">
        <w:rPr>
          <w:rFonts w:ascii="Arial" w:hAnsi="Arial" w:cs="Arial"/>
          <w:sz w:val="18"/>
          <w:szCs w:val="18"/>
        </w:rPr>
        <w:t>.</w:t>
      </w:r>
    </w:p>
    <w:p w:rsidR="00AA3279" w:rsidRPr="0073056A" w:rsidRDefault="00AA3279" w:rsidP="00C50527">
      <w:pPr>
        <w:tabs>
          <w:tab w:val="left" w:pos="284"/>
        </w:tabs>
        <w:ind w:left="284"/>
        <w:jc w:val="both"/>
        <w:rPr>
          <w:rFonts w:ascii="Arial" w:hAnsi="Arial" w:cs="Arial"/>
          <w:sz w:val="18"/>
          <w:szCs w:val="18"/>
        </w:rPr>
      </w:pPr>
      <w:r w:rsidRPr="00643052">
        <w:rPr>
          <w:rFonts w:ascii="Arial" w:hAnsi="Arial" w:cs="Arial"/>
          <w:sz w:val="18"/>
          <w:szCs w:val="18"/>
        </w:rPr>
        <w:t>El Presupuesto Devengado a la fecha que se informa fue de $</w:t>
      </w:r>
      <w:r w:rsidR="007C5412">
        <w:rPr>
          <w:rFonts w:ascii="Arial" w:hAnsi="Arial" w:cs="Arial"/>
          <w:sz w:val="18"/>
          <w:szCs w:val="18"/>
        </w:rPr>
        <w:t xml:space="preserve"> </w:t>
      </w:r>
      <w:r w:rsidR="00B8677D">
        <w:rPr>
          <w:rFonts w:ascii="Arial" w:hAnsi="Arial" w:cs="Arial"/>
          <w:sz w:val="18"/>
          <w:szCs w:val="18"/>
        </w:rPr>
        <w:t>19,542,592,491</w:t>
      </w:r>
      <w:r w:rsidR="00E837F1" w:rsidRPr="00643052">
        <w:rPr>
          <w:rFonts w:ascii="Arial" w:hAnsi="Arial" w:cs="Arial"/>
          <w:sz w:val="18"/>
          <w:szCs w:val="18"/>
        </w:rPr>
        <w:t>;</w:t>
      </w:r>
      <w:r w:rsidRPr="00643052">
        <w:rPr>
          <w:rFonts w:ascii="Arial" w:hAnsi="Arial" w:cs="Arial"/>
          <w:sz w:val="18"/>
          <w:szCs w:val="18"/>
        </w:rPr>
        <w:t xml:space="preserve"> de los cuales se aplicaron $</w:t>
      </w:r>
      <w:r w:rsidR="007C5412">
        <w:rPr>
          <w:rFonts w:ascii="Arial" w:hAnsi="Arial" w:cs="Arial"/>
          <w:sz w:val="18"/>
          <w:szCs w:val="18"/>
        </w:rPr>
        <w:t xml:space="preserve"> </w:t>
      </w:r>
      <w:r w:rsidR="00B8677D">
        <w:rPr>
          <w:rFonts w:ascii="Arial" w:hAnsi="Arial" w:cs="Arial"/>
          <w:sz w:val="18"/>
          <w:szCs w:val="18"/>
        </w:rPr>
        <w:t>3,189,929,547</w:t>
      </w:r>
      <w:r w:rsidR="007C5412">
        <w:rPr>
          <w:rFonts w:ascii="Arial" w:hAnsi="Arial" w:cs="Arial"/>
          <w:sz w:val="18"/>
          <w:szCs w:val="18"/>
        </w:rPr>
        <w:t xml:space="preserve"> </w:t>
      </w:r>
      <w:r w:rsidRPr="00643052">
        <w:rPr>
          <w:rFonts w:ascii="Arial" w:hAnsi="Arial" w:cs="Arial"/>
          <w:sz w:val="18"/>
          <w:szCs w:val="18"/>
        </w:rPr>
        <w:t xml:space="preserve">para participaciones y aportaciones a los 60 municipios del Estado y a </w:t>
      </w:r>
      <w:r w:rsidR="00E837F1" w:rsidRPr="00643052">
        <w:rPr>
          <w:rFonts w:ascii="Arial" w:hAnsi="Arial" w:cs="Arial"/>
          <w:sz w:val="18"/>
          <w:szCs w:val="18"/>
        </w:rPr>
        <w:t>otros</w:t>
      </w:r>
      <w:r w:rsidRPr="00643052">
        <w:rPr>
          <w:rFonts w:ascii="Arial" w:hAnsi="Arial" w:cs="Arial"/>
          <w:sz w:val="18"/>
          <w:szCs w:val="18"/>
        </w:rPr>
        <w:t xml:space="preserve"> recursos convenidos, representando el </w:t>
      </w:r>
      <w:r w:rsidR="00B8677D">
        <w:rPr>
          <w:rFonts w:ascii="Arial" w:hAnsi="Arial" w:cs="Arial"/>
          <w:sz w:val="18"/>
          <w:szCs w:val="18"/>
        </w:rPr>
        <w:t>16.3</w:t>
      </w:r>
      <w:r w:rsidRPr="00643052">
        <w:rPr>
          <w:rFonts w:ascii="Arial" w:hAnsi="Arial" w:cs="Arial"/>
          <w:sz w:val="18"/>
          <w:szCs w:val="18"/>
        </w:rPr>
        <w:t xml:space="preserve">%, asimismo, en Transferencias, Asignaciones, Subsidios y Otras Ayudas, se destinaron </w:t>
      </w:r>
      <w:r w:rsidR="00B8677D">
        <w:rPr>
          <w:rFonts w:ascii="Arial" w:hAnsi="Arial" w:cs="Arial"/>
          <w:sz w:val="18"/>
          <w:szCs w:val="18"/>
        </w:rPr>
        <w:t xml:space="preserve">    </w:t>
      </w:r>
      <w:r w:rsidRPr="00643052">
        <w:rPr>
          <w:rFonts w:ascii="Arial" w:hAnsi="Arial" w:cs="Arial"/>
          <w:sz w:val="18"/>
          <w:szCs w:val="18"/>
        </w:rPr>
        <w:t>$</w:t>
      </w:r>
      <w:r w:rsidR="007C5412">
        <w:rPr>
          <w:rFonts w:ascii="Arial" w:hAnsi="Arial" w:cs="Arial"/>
          <w:sz w:val="18"/>
          <w:szCs w:val="18"/>
        </w:rPr>
        <w:t xml:space="preserve"> </w:t>
      </w:r>
      <w:r w:rsidR="00B8677D">
        <w:rPr>
          <w:rFonts w:ascii="Arial" w:hAnsi="Arial" w:cs="Arial"/>
          <w:sz w:val="18"/>
          <w:szCs w:val="18"/>
        </w:rPr>
        <w:t>10,842,358,119</w:t>
      </w:r>
      <w:r w:rsidR="00643052" w:rsidRPr="00643052">
        <w:rPr>
          <w:rFonts w:ascii="Arial" w:hAnsi="Arial" w:cs="Arial"/>
          <w:sz w:val="18"/>
          <w:szCs w:val="18"/>
        </w:rPr>
        <w:t>,</w:t>
      </w:r>
      <w:r w:rsidR="00E837F1" w:rsidRPr="00643052">
        <w:rPr>
          <w:rFonts w:ascii="Arial" w:hAnsi="Arial" w:cs="Arial"/>
          <w:sz w:val="18"/>
          <w:szCs w:val="18"/>
        </w:rPr>
        <w:t xml:space="preserve"> </w:t>
      </w:r>
      <w:r w:rsidRPr="00643052">
        <w:rPr>
          <w:rFonts w:ascii="Arial" w:hAnsi="Arial" w:cs="Arial"/>
          <w:sz w:val="18"/>
          <w:szCs w:val="18"/>
        </w:rPr>
        <w:t xml:space="preserve">que representa el </w:t>
      </w:r>
      <w:r w:rsidR="00B8677D">
        <w:rPr>
          <w:rFonts w:ascii="Arial" w:hAnsi="Arial" w:cs="Arial"/>
          <w:sz w:val="18"/>
          <w:szCs w:val="18"/>
        </w:rPr>
        <w:t>55.4</w:t>
      </w:r>
      <w:r w:rsidRPr="00643052">
        <w:rPr>
          <w:rFonts w:ascii="Arial" w:hAnsi="Arial" w:cs="Arial"/>
          <w:sz w:val="18"/>
          <w:szCs w:val="18"/>
        </w:rPr>
        <w:t>% del total devengado, además de la Inversión Pública realizada la cual ascendió a $</w:t>
      </w:r>
      <w:r w:rsidR="007C5412">
        <w:rPr>
          <w:rFonts w:ascii="Arial" w:hAnsi="Arial" w:cs="Arial"/>
          <w:sz w:val="18"/>
          <w:szCs w:val="18"/>
        </w:rPr>
        <w:t xml:space="preserve"> </w:t>
      </w:r>
      <w:r w:rsidR="00541A2E">
        <w:rPr>
          <w:rFonts w:ascii="Arial" w:hAnsi="Arial" w:cs="Arial"/>
          <w:sz w:val="18"/>
          <w:szCs w:val="18"/>
        </w:rPr>
        <w:t>1,631,055,590</w:t>
      </w:r>
      <w:r w:rsidRPr="00643052">
        <w:rPr>
          <w:rFonts w:ascii="Arial" w:hAnsi="Arial" w:cs="Arial"/>
          <w:sz w:val="18"/>
          <w:szCs w:val="18"/>
        </w:rPr>
        <w:t>.</w:t>
      </w:r>
    </w:p>
    <w:p w:rsidR="00340B8D" w:rsidRDefault="00340B8D" w:rsidP="00C50527">
      <w:pPr>
        <w:pStyle w:val="Texto"/>
        <w:tabs>
          <w:tab w:val="left" w:pos="284"/>
        </w:tabs>
        <w:spacing w:after="0" w:line="276" w:lineRule="auto"/>
        <w:ind w:left="284" w:firstLine="0"/>
        <w:jc w:val="center"/>
        <w:rPr>
          <w:b/>
          <w:szCs w:val="18"/>
          <w:lang w:val="es-MX"/>
        </w:rPr>
      </w:pPr>
    </w:p>
    <w:p w:rsidR="00340B8D" w:rsidRDefault="00340B8D" w:rsidP="00C50527">
      <w:pPr>
        <w:pStyle w:val="Texto"/>
        <w:tabs>
          <w:tab w:val="left" w:pos="284"/>
        </w:tabs>
        <w:spacing w:after="0" w:line="276" w:lineRule="auto"/>
        <w:ind w:left="284" w:firstLine="0"/>
        <w:jc w:val="center"/>
        <w:rPr>
          <w:b/>
          <w:szCs w:val="18"/>
          <w:lang w:val="es-MX"/>
        </w:rPr>
      </w:pPr>
    </w:p>
    <w:p w:rsidR="00340B8D" w:rsidRDefault="00340B8D" w:rsidP="00C50527">
      <w:pPr>
        <w:pStyle w:val="Texto"/>
        <w:tabs>
          <w:tab w:val="left" w:pos="284"/>
        </w:tabs>
        <w:spacing w:after="0" w:line="276" w:lineRule="auto"/>
        <w:ind w:left="284" w:firstLine="0"/>
        <w:jc w:val="center"/>
        <w:rPr>
          <w:b/>
          <w:szCs w:val="18"/>
          <w:lang w:val="es-MX"/>
        </w:rPr>
      </w:pPr>
    </w:p>
    <w:p w:rsidR="00340B8D" w:rsidRDefault="00340B8D" w:rsidP="00C50527">
      <w:pPr>
        <w:pStyle w:val="Texto"/>
        <w:tabs>
          <w:tab w:val="left" w:pos="284"/>
        </w:tabs>
        <w:spacing w:after="0" w:line="276" w:lineRule="auto"/>
        <w:ind w:left="284" w:firstLine="0"/>
        <w:jc w:val="center"/>
        <w:rPr>
          <w:b/>
          <w:szCs w:val="18"/>
          <w:lang w:val="es-MX"/>
        </w:rPr>
      </w:pPr>
    </w:p>
    <w:p w:rsidR="00340B8D" w:rsidRDefault="00340B8D" w:rsidP="00C50527">
      <w:pPr>
        <w:pStyle w:val="Texto"/>
        <w:tabs>
          <w:tab w:val="left" w:pos="284"/>
        </w:tabs>
        <w:spacing w:after="0" w:line="276" w:lineRule="auto"/>
        <w:ind w:left="284" w:firstLine="0"/>
        <w:jc w:val="center"/>
        <w:rPr>
          <w:b/>
          <w:szCs w:val="18"/>
          <w:lang w:val="es-MX"/>
        </w:rPr>
      </w:pPr>
    </w:p>
    <w:p w:rsidR="00340B8D" w:rsidRDefault="00340B8D" w:rsidP="00C50527">
      <w:pPr>
        <w:pStyle w:val="Texto"/>
        <w:tabs>
          <w:tab w:val="left" w:pos="284"/>
        </w:tabs>
        <w:spacing w:after="0" w:line="276" w:lineRule="auto"/>
        <w:ind w:left="284" w:firstLine="0"/>
        <w:jc w:val="center"/>
        <w:rPr>
          <w:b/>
          <w:szCs w:val="18"/>
          <w:lang w:val="es-MX"/>
        </w:rPr>
      </w:pPr>
    </w:p>
    <w:p w:rsidR="00540418" w:rsidRPr="0073056A" w:rsidRDefault="00540418" w:rsidP="00C50527">
      <w:pPr>
        <w:pStyle w:val="Texto"/>
        <w:tabs>
          <w:tab w:val="left" w:pos="284"/>
        </w:tabs>
        <w:spacing w:after="0" w:line="276" w:lineRule="auto"/>
        <w:ind w:left="284" w:firstLine="0"/>
        <w:jc w:val="center"/>
        <w:rPr>
          <w:b/>
          <w:szCs w:val="18"/>
          <w:lang w:val="es-MX"/>
        </w:rPr>
      </w:pPr>
      <w:r w:rsidRPr="0073056A">
        <w:rPr>
          <w:b/>
          <w:szCs w:val="18"/>
          <w:lang w:val="es-MX"/>
        </w:rPr>
        <w:t>c) NOTAS DE GESTIÓN ADMINISTRATIVA</w:t>
      </w:r>
    </w:p>
    <w:p w:rsidR="00E007EC" w:rsidRDefault="00E007EC" w:rsidP="00C50527">
      <w:pPr>
        <w:pStyle w:val="Texto"/>
        <w:tabs>
          <w:tab w:val="left" w:pos="284"/>
        </w:tabs>
        <w:spacing w:after="0" w:line="276" w:lineRule="auto"/>
        <w:ind w:left="284" w:firstLine="0"/>
        <w:rPr>
          <w:b/>
          <w:szCs w:val="18"/>
          <w:lang w:val="es-MX"/>
        </w:rPr>
      </w:pPr>
    </w:p>
    <w:p w:rsidR="00540418" w:rsidRPr="0073056A" w:rsidRDefault="00540418" w:rsidP="00C50527">
      <w:pPr>
        <w:pStyle w:val="Texto"/>
        <w:tabs>
          <w:tab w:val="left" w:pos="284"/>
        </w:tabs>
        <w:spacing w:after="0" w:line="276" w:lineRule="auto"/>
        <w:ind w:left="284" w:firstLine="0"/>
        <w:rPr>
          <w:b/>
          <w:szCs w:val="18"/>
        </w:rPr>
      </w:pPr>
      <w:r w:rsidRPr="0073056A">
        <w:rPr>
          <w:b/>
          <w:szCs w:val="18"/>
          <w:lang w:val="es-MX"/>
        </w:rPr>
        <w:t>Introducción</w:t>
      </w:r>
    </w:p>
    <w:p w:rsidR="005D568E" w:rsidRPr="0073056A" w:rsidRDefault="005D568E" w:rsidP="00C50527">
      <w:pPr>
        <w:tabs>
          <w:tab w:val="left" w:pos="284"/>
        </w:tabs>
        <w:ind w:left="284"/>
        <w:jc w:val="both"/>
        <w:rPr>
          <w:rFonts w:ascii="Arial" w:hAnsi="Arial" w:cs="Arial"/>
          <w:sz w:val="18"/>
          <w:szCs w:val="18"/>
        </w:rPr>
      </w:pPr>
      <w:r w:rsidRPr="0073056A">
        <w:rPr>
          <w:rFonts w:ascii="Arial" w:hAnsi="Arial" w:cs="Arial"/>
          <w:sz w:val="18"/>
          <w:szCs w:val="18"/>
        </w:rPr>
        <w:t>Conforme a lo establecido en la Constitución Política del Estado Libre y Soberano de Tlaxcala, la Ley Orgánica de la Administración Pública del Estado de Tlaxcala y al Código Financiero para el Estado de Tlaxcala y sus Municipios, se le otorga la responsabilidad a la Secretaria de Planeación y Finanzas la administración de la Hacienda Pública del Estado de Tlaxcala,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w:t>
      </w:r>
    </w:p>
    <w:p w:rsidR="005D568E" w:rsidRPr="0073056A" w:rsidRDefault="005D568E" w:rsidP="00C50527">
      <w:pPr>
        <w:tabs>
          <w:tab w:val="left" w:pos="284"/>
        </w:tabs>
        <w:ind w:left="284"/>
        <w:jc w:val="both"/>
        <w:rPr>
          <w:rFonts w:ascii="Arial" w:hAnsi="Arial" w:cs="Arial"/>
          <w:sz w:val="18"/>
          <w:szCs w:val="18"/>
        </w:rPr>
      </w:pPr>
      <w:r w:rsidRPr="0073056A">
        <w:rPr>
          <w:rFonts w:ascii="Arial" w:hAnsi="Arial" w:cs="Arial"/>
          <w:sz w:val="18"/>
          <w:szCs w:val="18"/>
        </w:rPr>
        <w:lastRenderedPageBreak/>
        <w:t>El Plan de Estatal de Desarrollo 2011-2016, es el documento rector en el cual se indican los ejes, objetivos y líneas de acción de la administración pública, siendo éste el Eje Rector de las Políticas y por el cual se establecen las acciones a realizar.</w:t>
      </w:r>
    </w:p>
    <w:p w:rsidR="005D568E" w:rsidRPr="0073056A" w:rsidRDefault="005D568E" w:rsidP="00C50527">
      <w:pPr>
        <w:tabs>
          <w:tab w:val="left" w:pos="284"/>
        </w:tabs>
        <w:ind w:left="284"/>
        <w:jc w:val="both"/>
        <w:rPr>
          <w:rFonts w:ascii="Arial" w:hAnsi="Arial" w:cs="Arial"/>
          <w:sz w:val="18"/>
          <w:szCs w:val="18"/>
        </w:rPr>
      </w:pPr>
      <w:r w:rsidRPr="0073056A">
        <w:rPr>
          <w:rFonts w:ascii="Arial" w:hAnsi="Arial" w:cs="Arial"/>
          <w:sz w:val="18"/>
          <w:szCs w:val="18"/>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D568E" w:rsidRPr="0073056A" w:rsidRDefault="005D568E" w:rsidP="00C50527">
      <w:pPr>
        <w:tabs>
          <w:tab w:val="left" w:pos="284"/>
        </w:tabs>
        <w:ind w:left="284"/>
        <w:jc w:val="both"/>
        <w:rPr>
          <w:rFonts w:ascii="Arial" w:hAnsi="Arial" w:cs="Arial"/>
          <w:sz w:val="18"/>
          <w:szCs w:val="18"/>
        </w:rPr>
      </w:pPr>
      <w:r w:rsidRPr="0073056A">
        <w:rPr>
          <w:rFonts w:ascii="Arial" w:hAnsi="Arial" w:cs="Arial"/>
          <w:sz w:val="18"/>
          <w:szCs w:val="18"/>
        </w:rPr>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E007EC" w:rsidRDefault="00E007EC" w:rsidP="00C50527">
      <w:pPr>
        <w:pStyle w:val="Texto"/>
        <w:tabs>
          <w:tab w:val="left" w:pos="284"/>
        </w:tabs>
        <w:spacing w:after="0" w:line="276" w:lineRule="auto"/>
        <w:ind w:left="284" w:firstLine="0"/>
        <w:rPr>
          <w:szCs w:val="18"/>
          <w:lang w:val="es-MX"/>
        </w:rPr>
      </w:pPr>
    </w:p>
    <w:p w:rsidR="008D7B57" w:rsidRPr="0073056A" w:rsidRDefault="008D7B57" w:rsidP="00C50527">
      <w:pPr>
        <w:pStyle w:val="Texto"/>
        <w:tabs>
          <w:tab w:val="left" w:pos="284"/>
        </w:tabs>
        <w:spacing w:after="0" w:line="276" w:lineRule="auto"/>
        <w:ind w:left="284" w:firstLine="0"/>
        <w:rPr>
          <w:szCs w:val="18"/>
          <w:lang w:val="es-MX"/>
        </w:rPr>
      </w:pPr>
    </w:p>
    <w:p w:rsidR="00540418" w:rsidRPr="0073056A" w:rsidRDefault="00540418" w:rsidP="00C50527">
      <w:pPr>
        <w:pStyle w:val="Texto"/>
        <w:tabs>
          <w:tab w:val="left" w:pos="284"/>
        </w:tabs>
        <w:spacing w:after="0" w:line="276" w:lineRule="auto"/>
        <w:ind w:left="284" w:firstLine="0"/>
        <w:rPr>
          <w:b/>
          <w:szCs w:val="18"/>
          <w:lang w:val="es-MX"/>
        </w:rPr>
      </w:pPr>
      <w:r w:rsidRPr="0073056A">
        <w:rPr>
          <w:b/>
          <w:szCs w:val="18"/>
          <w:lang w:val="es-MX"/>
        </w:rPr>
        <w:t>Panorama Económico y Financiero</w:t>
      </w:r>
    </w:p>
    <w:p w:rsidR="008D7B57" w:rsidRPr="008D7B57" w:rsidRDefault="008D7B57" w:rsidP="008D7B57">
      <w:pPr>
        <w:tabs>
          <w:tab w:val="left" w:pos="284"/>
        </w:tabs>
        <w:ind w:left="284"/>
        <w:jc w:val="both"/>
        <w:rPr>
          <w:rFonts w:ascii="Arial" w:hAnsi="Arial" w:cs="Arial"/>
          <w:sz w:val="18"/>
          <w:szCs w:val="18"/>
        </w:rPr>
      </w:pPr>
      <w:r w:rsidRPr="008D7B57">
        <w:rPr>
          <w:rFonts w:ascii="Arial" w:hAnsi="Arial" w:cs="Arial"/>
          <w:sz w:val="18"/>
          <w:szCs w:val="18"/>
        </w:rPr>
        <w:t>Tlaxcala es la tercera entidad con menor población del país; cuenta con 1</w:t>
      </w:r>
      <w:proofErr w:type="gramStart"/>
      <w:r w:rsidRPr="008D7B57">
        <w:rPr>
          <w:rFonts w:ascii="Arial" w:hAnsi="Arial" w:cs="Arial"/>
          <w:sz w:val="18"/>
          <w:szCs w:val="18"/>
        </w:rPr>
        <w:t>,169,936</w:t>
      </w:r>
      <w:proofErr w:type="gramEnd"/>
      <w:r w:rsidRPr="008D7B57">
        <w:rPr>
          <w:rFonts w:ascii="Arial" w:hAnsi="Arial" w:cs="Arial"/>
          <w:sz w:val="18"/>
          <w:szCs w:val="18"/>
        </w:rPr>
        <w:t xml:space="preserve"> millones de personas mientras que Nayarit tiene 1,084,979 y Colima 650,555 El nivel de producción de la entidad es el más pequeño de las 32 entidades federativas; en 2012 tuvo un Producto Interno Bruto a precios constantes de 2008 por 71,637 millones de pesos. La tasa de crecimiento que ha tenido en los últimos años ha sido muy similar al promedio nacional. En el segundo trimestre de 2014 la economía de Tlaxcala se desplomó en un 0.4 por ciento, presentando la sexta posición dentro de los estados que menos desempeño tuvieron en sus actividades económicas.</w:t>
      </w:r>
    </w:p>
    <w:p w:rsidR="008D7B57" w:rsidRPr="008D7B57" w:rsidRDefault="008D7B57" w:rsidP="008D7B57">
      <w:pPr>
        <w:pStyle w:val="Texto"/>
        <w:tabs>
          <w:tab w:val="left" w:pos="284"/>
        </w:tabs>
        <w:spacing w:after="0" w:line="276" w:lineRule="auto"/>
        <w:ind w:left="284" w:firstLine="0"/>
        <w:rPr>
          <w:szCs w:val="18"/>
          <w:lang w:val="es-MX"/>
        </w:rPr>
      </w:pPr>
    </w:p>
    <w:p w:rsidR="008D7B57" w:rsidRPr="008D7B57" w:rsidRDefault="008D7B57" w:rsidP="008D7B57">
      <w:pPr>
        <w:pStyle w:val="Texto"/>
        <w:tabs>
          <w:tab w:val="left" w:pos="284"/>
        </w:tabs>
        <w:spacing w:after="0" w:line="276" w:lineRule="auto"/>
        <w:ind w:left="284" w:firstLine="0"/>
        <w:rPr>
          <w:szCs w:val="18"/>
          <w:lang w:val="es-MX"/>
        </w:rPr>
      </w:pPr>
      <w:r w:rsidRPr="008D7B57">
        <w:rPr>
          <w:szCs w:val="18"/>
          <w:lang w:val="es-MX"/>
        </w:rPr>
        <w:t>Para el primer trimestre de 2015, Tlaxcala registró un crecimiento en su indicador trimestral de la actividad económica estatal (ITAEE), de 8.5 por ciento con respecto al mismo periodo del año anterior, acumulando por  noveno mes consecutivo una tasa de crecimiento superior al 11%, ubicándose como la segunda entidad con mayor crecimiento acumulado en la actividad industrial de enero a mayo, con un avance histórico para ese periodo de 17.6 por ciento, por encima de Querétaro, Guanajuato y Aguascalientes.</w:t>
      </w:r>
    </w:p>
    <w:p w:rsidR="008D7B57" w:rsidRPr="008D7B57" w:rsidRDefault="008D7B57" w:rsidP="008D7B57">
      <w:pPr>
        <w:pStyle w:val="Texto"/>
        <w:tabs>
          <w:tab w:val="left" w:pos="284"/>
        </w:tabs>
        <w:spacing w:after="0" w:line="276" w:lineRule="auto"/>
        <w:ind w:left="284" w:firstLine="0"/>
        <w:rPr>
          <w:szCs w:val="18"/>
          <w:lang w:val="es-MX"/>
        </w:rPr>
      </w:pPr>
    </w:p>
    <w:p w:rsidR="008D7B57" w:rsidRDefault="008D7B57" w:rsidP="008D7B57">
      <w:pPr>
        <w:pStyle w:val="Texto"/>
        <w:tabs>
          <w:tab w:val="left" w:pos="284"/>
        </w:tabs>
        <w:spacing w:after="0" w:line="276" w:lineRule="auto"/>
        <w:ind w:left="284" w:firstLine="0"/>
        <w:rPr>
          <w:szCs w:val="18"/>
          <w:lang w:val="es-MX"/>
        </w:rPr>
      </w:pPr>
    </w:p>
    <w:p w:rsidR="00B64122" w:rsidRDefault="00B64122" w:rsidP="008D7B57">
      <w:pPr>
        <w:pStyle w:val="Texto"/>
        <w:tabs>
          <w:tab w:val="left" w:pos="284"/>
        </w:tabs>
        <w:spacing w:after="0" w:line="276" w:lineRule="auto"/>
        <w:ind w:left="284" w:firstLine="0"/>
        <w:rPr>
          <w:szCs w:val="18"/>
          <w:lang w:val="es-MX"/>
        </w:rPr>
      </w:pPr>
    </w:p>
    <w:p w:rsidR="00B64122" w:rsidRDefault="00B64122" w:rsidP="008D7B57">
      <w:pPr>
        <w:pStyle w:val="Texto"/>
        <w:tabs>
          <w:tab w:val="left" w:pos="284"/>
        </w:tabs>
        <w:spacing w:after="0" w:line="276" w:lineRule="auto"/>
        <w:ind w:left="284" w:firstLine="0"/>
        <w:rPr>
          <w:szCs w:val="18"/>
          <w:lang w:val="es-MX"/>
        </w:rPr>
      </w:pPr>
    </w:p>
    <w:p w:rsidR="00B64122" w:rsidRDefault="00B64122" w:rsidP="008D7B57">
      <w:pPr>
        <w:pStyle w:val="Texto"/>
        <w:tabs>
          <w:tab w:val="left" w:pos="284"/>
        </w:tabs>
        <w:spacing w:after="0" w:line="276" w:lineRule="auto"/>
        <w:ind w:left="284" w:firstLine="0"/>
        <w:rPr>
          <w:szCs w:val="18"/>
          <w:lang w:val="es-MX"/>
        </w:rPr>
      </w:pPr>
    </w:p>
    <w:p w:rsidR="00B64122" w:rsidRDefault="00B64122" w:rsidP="008D7B57">
      <w:pPr>
        <w:pStyle w:val="Texto"/>
        <w:tabs>
          <w:tab w:val="left" w:pos="284"/>
        </w:tabs>
        <w:spacing w:after="0" w:line="276" w:lineRule="auto"/>
        <w:ind w:left="284" w:firstLine="0"/>
        <w:rPr>
          <w:szCs w:val="18"/>
          <w:lang w:val="es-MX"/>
        </w:rPr>
      </w:pPr>
    </w:p>
    <w:p w:rsidR="00B64122" w:rsidRPr="008D7B57" w:rsidRDefault="00B64122" w:rsidP="008D7B57">
      <w:pPr>
        <w:pStyle w:val="Texto"/>
        <w:tabs>
          <w:tab w:val="left" w:pos="284"/>
        </w:tabs>
        <w:spacing w:after="0" w:line="276" w:lineRule="auto"/>
        <w:ind w:left="284" w:firstLine="0"/>
        <w:rPr>
          <w:szCs w:val="18"/>
          <w:lang w:val="es-MX"/>
        </w:rPr>
      </w:pPr>
    </w:p>
    <w:p w:rsidR="008D7B57" w:rsidRDefault="008D7B57" w:rsidP="008D7B57">
      <w:pPr>
        <w:pStyle w:val="PRIMERAPLANA"/>
        <w:spacing w:line="360" w:lineRule="auto"/>
        <w:jc w:val="center"/>
        <w:rPr>
          <w:rFonts w:cs="Arial"/>
          <w:sz w:val="18"/>
          <w:szCs w:val="18"/>
          <w:lang w:val="es-ES"/>
        </w:rPr>
      </w:pPr>
      <w:r>
        <w:rPr>
          <w:rFonts w:cs="Arial"/>
          <w:noProof/>
          <w:sz w:val="18"/>
          <w:szCs w:val="18"/>
          <w:lang w:val="es-MX" w:eastAsia="es-MX"/>
        </w:rPr>
        <w:lastRenderedPageBreak/>
        <w:drawing>
          <wp:inline distT="0" distB="0" distL="0" distR="0">
            <wp:extent cx="4415155" cy="2218055"/>
            <wp:effectExtent l="19050" t="0" r="444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4415155" cy="2218055"/>
                    </a:xfrm>
                    <a:prstGeom prst="rect">
                      <a:avLst/>
                    </a:prstGeom>
                    <a:noFill/>
                    <a:ln w="9525">
                      <a:noFill/>
                      <a:miter lim="800000"/>
                      <a:headEnd/>
                      <a:tailEnd/>
                    </a:ln>
                  </pic:spPr>
                </pic:pic>
              </a:graphicData>
            </a:graphic>
          </wp:inline>
        </w:drawing>
      </w:r>
    </w:p>
    <w:p w:rsidR="008D7B57" w:rsidRDefault="008D7B57" w:rsidP="008D7B57">
      <w:pPr>
        <w:pStyle w:val="PRIMERAPLANA"/>
        <w:spacing w:line="360" w:lineRule="auto"/>
        <w:jc w:val="center"/>
        <w:rPr>
          <w:rFonts w:cs="Arial"/>
          <w:sz w:val="18"/>
          <w:szCs w:val="18"/>
          <w:lang w:val="es-ES"/>
        </w:rPr>
      </w:pPr>
    </w:p>
    <w:p w:rsidR="008D7B57" w:rsidRPr="008D7B57" w:rsidRDefault="008D7B57" w:rsidP="008D7B57">
      <w:pPr>
        <w:tabs>
          <w:tab w:val="left" w:pos="284"/>
        </w:tabs>
        <w:ind w:left="284"/>
        <w:jc w:val="both"/>
        <w:rPr>
          <w:rFonts w:ascii="Arial" w:hAnsi="Arial" w:cs="Arial"/>
          <w:sz w:val="18"/>
          <w:szCs w:val="18"/>
        </w:rPr>
      </w:pPr>
      <w:r w:rsidRPr="008D7B57">
        <w:rPr>
          <w:rFonts w:ascii="Arial" w:hAnsi="Arial" w:cs="Arial"/>
          <w:sz w:val="18"/>
          <w:szCs w:val="18"/>
        </w:rPr>
        <w:t>Entre las principales actividades se encuentran: servicios inmobiliarios y de alquiler de bienes muebles e intangibles (17.6 por ciento); comercio (13.6 por ciento); transportes, correo y almacenamiento (7.7 por ciento); servicios educativos (5.6 por ciento); y, actividades legislativas, gubernamentales, de impartición de justicia y de organismos internacionales y extraterritoriales (5.5 por ciento). Juntas representan el 50.0 por ciento del PIB estatal.</w:t>
      </w:r>
    </w:p>
    <w:p w:rsidR="008D7B57" w:rsidRPr="008D7B57" w:rsidRDefault="008D7B57" w:rsidP="008D7B57">
      <w:pPr>
        <w:tabs>
          <w:tab w:val="left" w:pos="284"/>
        </w:tabs>
        <w:ind w:left="284"/>
        <w:jc w:val="both"/>
        <w:rPr>
          <w:rFonts w:ascii="Arial" w:hAnsi="Arial" w:cs="Arial"/>
          <w:sz w:val="18"/>
          <w:szCs w:val="18"/>
        </w:rPr>
      </w:pPr>
      <w:r w:rsidRPr="008D7B57">
        <w:rPr>
          <w:rFonts w:ascii="Arial" w:hAnsi="Arial" w:cs="Arial"/>
          <w:sz w:val="18"/>
          <w:szCs w:val="18"/>
        </w:rPr>
        <w:t>Por otra parte, el Consejo Nacional de Evaluación en su Informe relativo a la Medición de la Pobreza, muestra una disminución de la población que se encontraba en situación de Pobreza extrema, pasando de un 9.9 en 2010 a un 6.5 por ciento en 2014.</w:t>
      </w:r>
    </w:p>
    <w:p w:rsidR="008D7B57" w:rsidRPr="008D7B57" w:rsidRDefault="008D7B57" w:rsidP="008D7B57">
      <w:pPr>
        <w:tabs>
          <w:tab w:val="left" w:pos="284"/>
        </w:tabs>
        <w:ind w:left="284"/>
        <w:jc w:val="both"/>
        <w:rPr>
          <w:rFonts w:ascii="Arial" w:hAnsi="Arial" w:cs="Arial"/>
          <w:sz w:val="18"/>
          <w:szCs w:val="18"/>
        </w:rPr>
      </w:pPr>
    </w:p>
    <w:p w:rsidR="008D7B57" w:rsidRPr="008D7B57" w:rsidRDefault="008D7B57" w:rsidP="008D7B57">
      <w:pPr>
        <w:tabs>
          <w:tab w:val="left" w:pos="284"/>
        </w:tabs>
        <w:ind w:left="284"/>
        <w:jc w:val="both"/>
        <w:rPr>
          <w:rFonts w:ascii="Arial" w:hAnsi="Arial" w:cs="Arial"/>
          <w:sz w:val="18"/>
          <w:szCs w:val="18"/>
        </w:rPr>
      </w:pPr>
    </w:p>
    <w:p w:rsidR="008D7B57" w:rsidRDefault="008D7B57" w:rsidP="008D7B57">
      <w:pPr>
        <w:pStyle w:val="PRIMERAPLANA"/>
        <w:spacing w:line="360" w:lineRule="auto"/>
        <w:jc w:val="center"/>
        <w:rPr>
          <w:rFonts w:cs="Arial"/>
        </w:rPr>
      </w:pPr>
      <w:r>
        <w:rPr>
          <w:rFonts w:cs="Arial"/>
          <w:noProof/>
          <w:lang w:val="es-MX" w:eastAsia="es-MX"/>
        </w:rPr>
        <w:lastRenderedPageBreak/>
        <w:drawing>
          <wp:inline distT="0" distB="0" distL="0" distR="0">
            <wp:extent cx="4462818" cy="3172602"/>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l="19557" t="10164" r="20663" b="10164"/>
                    <a:stretch>
                      <a:fillRect/>
                    </a:stretch>
                  </pic:blipFill>
                  <pic:spPr bwMode="auto">
                    <a:xfrm>
                      <a:off x="0" y="0"/>
                      <a:ext cx="4465094" cy="3174220"/>
                    </a:xfrm>
                    <a:prstGeom prst="rect">
                      <a:avLst/>
                    </a:prstGeom>
                    <a:noFill/>
                    <a:ln w="9525">
                      <a:noFill/>
                      <a:miter lim="800000"/>
                      <a:headEnd/>
                      <a:tailEnd/>
                    </a:ln>
                  </pic:spPr>
                </pic:pic>
              </a:graphicData>
            </a:graphic>
          </wp:inline>
        </w:drawing>
      </w:r>
    </w:p>
    <w:p w:rsidR="008D7B57" w:rsidRDefault="008D7B57" w:rsidP="008D7B57">
      <w:pPr>
        <w:pStyle w:val="PRIMERAPLANA"/>
        <w:spacing w:line="360" w:lineRule="auto"/>
        <w:jc w:val="center"/>
        <w:rPr>
          <w:rFonts w:cs="Arial"/>
          <w:sz w:val="24"/>
          <w:szCs w:val="24"/>
          <w:lang w:val="es-ES"/>
        </w:rPr>
      </w:pPr>
    </w:p>
    <w:p w:rsidR="008D7B57" w:rsidRPr="008D7B57" w:rsidRDefault="008D7B57" w:rsidP="008D7B57">
      <w:pPr>
        <w:tabs>
          <w:tab w:val="left" w:pos="284"/>
        </w:tabs>
        <w:ind w:left="284"/>
        <w:jc w:val="both"/>
        <w:rPr>
          <w:rFonts w:ascii="Arial" w:hAnsi="Arial" w:cs="Arial"/>
          <w:sz w:val="18"/>
          <w:szCs w:val="18"/>
        </w:rPr>
      </w:pPr>
      <w:r w:rsidRPr="008D7B57">
        <w:rPr>
          <w:rFonts w:ascii="Arial" w:hAnsi="Arial" w:cs="Arial"/>
          <w:sz w:val="18"/>
          <w:szCs w:val="18"/>
        </w:rPr>
        <w:t>Al mes de junio de 2015 la tasa de ocupación reflejó una participación del 1.1 por ciento al total nacional, representando un incremento de más de 20,000 puestos de trabajo respecto al cuarto trimestre del 2014. De enero a agosto del presente año se han creado 5 mil 398 empleos formales, ocupando la tercera posición en la generación de empleos formales en lo que va del año.</w:t>
      </w:r>
    </w:p>
    <w:p w:rsidR="008D7B57" w:rsidRPr="008D7B57" w:rsidRDefault="008D7B57" w:rsidP="008D7B57">
      <w:pPr>
        <w:tabs>
          <w:tab w:val="left" w:pos="284"/>
        </w:tabs>
        <w:ind w:left="284"/>
        <w:jc w:val="both"/>
        <w:rPr>
          <w:rFonts w:ascii="Arial" w:hAnsi="Arial" w:cs="Arial"/>
          <w:sz w:val="18"/>
          <w:szCs w:val="18"/>
        </w:rPr>
      </w:pPr>
    </w:p>
    <w:p w:rsidR="008D7B57" w:rsidRPr="008D7B57" w:rsidRDefault="008D7B57" w:rsidP="008D7B57">
      <w:pPr>
        <w:tabs>
          <w:tab w:val="left" w:pos="284"/>
        </w:tabs>
        <w:ind w:left="284"/>
        <w:jc w:val="center"/>
        <w:rPr>
          <w:rFonts w:ascii="Arial" w:hAnsi="Arial" w:cs="Arial"/>
          <w:sz w:val="18"/>
          <w:szCs w:val="18"/>
        </w:rPr>
      </w:pPr>
      <w:r w:rsidRPr="008D7B57">
        <w:rPr>
          <w:rFonts w:ascii="Arial" w:hAnsi="Arial" w:cs="Arial"/>
          <w:noProof/>
          <w:sz w:val="18"/>
          <w:szCs w:val="18"/>
          <w:lang w:eastAsia="es-MX"/>
        </w:rPr>
        <w:lastRenderedPageBreak/>
        <w:drawing>
          <wp:inline distT="0" distB="0" distL="0" distR="0">
            <wp:extent cx="7247255" cy="3677920"/>
            <wp:effectExtent l="1905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srcRect/>
                    <a:stretch>
                      <a:fillRect/>
                    </a:stretch>
                  </pic:blipFill>
                  <pic:spPr bwMode="auto">
                    <a:xfrm>
                      <a:off x="0" y="0"/>
                      <a:ext cx="7247255" cy="3677920"/>
                    </a:xfrm>
                    <a:prstGeom prst="rect">
                      <a:avLst/>
                    </a:prstGeom>
                    <a:noFill/>
                    <a:ln w="9525">
                      <a:noFill/>
                      <a:miter lim="800000"/>
                      <a:headEnd/>
                      <a:tailEnd/>
                    </a:ln>
                  </pic:spPr>
                </pic:pic>
              </a:graphicData>
            </a:graphic>
          </wp:inline>
        </w:drawing>
      </w:r>
    </w:p>
    <w:p w:rsidR="008D7B57" w:rsidRPr="008D7B57" w:rsidRDefault="008D7B57" w:rsidP="008D7B57">
      <w:pPr>
        <w:tabs>
          <w:tab w:val="left" w:pos="284"/>
        </w:tabs>
        <w:ind w:left="284"/>
        <w:jc w:val="both"/>
        <w:rPr>
          <w:rFonts w:ascii="Arial" w:hAnsi="Arial" w:cs="Arial"/>
          <w:sz w:val="18"/>
          <w:szCs w:val="18"/>
        </w:rPr>
      </w:pPr>
      <w:r w:rsidRPr="008D7B57">
        <w:rPr>
          <w:rFonts w:ascii="Arial" w:hAnsi="Arial" w:cs="Arial"/>
          <w:sz w:val="18"/>
          <w:szCs w:val="18"/>
        </w:rPr>
        <w:t>Por grupo de actividad económica, las actividades primarias registraron un incremento de 46.7 por ciento, mientras que las secundarias y terciarias aumentaron 15.2 y 3.4 por ciento, respectivamente. Siendo las actividades secundarias las que más influyeron en el comportamiento de la entidad.</w:t>
      </w:r>
    </w:p>
    <w:p w:rsidR="008D7B57" w:rsidRPr="008D7B57" w:rsidRDefault="008D7B57" w:rsidP="008D7B57">
      <w:pPr>
        <w:tabs>
          <w:tab w:val="left" w:pos="284"/>
        </w:tabs>
        <w:ind w:left="284"/>
        <w:jc w:val="both"/>
        <w:rPr>
          <w:rFonts w:ascii="Arial" w:hAnsi="Arial" w:cs="Arial"/>
          <w:sz w:val="18"/>
          <w:szCs w:val="18"/>
        </w:rPr>
      </w:pPr>
    </w:p>
    <w:p w:rsidR="008D7B57" w:rsidRPr="008D7B57" w:rsidRDefault="008D7B57" w:rsidP="008D7B57">
      <w:pPr>
        <w:tabs>
          <w:tab w:val="left" w:pos="284"/>
        </w:tabs>
        <w:ind w:left="284"/>
        <w:jc w:val="both"/>
        <w:rPr>
          <w:rFonts w:ascii="Arial" w:hAnsi="Arial" w:cs="Arial"/>
          <w:sz w:val="18"/>
          <w:szCs w:val="18"/>
        </w:rPr>
      </w:pPr>
      <w:r w:rsidRPr="008D7B57">
        <w:rPr>
          <w:rFonts w:ascii="Arial" w:hAnsi="Arial" w:cs="Arial"/>
          <w:sz w:val="18"/>
          <w:szCs w:val="18"/>
        </w:rPr>
        <w:t>De acuerdo al Directorio Estadístico Nacional de Unidades Económicas, Tlaxcala cuenta con 59,633 Unidades Económicas, lo que representa el 1.4 por ciento del total en nuestro país. Al segundo trimestre de 2015, la Población Económicamente Activa (PEA), ascendió a 566,769 personas, lo que representó el 63.0 por ciento de la población en edad de trabajar. Del total de la PEA, el 95.5 por ciento está ocupada y el 4.5 por ciento desocupada.</w:t>
      </w:r>
    </w:p>
    <w:p w:rsidR="008D7B57" w:rsidRPr="008D7B57" w:rsidRDefault="008D7B57" w:rsidP="008D7B57">
      <w:pPr>
        <w:tabs>
          <w:tab w:val="left" w:pos="284"/>
        </w:tabs>
        <w:ind w:left="284"/>
        <w:jc w:val="both"/>
        <w:rPr>
          <w:rFonts w:ascii="Arial" w:hAnsi="Arial" w:cs="Arial"/>
          <w:sz w:val="18"/>
          <w:szCs w:val="18"/>
        </w:rPr>
      </w:pPr>
    </w:p>
    <w:p w:rsidR="008D7B57" w:rsidRPr="008D7B57" w:rsidRDefault="008D7B57" w:rsidP="008D7B57">
      <w:pPr>
        <w:tabs>
          <w:tab w:val="left" w:pos="284"/>
        </w:tabs>
        <w:ind w:left="284"/>
        <w:jc w:val="both"/>
        <w:rPr>
          <w:rFonts w:ascii="Arial" w:hAnsi="Arial" w:cs="Arial"/>
          <w:sz w:val="18"/>
          <w:szCs w:val="18"/>
        </w:rPr>
      </w:pPr>
    </w:p>
    <w:p w:rsidR="008D7B57" w:rsidRPr="008D7B57" w:rsidRDefault="008D7B57" w:rsidP="008D7B57">
      <w:pPr>
        <w:tabs>
          <w:tab w:val="left" w:pos="284"/>
        </w:tabs>
        <w:ind w:left="284"/>
        <w:jc w:val="both"/>
        <w:rPr>
          <w:rFonts w:ascii="Arial" w:hAnsi="Arial" w:cs="Arial"/>
          <w:sz w:val="18"/>
          <w:szCs w:val="18"/>
        </w:rPr>
      </w:pPr>
      <w:r w:rsidRPr="008D7B57">
        <w:rPr>
          <w:rFonts w:ascii="Arial" w:hAnsi="Arial" w:cs="Arial"/>
          <w:sz w:val="18"/>
          <w:szCs w:val="18"/>
        </w:rPr>
        <w:lastRenderedPageBreak/>
        <w:t>Asimismo, se tienen registrados en el Instituto Mexicano del Seguro Social 85,584 asegurados al mes de agosto de 2015, incrementado un 24 por ciento en lo que va de la presente administración el número de asegurados representando 16 mil 544 fuentes de empleo formal.</w:t>
      </w:r>
    </w:p>
    <w:p w:rsidR="008D7B57" w:rsidRPr="008D7B57" w:rsidRDefault="008D7B57" w:rsidP="008D7B57">
      <w:pPr>
        <w:tabs>
          <w:tab w:val="left" w:pos="284"/>
        </w:tabs>
        <w:ind w:left="284"/>
        <w:jc w:val="both"/>
        <w:rPr>
          <w:rFonts w:ascii="Arial" w:hAnsi="Arial" w:cs="Arial"/>
          <w:sz w:val="18"/>
          <w:szCs w:val="18"/>
        </w:rPr>
      </w:pPr>
    </w:p>
    <w:p w:rsidR="008D7B57" w:rsidRPr="00FD008E" w:rsidRDefault="008D7B57" w:rsidP="008D7B57">
      <w:pPr>
        <w:pStyle w:val="PRIMERAPLANA"/>
        <w:spacing w:line="360" w:lineRule="auto"/>
        <w:jc w:val="center"/>
        <w:rPr>
          <w:rFonts w:cs="Arial"/>
          <w:sz w:val="18"/>
          <w:szCs w:val="18"/>
          <w:lang w:val="es-ES"/>
        </w:rPr>
      </w:pPr>
      <w:r>
        <w:rPr>
          <w:rFonts w:cs="Arial"/>
          <w:noProof/>
          <w:sz w:val="18"/>
          <w:szCs w:val="18"/>
          <w:lang w:val="es-MX" w:eastAsia="es-MX"/>
        </w:rPr>
        <w:drawing>
          <wp:inline distT="0" distB="0" distL="0" distR="0">
            <wp:extent cx="6052820" cy="4483100"/>
            <wp:effectExtent l="19050" t="0" r="508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cstate="print"/>
                    <a:srcRect/>
                    <a:stretch>
                      <a:fillRect/>
                    </a:stretch>
                  </pic:blipFill>
                  <pic:spPr bwMode="auto">
                    <a:xfrm>
                      <a:off x="0" y="0"/>
                      <a:ext cx="6052820" cy="4483100"/>
                    </a:xfrm>
                    <a:prstGeom prst="rect">
                      <a:avLst/>
                    </a:prstGeom>
                    <a:noFill/>
                    <a:ln w="9525">
                      <a:noFill/>
                      <a:miter lim="800000"/>
                      <a:headEnd/>
                      <a:tailEnd/>
                    </a:ln>
                  </pic:spPr>
                </pic:pic>
              </a:graphicData>
            </a:graphic>
          </wp:inline>
        </w:drawing>
      </w:r>
    </w:p>
    <w:p w:rsidR="008D7B57" w:rsidRPr="008D7B57" w:rsidRDefault="008D7B57" w:rsidP="008D7B57">
      <w:pPr>
        <w:tabs>
          <w:tab w:val="left" w:pos="284"/>
        </w:tabs>
        <w:ind w:left="284"/>
        <w:jc w:val="both"/>
        <w:rPr>
          <w:rFonts w:ascii="Arial" w:hAnsi="Arial" w:cs="Arial"/>
          <w:sz w:val="18"/>
          <w:szCs w:val="18"/>
        </w:rPr>
      </w:pPr>
      <w:r w:rsidRPr="008D7B57">
        <w:rPr>
          <w:rFonts w:ascii="Arial" w:hAnsi="Arial" w:cs="Arial"/>
          <w:sz w:val="18"/>
          <w:szCs w:val="18"/>
        </w:rPr>
        <w:t>Al segundo trimestre de 2015, la inversión en Tlaxcala fue de 17 millones de dólares en el primer trimestre y de 13.8 millones de dólares en el segundo trimestre, lo que da un total de 30.8 millones acumulando a lo largo de esta administración, 22 empresas de nueva creación de diversas nacionalidades.</w:t>
      </w:r>
    </w:p>
    <w:p w:rsidR="008D7B57" w:rsidRPr="008D7B57" w:rsidRDefault="008D7B57" w:rsidP="008D7B57">
      <w:pPr>
        <w:tabs>
          <w:tab w:val="left" w:pos="284"/>
        </w:tabs>
        <w:ind w:left="284"/>
        <w:jc w:val="both"/>
        <w:rPr>
          <w:rFonts w:ascii="Arial" w:hAnsi="Arial" w:cs="Arial"/>
          <w:sz w:val="18"/>
          <w:szCs w:val="18"/>
        </w:rPr>
      </w:pPr>
      <w:r w:rsidRPr="008D7B57">
        <w:rPr>
          <w:rFonts w:ascii="Arial" w:hAnsi="Arial" w:cs="Arial"/>
          <w:sz w:val="18"/>
          <w:szCs w:val="18"/>
        </w:rPr>
        <w:t>En los últimos 15 años, la IED en Tlaxcala sumó 621.1 millones de dólares, lo que equivale a una aportación de 0.2 por ciento a nivel nacional.</w:t>
      </w:r>
    </w:p>
    <w:p w:rsidR="008D7B57" w:rsidRPr="008D7B57" w:rsidRDefault="008D7B57" w:rsidP="008D7B57">
      <w:pPr>
        <w:tabs>
          <w:tab w:val="left" w:pos="284"/>
        </w:tabs>
        <w:ind w:left="284"/>
        <w:jc w:val="both"/>
        <w:rPr>
          <w:rFonts w:ascii="Arial" w:hAnsi="Arial" w:cs="Arial"/>
          <w:sz w:val="18"/>
          <w:szCs w:val="18"/>
        </w:rPr>
      </w:pPr>
    </w:p>
    <w:p w:rsidR="008D7B57" w:rsidRDefault="008D7B57" w:rsidP="008D7B57">
      <w:pPr>
        <w:pStyle w:val="PRIMERAPLANA"/>
        <w:spacing w:line="360" w:lineRule="auto"/>
        <w:jc w:val="center"/>
        <w:rPr>
          <w:szCs w:val="24"/>
        </w:rPr>
      </w:pPr>
      <w:r>
        <w:rPr>
          <w:noProof/>
          <w:szCs w:val="24"/>
          <w:lang w:val="es-MX" w:eastAsia="es-MX"/>
        </w:rPr>
        <w:drawing>
          <wp:inline distT="0" distB="0" distL="0" distR="0">
            <wp:extent cx="4094480" cy="5499735"/>
            <wp:effectExtent l="19050" t="0" r="127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4094480" cy="5499735"/>
                    </a:xfrm>
                    <a:prstGeom prst="rect">
                      <a:avLst/>
                    </a:prstGeom>
                    <a:noFill/>
                    <a:ln w="9525">
                      <a:noFill/>
                      <a:miter lim="800000"/>
                      <a:headEnd/>
                      <a:tailEnd/>
                    </a:ln>
                  </pic:spPr>
                </pic:pic>
              </a:graphicData>
            </a:graphic>
          </wp:inline>
        </w:drawing>
      </w:r>
    </w:p>
    <w:p w:rsidR="008D7B57" w:rsidRPr="008D7B57" w:rsidRDefault="008D7B57" w:rsidP="008D7B57">
      <w:pPr>
        <w:tabs>
          <w:tab w:val="left" w:pos="284"/>
        </w:tabs>
        <w:ind w:left="284"/>
        <w:jc w:val="both"/>
        <w:rPr>
          <w:rFonts w:ascii="Arial" w:hAnsi="Arial" w:cs="Arial"/>
          <w:sz w:val="18"/>
          <w:szCs w:val="18"/>
        </w:rPr>
      </w:pPr>
      <w:r w:rsidRPr="008D7B57">
        <w:rPr>
          <w:rFonts w:ascii="Arial" w:hAnsi="Arial" w:cs="Arial"/>
          <w:sz w:val="18"/>
          <w:szCs w:val="18"/>
        </w:rPr>
        <w:lastRenderedPageBreak/>
        <w:t>Gracias a la modernización del sistema tributario en Tlaxcala, que se  impulsó desde el inicio de la actual administración, la Entidad se colocó durante el periodo 2013 y 2014, en el tercer sitio a nivel nacional en materia de recaudación de impuestos propios, de acuerdo con el Índice de Recaudación 2013-2014, emitido por la Secretaría de Hacienda y Crédito Público (SHCP), Tlaxcala ocupó el tercer lugar nacional al incrementar sus ingresos propios en 22.3 por ciento, tan solo por debajo de entidades como Campeche y Puebla.</w:t>
      </w:r>
    </w:p>
    <w:p w:rsidR="008D7B57" w:rsidRPr="008D7B57" w:rsidRDefault="008D7B57" w:rsidP="008D7B57">
      <w:pPr>
        <w:tabs>
          <w:tab w:val="left" w:pos="284"/>
        </w:tabs>
        <w:ind w:left="284"/>
        <w:jc w:val="both"/>
        <w:rPr>
          <w:rFonts w:ascii="Arial" w:hAnsi="Arial" w:cs="Arial"/>
          <w:sz w:val="18"/>
          <w:szCs w:val="18"/>
        </w:rPr>
      </w:pPr>
    </w:p>
    <w:p w:rsidR="008D7B57" w:rsidRPr="008D7B57" w:rsidRDefault="008D7B57" w:rsidP="008D7B57">
      <w:pPr>
        <w:tabs>
          <w:tab w:val="left" w:pos="284"/>
        </w:tabs>
        <w:ind w:left="284"/>
        <w:jc w:val="both"/>
        <w:rPr>
          <w:rFonts w:ascii="Arial" w:hAnsi="Arial" w:cs="Arial"/>
          <w:sz w:val="18"/>
          <w:szCs w:val="18"/>
        </w:rPr>
      </w:pPr>
      <w:r w:rsidRPr="008D7B57">
        <w:rPr>
          <w:rFonts w:ascii="Arial" w:hAnsi="Arial" w:cs="Arial"/>
          <w:sz w:val="18"/>
          <w:szCs w:val="18"/>
        </w:rPr>
        <w:t>El poco dinamismo de la economía regional, restringe al Estado para incrementar significativamente su recaudación propia; de 2007 a 2011, los ingresos propios promediaron 3.5 por ciento de los ingresos totales captados. Se han implementado algunas medidas que incentivaron el pago de impuestos para reducir el rezago fiscal, particularmente en materia de tenencia y derechos vehiculares.</w:t>
      </w:r>
    </w:p>
    <w:p w:rsidR="008D7B57" w:rsidRPr="008D7B57" w:rsidRDefault="008D7B57" w:rsidP="008D7B57">
      <w:pPr>
        <w:tabs>
          <w:tab w:val="left" w:pos="284"/>
        </w:tabs>
        <w:ind w:left="284"/>
        <w:jc w:val="both"/>
        <w:rPr>
          <w:rFonts w:ascii="Arial" w:hAnsi="Arial" w:cs="Arial"/>
          <w:sz w:val="18"/>
          <w:szCs w:val="18"/>
        </w:rPr>
      </w:pPr>
    </w:p>
    <w:p w:rsidR="008D7B57" w:rsidRPr="008D7B57" w:rsidRDefault="008D7B57" w:rsidP="008D7B57">
      <w:pPr>
        <w:tabs>
          <w:tab w:val="left" w:pos="284"/>
        </w:tabs>
        <w:ind w:left="284"/>
        <w:jc w:val="both"/>
        <w:rPr>
          <w:rFonts w:ascii="Arial" w:hAnsi="Arial" w:cs="Arial"/>
          <w:sz w:val="18"/>
          <w:szCs w:val="18"/>
        </w:rPr>
      </w:pPr>
      <w:r w:rsidRPr="008D7B57">
        <w:rPr>
          <w:rFonts w:ascii="Arial" w:hAnsi="Arial" w:cs="Arial"/>
          <w:sz w:val="18"/>
          <w:szCs w:val="18"/>
        </w:rPr>
        <w:t>Los ingresos fiscales estatales, son fundamentales para el fortalecimiento y desarrollo económico de nuestro Estado. El utilizar las potestades tributarias que le son conferidas al Estado, maximizando su potencial recaudatorio, es la ruta que se debe seguir para generar más y mejores oportunidades de desarrollo, cuidando el equilibrio entre el ingreso y gasto, logrando con esto atender un mayor número de demandas de la sociedad tlaxcalteca.</w:t>
      </w:r>
    </w:p>
    <w:p w:rsidR="005D568E" w:rsidRPr="0073056A" w:rsidRDefault="005D568E" w:rsidP="00C50527">
      <w:pPr>
        <w:tabs>
          <w:tab w:val="left" w:pos="284"/>
        </w:tabs>
        <w:ind w:left="284"/>
        <w:jc w:val="both"/>
        <w:rPr>
          <w:rFonts w:ascii="Arial" w:hAnsi="Arial" w:cs="Arial"/>
          <w:sz w:val="18"/>
          <w:szCs w:val="18"/>
        </w:rPr>
      </w:pPr>
    </w:p>
    <w:p w:rsidR="00522EF3" w:rsidRPr="0073056A" w:rsidRDefault="00522EF3" w:rsidP="00C50527">
      <w:pPr>
        <w:pStyle w:val="Texto"/>
        <w:tabs>
          <w:tab w:val="left" w:pos="284"/>
        </w:tabs>
        <w:spacing w:after="0" w:line="276" w:lineRule="auto"/>
        <w:ind w:left="284" w:firstLine="0"/>
        <w:rPr>
          <w:szCs w:val="18"/>
        </w:rPr>
      </w:pPr>
    </w:p>
    <w:p w:rsidR="00540418" w:rsidRPr="0073056A" w:rsidRDefault="00540418" w:rsidP="00C50527">
      <w:pPr>
        <w:pStyle w:val="Texto"/>
        <w:tabs>
          <w:tab w:val="left" w:pos="284"/>
        </w:tabs>
        <w:spacing w:after="0" w:line="276" w:lineRule="auto"/>
        <w:ind w:left="284" w:firstLine="0"/>
        <w:rPr>
          <w:b/>
          <w:szCs w:val="18"/>
          <w:lang w:val="es-MX"/>
        </w:rPr>
      </w:pPr>
      <w:r w:rsidRPr="0073056A">
        <w:rPr>
          <w:b/>
          <w:szCs w:val="18"/>
          <w:lang w:val="es-MX"/>
        </w:rPr>
        <w:t>Autorización e Historia</w:t>
      </w:r>
    </w:p>
    <w:p w:rsidR="005D568E" w:rsidRPr="0073056A" w:rsidRDefault="005D568E" w:rsidP="00C50527">
      <w:pPr>
        <w:tabs>
          <w:tab w:val="left" w:pos="284"/>
        </w:tabs>
        <w:ind w:left="284"/>
        <w:jc w:val="both"/>
        <w:rPr>
          <w:rFonts w:ascii="Arial" w:hAnsi="Arial" w:cs="Arial"/>
          <w:sz w:val="18"/>
          <w:szCs w:val="18"/>
        </w:rPr>
      </w:pPr>
      <w:r w:rsidRPr="0073056A">
        <w:rPr>
          <w:rFonts w:ascii="Arial" w:hAnsi="Arial" w:cs="Arial"/>
          <w:sz w:val="18"/>
          <w:szCs w:val="18"/>
        </w:rPr>
        <w:t xml:space="preserve">El </w:t>
      </w:r>
      <w:r w:rsidR="002132B8">
        <w:rPr>
          <w:rFonts w:ascii="Arial" w:hAnsi="Arial" w:cs="Arial"/>
          <w:sz w:val="18"/>
          <w:szCs w:val="18"/>
        </w:rPr>
        <w:t>E</w:t>
      </w:r>
      <w:r w:rsidRPr="0073056A">
        <w:rPr>
          <w:rFonts w:ascii="Arial" w:hAnsi="Arial" w:cs="Arial"/>
          <w:sz w:val="18"/>
          <w:szCs w:val="18"/>
        </w:rPr>
        <w:t xml:space="preserve">stado de Tlaxcala es una de las </w:t>
      </w:r>
      <w:hyperlink r:id="rId19" w:tooltip="Organización territorial de México" w:history="1">
        <w:r w:rsidRPr="0073056A">
          <w:rPr>
            <w:rFonts w:ascii="Arial" w:hAnsi="Arial" w:cs="Arial"/>
            <w:sz w:val="18"/>
            <w:szCs w:val="18"/>
          </w:rPr>
          <w:t>32 Entidades Federativas</w:t>
        </w:r>
      </w:hyperlink>
      <w:r w:rsidRPr="0073056A">
        <w:rPr>
          <w:rFonts w:ascii="Arial" w:hAnsi="Arial" w:cs="Arial"/>
          <w:sz w:val="18"/>
          <w:szCs w:val="18"/>
        </w:rPr>
        <w:t xml:space="preserve"> de </w:t>
      </w:r>
      <w:hyperlink r:id="rId20" w:tooltip="México" w:history="1">
        <w:r w:rsidRPr="0073056A">
          <w:rPr>
            <w:rFonts w:ascii="Arial" w:hAnsi="Arial" w:cs="Arial"/>
            <w:sz w:val="18"/>
            <w:szCs w:val="18"/>
          </w:rPr>
          <w:t>México</w:t>
        </w:r>
      </w:hyperlink>
      <w:r w:rsidRPr="0073056A">
        <w:rPr>
          <w:rFonts w:ascii="Arial" w:hAnsi="Arial" w:cs="Arial"/>
          <w:sz w:val="18"/>
          <w:szCs w:val="18"/>
        </w:rPr>
        <w:t>. Es el estado de menor extensión del país. Su territorio es mayor al del Distrito Federal, aunque éste no es un Estado. Tlaxcala es considerado como cuna de la nación; esto porque fue aquí en Tlaxcala desde donde empezó primero la conquista militar y posteriormente la conquista espiritual apoyados con las 400 familias que colonizaron el norte del país.</w:t>
      </w:r>
    </w:p>
    <w:p w:rsidR="005D568E" w:rsidRPr="0073056A" w:rsidRDefault="005D568E" w:rsidP="00C50527">
      <w:pPr>
        <w:tabs>
          <w:tab w:val="left" w:pos="284"/>
        </w:tabs>
        <w:ind w:left="284"/>
        <w:jc w:val="both"/>
        <w:rPr>
          <w:rFonts w:ascii="Arial" w:hAnsi="Arial" w:cs="Arial"/>
          <w:sz w:val="18"/>
          <w:szCs w:val="18"/>
        </w:rPr>
      </w:pPr>
      <w:r w:rsidRPr="0073056A">
        <w:rPr>
          <w:rFonts w:ascii="Arial" w:hAnsi="Arial" w:cs="Arial"/>
          <w:sz w:val="18"/>
          <w:szCs w:val="18"/>
        </w:rPr>
        <w:t>La fundación de la ciudad obedeció a la necesidad de los españoles de consolidar su alianza con los cuatro señoríos, dándole unidad a los mismos, mediante la congregación de los principales y sus vasallos, pues de esta manera se introducían las instituciones religiosas, de gobierno y de organización social de los dominadores, para desplazar paulatinamente las correspondientes a los indígenas.</w:t>
      </w:r>
    </w:p>
    <w:p w:rsidR="005D568E" w:rsidRPr="0073056A" w:rsidRDefault="005D568E" w:rsidP="00C50527">
      <w:pPr>
        <w:tabs>
          <w:tab w:val="left" w:pos="284"/>
        </w:tabs>
        <w:ind w:left="284"/>
        <w:jc w:val="both"/>
        <w:rPr>
          <w:rFonts w:ascii="Arial" w:hAnsi="Arial" w:cs="Arial"/>
          <w:sz w:val="18"/>
          <w:szCs w:val="18"/>
        </w:rPr>
      </w:pPr>
      <w:r w:rsidRPr="0073056A">
        <w:rPr>
          <w:rFonts w:ascii="Arial" w:hAnsi="Arial" w:cs="Arial"/>
          <w:sz w:val="18"/>
          <w:szCs w:val="18"/>
        </w:rPr>
        <w:t xml:space="preserve">La traza de la ciudad, en su concepto, estuvo muy bien repartida, habiendo dejado los espacios adecuados para plazas y calles "por gran nivel y geometría", en la que muchos tuvieron que ver los religiosos de la orden de San Francisco, siendo virrey de la </w:t>
      </w:r>
      <w:hyperlink r:id="rId21" w:tooltip="Nueva España" w:history="1">
        <w:r w:rsidRPr="0073056A">
          <w:rPr>
            <w:rFonts w:ascii="Arial" w:hAnsi="Arial" w:cs="Arial"/>
            <w:sz w:val="18"/>
            <w:szCs w:val="18"/>
          </w:rPr>
          <w:t>Nueva España</w:t>
        </w:r>
      </w:hyperlink>
      <w:r w:rsidRPr="0073056A">
        <w:rPr>
          <w:rFonts w:ascii="Arial" w:hAnsi="Arial" w:cs="Arial"/>
          <w:sz w:val="18"/>
          <w:szCs w:val="18"/>
        </w:rPr>
        <w:t xml:space="preserve"> </w:t>
      </w:r>
      <w:hyperlink r:id="rId22" w:tooltip="Antonio de Mendoza" w:history="1">
        <w:r w:rsidRPr="0073056A">
          <w:rPr>
            <w:rFonts w:ascii="Arial" w:hAnsi="Arial" w:cs="Arial"/>
            <w:sz w:val="18"/>
            <w:szCs w:val="18"/>
          </w:rPr>
          <w:t>Antonio de Mendoza</w:t>
        </w:r>
      </w:hyperlink>
      <w:r w:rsidRPr="0073056A">
        <w:rPr>
          <w:rFonts w:ascii="Arial" w:hAnsi="Arial" w:cs="Arial"/>
          <w:sz w:val="18"/>
          <w:szCs w:val="18"/>
        </w:rPr>
        <w:t>. La ciudad de Tlaxcala fue fundada en la primavera de 1522.</w:t>
      </w:r>
    </w:p>
    <w:p w:rsidR="005D568E" w:rsidRPr="0073056A" w:rsidRDefault="005D568E" w:rsidP="00C50527">
      <w:pPr>
        <w:tabs>
          <w:tab w:val="left" w:pos="284"/>
        </w:tabs>
        <w:ind w:left="284"/>
        <w:jc w:val="both"/>
        <w:rPr>
          <w:rFonts w:ascii="Arial" w:hAnsi="Arial" w:cs="Arial"/>
          <w:sz w:val="18"/>
          <w:szCs w:val="18"/>
        </w:rPr>
      </w:pPr>
      <w:r w:rsidRPr="0073056A">
        <w:rPr>
          <w:rFonts w:ascii="Arial" w:hAnsi="Arial" w:cs="Arial"/>
          <w:sz w:val="18"/>
          <w:szCs w:val="18"/>
        </w:rPr>
        <w:t>En el año de 1535 Tlaxcala se convierte en la primera ciudad acreedora del escudo de armas por el rey Felipe II junto con el título de “Muy noble y muy leal ciudad de Tlaxcala”.</w:t>
      </w:r>
    </w:p>
    <w:p w:rsidR="005D568E" w:rsidRPr="0073056A" w:rsidRDefault="005D568E" w:rsidP="00C50527">
      <w:pPr>
        <w:tabs>
          <w:tab w:val="left" w:pos="284"/>
        </w:tabs>
        <w:ind w:left="284"/>
        <w:jc w:val="both"/>
        <w:rPr>
          <w:rFonts w:ascii="Arial" w:hAnsi="Arial" w:cs="Arial"/>
          <w:sz w:val="18"/>
          <w:szCs w:val="18"/>
        </w:rPr>
      </w:pPr>
      <w:r w:rsidRPr="0073056A">
        <w:rPr>
          <w:rFonts w:ascii="Arial" w:hAnsi="Arial" w:cs="Arial"/>
          <w:sz w:val="18"/>
          <w:szCs w:val="18"/>
        </w:rPr>
        <w:t>El Estado de Tlaxcala es parte integrante de los Estados Unidos Mexicanos, es Libre y Soberano en lo concerniente a su régimen interior, para su organización política y administrativa se divide en 60 municipios, 6 Distritos Judiciales y 794 poblaciones.</w:t>
      </w:r>
    </w:p>
    <w:p w:rsidR="005D568E" w:rsidRPr="0073056A" w:rsidRDefault="005D568E" w:rsidP="00C50527">
      <w:pPr>
        <w:tabs>
          <w:tab w:val="left" w:pos="284"/>
        </w:tabs>
        <w:ind w:left="284"/>
        <w:jc w:val="both"/>
        <w:rPr>
          <w:rFonts w:ascii="Arial" w:hAnsi="Arial" w:cs="Arial"/>
          <w:sz w:val="18"/>
          <w:szCs w:val="18"/>
        </w:rPr>
      </w:pPr>
      <w:r w:rsidRPr="0073056A">
        <w:rPr>
          <w:rFonts w:ascii="Arial" w:hAnsi="Arial" w:cs="Arial"/>
          <w:sz w:val="18"/>
          <w:szCs w:val="18"/>
        </w:rPr>
        <w:t xml:space="preserve">El estado se localiza en la parte centro-oriente del país. Limita en su mayor parte con </w:t>
      </w:r>
      <w:hyperlink r:id="rId23" w:tooltip="Puebla" w:history="1">
        <w:r w:rsidRPr="0073056A">
          <w:rPr>
            <w:rFonts w:ascii="Arial" w:hAnsi="Arial" w:cs="Arial"/>
            <w:sz w:val="18"/>
            <w:szCs w:val="18"/>
          </w:rPr>
          <w:t>Puebla</w:t>
        </w:r>
      </w:hyperlink>
      <w:r w:rsidRPr="0073056A">
        <w:rPr>
          <w:rFonts w:ascii="Arial" w:hAnsi="Arial" w:cs="Arial"/>
          <w:sz w:val="18"/>
          <w:szCs w:val="18"/>
        </w:rPr>
        <w:t xml:space="preserve"> al norte, este y sur, al oeste con el </w:t>
      </w:r>
      <w:hyperlink r:id="rId24" w:tooltip="Estado de México" w:history="1">
        <w:r w:rsidRPr="0073056A">
          <w:rPr>
            <w:rFonts w:ascii="Arial" w:hAnsi="Arial" w:cs="Arial"/>
            <w:sz w:val="18"/>
            <w:szCs w:val="18"/>
          </w:rPr>
          <w:t>Estado de México</w:t>
        </w:r>
      </w:hyperlink>
      <w:r w:rsidRPr="0073056A">
        <w:rPr>
          <w:rFonts w:ascii="Arial" w:hAnsi="Arial" w:cs="Arial"/>
          <w:sz w:val="18"/>
          <w:szCs w:val="18"/>
        </w:rPr>
        <w:t xml:space="preserve"> y al noroeste con </w:t>
      </w:r>
      <w:hyperlink r:id="rId25" w:tooltip="Hidalgo (México)" w:history="1">
        <w:r w:rsidRPr="0073056A">
          <w:rPr>
            <w:rFonts w:ascii="Arial" w:hAnsi="Arial" w:cs="Arial"/>
            <w:sz w:val="18"/>
            <w:szCs w:val="18"/>
          </w:rPr>
          <w:t>Hidalgo</w:t>
        </w:r>
      </w:hyperlink>
      <w:r w:rsidRPr="0073056A">
        <w:rPr>
          <w:rFonts w:ascii="Arial" w:hAnsi="Arial" w:cs="Arial"/>
          <w:sz w:val="18"/>
          <w:szCs w:val="18"/>
        </w:rPr>
        <w:t xml:space="preserve">. La entidad se localiza en la región del Eje </w:t>
      </w:r>
      <w:proofErr w:type="spellStart"/>
      <w:r w:rsidRPr="0073056A">
        <w:rPr>
          <w:rFonts w:ascii="Arial" w:hAnsi="Arial" w:cs="Arial"/>
          <w:sz w:val="18"/>
          <w:szCs w:val="18"/>
        </w:rPr>
        <w:t>Neovolcánico</w:t>
      </w:r>
      <w:proofErr w:type="spellEnd"/>
      <w:r w:rsidRPr="0073056A">
        <w:rPr>
          <w:rFonts w:ascii="Arial" w:hAnsi="Arial" w:cs="Arial"/>
          <w:sz w:val="18"/>
          <w:szCs w:val="18"/>
        </w:rPr>
        <w:t xml:space="preserve">, que atraviesa como un cinturón la parte central de México, de oriente a poniente hasta alcanzar el mar </w:t>
      </w:r>
      <w:r w:rsidRPr="0073056A">
        <w:rPr>
          <w:rFonts w:ascii="Arial" w:hAnsi="Arial" w:cs="Arial"/>
          <w:sz w:val="18"/>
          <w:szCs w:val="18"/>
        </w:rPr>
        <w:lastRenderedPageBreak/>
        <w:t>por ambos lados. En el paisaje se distinguen volcanes y sierras volcánicas de todos tipos y tamaños, llanos extensos que una vez fueron lagos acorralados entre montañas y bosques, pastizales y matorrales de clima templado que es el que goza Tlaxcala.</w:t>
      </w:r>
    </w:p>
    <w:p w:rsidR="005D568E" w:rsidRPr="0073056A" w:rsidRDefault="005D568E" w:rsidP="00C50527">
      <w:pPr>
        <w:tabs>
          <w:tab w:val="left" w:pos="284"/>
        </w:tabs>
        <w:ind w:left="284"/>
        <w:jc w:val="both"/>
        <w:rPr>
          <w:rFonts w:ascii="Arial" w:hAnsi="Arial" w:cs="Arial"/>
          <w:sz w:val="18"/>
          <w:szCs w:val="18"/>
        </w:rPr>
      </w:pPr>
      <w:r w:rsidRPr="0073056A">
        <w:rPr>
          <w:rFonts w:ascii="Arial" w:hAnsi="Arial" w:cs="Arial"/>
          <w:sz w:val="18"/>
          <w:szCs w:val="18"/>
        </w:rPr>
        <w:t>El Estado de Tlaxcala, cuenta con una superficie de 3,991 kilómetros cuadrados, lo cual representa el 0,2 % del territorio nacional.</w:t>
      </w:r>
    </w:p>
    <w:p w:rsidR="00540418" w:rsidRPr="0073056A" w:rsidRDefault="00540418" w:rsidP="00C50527">
      <w:pPr>
        <w:pStyle w:val="INCISO"/>
        <w:tabs>
          <w:tab w:val="left" w:pos="284"/>
        </w:tabs>
        <w:spacing w:after="0" w:line="276" w:lineRule="auto"/>
        <w:ind w:left="284" w:firstLine="0"/>
        <w:rPr>
          <w:lang w:val="es-MX"/>
        </w:rPr>
      </w:pPr>
    </w:p>
    <w:p w:rsidR="00540418" w:rsidRPr="0073056A" w:rsidRDefault="00540418" w:rsidP="00C50527">
      <w:pPr>
        <w:pStyle w:val="Texto"/>
        <w:tabs>
          <w:tab w:val="left" w:pos="284"/>
        </w:tabs>
        <w:spacing w:after="0" w:line="276" w:lineRule="auto"/>
        <w:ind w:left="284" w:firstLine="0"/>
        <w:rPr>
          <w:b/>
          <w:szCs w:val="18"/>
          <w:lang w:val="es-MX"/>
        </w:rPr>
      </w:pPr>
      <w:r w:rsidRPr="0073056A">
        <w:rPr>
          <w:b/>
          <w:szCs w:val="18"/>
          <w:lang w:val="es-MX"/>
        </w:rPr>
        <w:t>Organización y Objeto Social</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La Constitución Política del Estado Libre y Soberano de Tlaxcala, establece que la forma de gobierno del estado es democrática, republicana, representativa, popular y participativa, siendo el objeto del poder público el integral y constante mejoramiento de la población del Estado, con base en el perfeccionamiento de la democracia política, económica y social. En el artículo 70 de la Constitución Local, se establecen las facultades y obligaciones del Gobernador del Estado; destacando las siguientes: Sancionar, promulgar, publicar y ejecutar las Leyes o Decretos que expida el Congreso, reglamentando y proveyendo en la esfera administrativa lo necesario a su exacta observancia; realizar observaciones a proyectos de Ley o Decretos en los términos que establece el artículo 49; enviar por escrito al Congreso del Estado, el informe sobre la situación que guarda la Administración Pública , en términos de lo establecido por el Artículo 44; presentar al Congreso en los primeros quince días del mes de noviembre de cada año los proyectos de Ley de Ingresos y Presupuesto de Egresos que hayan de regir en el año siguiente; rendir la cuenta pública al Congreso; enviar al Congreso dentro de los diez siguientes a aquel en que tome posesión de su cargo, las propuestas para integrar el Tribunal Superior de Justicia; pedir y dar informes al Congreso sobre cualquier ramo de la Administración y al Poder Judicial sobre el de Justicia; auxiliar a los Ayuntamientos en el ejercicio de sus funciones; nombrar y remover libremente al Secretario de Gobierno, Secretarios del Ejecutivo, Oficial Mayor de Gobierno, Procurador General de Justicia y a todos los demás servidores públicos del Estado; promover y fomentar por todos los medios posibles la Educación Pública en el Estado; velar por el libre ejercicio ciudadano del voto.</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El Gobierno del Estado, a través de la Secretaría de Planeación y Finanzas</w:t>
      </w:r>
      <w:r w:rsidR="002132B8">
        <w:rPr>
          <w:rFonts w:ascii="Arial" w:hAnsi="Arial" w:cs="Arial"/>
          <w:sz w:val="18"/>
          <w:szCs w:val="18"/>
        </w:rPr>
        <w:t xml:space="preserve"> es</w:t>
      </w:r>
      <w:r w:rsidRPr="0073056A">
        <w:rPr>
          <w:rFonts w:ascii="Arial" w:hAnsi="Arial" w:cs="Arial"/>
          <w:sz w:val="18"/>
          <w:szCs w:val="18"/>
        </w:rPr>
        <w:t xml:space="preserve"> la dependencia encargada de la administración de la Hacienda Pública; entre muchas de sus labores</w:t>
      </w:r>
      <w:r w:rsidR="002132B8">
        <w:rPr>
          <w:rFonts w:ascii="Arial" w:hAnsi="Arial" w:cs="Arial"/>
          <w:sz w:val="18"/>
          <w:szCs w:val="18"/>
        </w:rPr>
        <w:t>,</w:t>
      </w:r>
      <w:r w:rsidRPr="0073056A">
        <w:rPr>
          <w:rFonts w:ascii="Arial" w:hAnsi="Arial" w:cs="Arial"/>
          <w:sz w:val="18"/>
          <w:szCs w:val="18"/>
        </w:rPr>
        <w:t xml:space="preserve"> se ocupa de la elaboración del proyecto anual de Ley de Ingresos; elabora el presupuesto anual de ingresos del Gobierno del Estado; elabora y propone al Ejecutivo los proyectos de Ley, reglamentos y demás disposiciones en materia fiscal; se ocupa de elaborar y pagar las nóminas de cada una de las dependencias del Poder Ejecutivo del Gobierno del Estado; practica revisiones y </w:t>
      </w:r>
      <w:r w:rsidR="00D43342" w:rsidRPr="0073056A">
        <w:rPr>
          <w:rFonts w:ascii="Arial" w:hAnsi="Arial" w:cs="Arial"/>
          <w:sz w:val="18"/>
          <w:szCs w:val="18"/>
        </w:rPr>
        <w:t>auditorías</w:t>
      </w:r>
      <w:r w:rsidRPr="0073056A">
        <w:rPr>
          <w:rFonts w:ascii="Arial" w:hAnsi="Arial" w:cs="Arial"/>
          <w:sz w:val="18"/>
          <w:szCs w:val="18"/>
        </w:rPr>
        <w:t xml:space="preserve"> a los contribuyentes; impone sanciones por infracciones a los ordenamientos fiscales del Estado; respecto a los impuestos federales coordinados, recibe y exige las garantías del interés fiscal en cantidad suficiente; resuelve sobre la dispensa de garantías en los casos previstos por los convenios celebrados entre la federación y el Gobierno del Estado; y las demás que le señalen las leyes.</w:t>
      </w:r>
    </w:p>
    <w:p w:rsidR="00587618" w:rsidRPr="0073056A" w:rsidRDefault="00587618" w:rsidP="00C50527">
      <w:pPr>
        <w:pStyle w:val="Texto"/>
        <w:tabs>
          <w:tab w:val="left" w:pos="284"/>
        </w:tabs>
        <w:spacing w:after="0" w:line="276" w:lineRule="auto"/>
        <w:ind w:left="284" w:firstLine="0"/>
        <w:rPr>
          <w:szCs w:val="18"/>
        </w:rPr>
      </w:pPr>
    </w:p>
    <w:p w:rsidR="00F32EC8" w:rsidRPr="0073056A" w:rsidRDefault="00F32EC8" w:rsidP="00C50527">
      <w:pPr>
        <w:pStyle w:val="INCISO"/>
        <w:tabs>
          <w:tab w:val="left" w:pos="284"/>
        </w:tabs>
        <w:spacing w:after="0" w:line="276" w:lineRule="auto"/>
        <w:ind w:left="284" w:firstLine="0"/>
      </w:pPr>
    </w:p>
    <w:p w:rsidR="00540418" w:rsidRPr="0073056A" w:rsidRDefault="00540418" w:rsidP="00C50527">
      <w:pPr>
        <w:pStyle w:val="Texto"/>
        <w:tabs>
          <w:tab w:val="left" w:pos="284"/>
        </w:tabs>
        <w:spacing w:after="0" w:line="276" w:lineRule="auto"/>
        <w:ind w:left="284" w:firstLine="0"/>
        <w:rPr>
          <w:b/>
          <w:szCs w:val="18"/>
          <w:lang w:val="es-MX"/>
        </w:rPr>
      </w:pPr>
      <w:r w:rsidRPr="0073056A">
        <w:rPr>
          <w:b/>
          <w:szCs w:val="18"/>
          <w:lang w:val="es-MX"/>
        </w:rPr>
        <w:t>Bases de Preparación de los Estados Financieros</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Los estados financieros y demás información presupuestaria, programática y contable que emanen de las dependencias y entidades, a través de sus unidades administrativas, constituyen la base para la emisión de informes periódicos y para la formulación de la cuenta pública anual.</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Los estados financieros de la entidad son el Estado de Situación Financiera Consolidado, Estado de Resultados Consolidado, Estado de Cambios en la Situación Financiera Consolidado y el Estado de Modificación de la Hacienda Pública, de acuerdo a lo establecido en la Normatividad Contable y Financiera y al Código Financiero para el Estado de Tlaxcala y sus Municipios. Se incluye el Estado Analítico del Activo Consolidado y el Estado Analítico de la Deuda Pública, de acuerdo al requerimiento establecido en el Manual de Contabilidad Gubernamental del CONAC.</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 xml:space="preserve">Es responsabilidad de los Titulares de cada Unidad Administrativa o Equivalente, la confiabilidad de las cifras registradas en su contabilidad, de la representatividad de los registros contables presupuestales de todos los saldos que aparecen en las cuentas de balance y de resultados; los registros contables se llevan con base acumulativa y la contabilización del egreso es conforme a la fecha de realización, independientemente de su pago. El registro del ingreso se efectúa cuando existe jurídicamente el </w:t>
      </w:r>
      <w:r w:rsidRPr="0073056A">
        <w:rPr>
          <w:rFonts w:ascii="Arial" w:hAnsi="Arial" w:cs="Arial"/>
          <w:sz w:val="18"/>
          <w:szCs w:val="18"/>
        </w:rPr>
        <w:lastRenderedPageBreak/>
        <w:t>derecho de cobro. La información contable y financiera es el resultado acumulado de registros, procedimientos, criterios e informes formulados sobre la base de principios técnicos comunes, que captan, valúan, registran, clasifican, informan e interpretan las transacciones, transformaciones y eventos de la actividad económica que modifican la situación patrimonial del Gobierno del Estado y que proporcionan la información necesaria para la toma de decisiones.</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Los Estados Financieros consolidados, han sido elaborados con sustento a las disposiciones legales, normas contables y presupuestarias estatales, que cumplen en gran parte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emitido por el Consejo Nacional de Armonización Contable (CONAC).</w:t>
      </w:r>
    </w:p>
    <w:p w:rsidR="00587618" w:rsidRPr="0073056A" w:rsidRDefault="00587618" w:rsidP="00C50527">
      <w:pPr>
        <w:pStyle w:val="Texto"/>
        <w:tabs>
          <w:tab w:val="left" w:pos="284"/>
        </w:tabs>
        <w:spacing w:after="0" w:line="276" w:lineRule="auto"/>
        <w:ind w:left="284" w:firstLine="0"/>
        <w:rPr>
          <w:szCs w:val="18"/>
          <w:lang w:val="es-MX"/>
        </w:rPr>
      </w:pPr>
    </w:p>
    <w:p w:rsidR="00540418" w:rsidRPr="0073056A" w:rsidRDefault="00540418" w:rsidP="00C50527">
      <w:pPr>
        <w:pStyle w:val="Texto"/>
        <w:tabs>
          <w:tab w:val="left" w:pos="284"/>
        </w:tabs>
        <w:spacing w:after="0" w:line="276" w:lineRule="auto"/>
        <w:ind w:left="284" w:firstLine="0"/>
        <w:rPr>
          <w:szCs w:val="18"/>
        </w:rPr>
      </w:pPr>
    </w:p>
    <w:p w:rsidR="00540418" w:rsidRPr="0073056A" w:rsidRDefault="00540418" w:rsidP="00C50527">
      <w:pPr>
        <w:pStyle w:val="Texto"/>
        <w:tabs>
          <w:tab w:val="left" w:pos="284"/>
        </w:tabs>
        <w:spacing w:after="0" w:line="276" w:lineRule="auto"/>
        <w:ind w:left="284" w:firstLine="0"/>
        <w:rPr>
          <w:b/>
          <w:szCs w:val="18"/>
          <w:lang w:val="es-MX"/>
        </w:rPr>
      </w:pPr>
      <w:r w:rsidRPr="0073056A">
        <w:rPr>
          <w:b/>
          <w:szCs w:val="18"/>
          <w:lang w:val="es-MX"/>
        </w:rPr>
        <w:t>Políticas de Contabilidad Significativas</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 xml:space="preserve">El Sistema Armonizado de Contabilidad Gubernamental, regula las operaciones realizadas en cada uno de los centros contables de los entes del Ejecutivo, que conforman la administración pública gubernamental,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 </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El registro de las operaciones están en apego a los Postulados Básicos de Contabilidad Gubernamental y a las normas y manuales vigentes; las dependencias y entidades de la Administración Pública Estatal como responsables de realizar sus registros contables producto de las operaciones que realizan, registran los gastos como tales en el momento en que se devenguen y los ingresos en el momento en que sean efectivamente percibidos o realizados.</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La consolidación de información financiera, es el resultado en su conjunto de la agrupación de la información financiera que generan los organismos públicos y que se conforma por cada una de las cuentas de activo, pasivo, 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r w:rsidR="00FC6A7D">
        <w:rPr>
          <w:rFonts w:ascii="Arial" w:hAnsi="Arial" w:cs="Arial"/>
          <w:sz w:val="18"/>
          <w:szCs w:val="18"/>
        </w:rPr>
        <w:t xml:space="preserve"> conciliaciones y depuraciones periódicas de los inventarios para su publicación respectiva, así como la constante actualización del Sistema de Contabilidad Gubernamental, conforme a la emisión y publicación de Normas emitidas por el Consejo Nacional de Armonización Contable</w:t>
      </w:r>
      <w:r w:rsidRPr="0073056A">
        <w:rPr>
          <w:rFonts w:ascii="Arial" w:hAnsi="Arial" w:cs="Arial"/>
          <w:sz w:val="18"/>
          <w:szCs w:val="18"/>
        </w:rPr>
        <w:t>.</w:t>
      </w:r>
    </w:p>
    <w:p w:rsidR="00D43342" w:rsidRPr="0073056A" w:rsidRDefault="00D43342" w:rsidP="00C50527">
      <w:pPr>
        <w:pStyle w:val="INCISO"/>
        <w:tabs>
          <w:tab w:val="left" w:pos="284"/>
        </w:tabs>
        <w:spacing w:after="0" w:line="276" w:lineRule="auto"/>
        <w:ind w:left="284" w:firstLine="0"/>
      </w:pPr>
    </w:p>
    <w:p w:rsidR="00540418" w:rsidRPr="0073056A" w:rsidRDefault="00540418" w:rsidP="00C50527">
      <w:pPr>
        <w:pStyle w:val="Texto"/>
        <w:tabs>
          <w:tab w:val="left" w:pos="284"/>
        </w:tabs>
        <w:spacing w:after="0" w:line="276" w:lineRule="auto"/>
        <w:ind w:left="284" w:firstLine="0"/>
        <w:rPr>
          <w:b/>
          <w:szCs w:val="18"/>
          <w:lang w:val="es-MX"/>
        </w:rPr>
      </w:pPr>
      <w:r w:rsidRPr="0073056A">
        <w:rPr>
          <w:b/>
          <w:szCs w:val="18"/>
          <w:lang w:val="es-MX"/>
        </w:rPr>
        <w:t>Reporte de la Recaudación</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Los esfuerzos del Gobierno del Estado de Tlaxcala, están encaminado</w:t>
      </w:r>
      <w:r w:rsidR="003442F4">
        <w:rPr>
          <w:rFonts w:ascii="Arial" w:hAnsi="Arial" w:cs="Arial"/>
          <w:sz w:val="18"/>
          <w:szCs w:val="18"/>
        </w:rPr>
        <w:t>s</w:t>
      </w:r>
      <w:r w:rsidRPr="0073056A">
        <w:rPr>
          <w:rFonts w:ascii="Arial" w:hAnsi="Arial" w:cs="Arial"/>
          <w:sz w:val="18"/>
          <w:szCs w:val="18"/>
        </w:rPr>
        <w:t xml:space="preserve"> a elevar los niveles de recaudación con eficiencia, transparencia y honestidad, buscando apoyar a aquellos grupos sociales que viven en condiciones menos favorables. En este sentido, y derivado del fortalecimiento de los mecanismos institucionales de control y las acciones de fiscalización, los ingresos que el Estado recauda se han incrementado en un </w:t>
      </w:r>
      <w:r w:rsidR="003442F4">
        <w:rPr>
          <w:rFonts w:ascii="Arial" w:hAnsi="Arial" w:cs="Arial"/>
          <w:sz w:val="18"/>
          <w:szCs w:val="18"/>
        </w:rPr>
        <w:t>14</w:t>
      </w:r>
      <w:r w:rsidRPr="0073056A">
        <w:rPr>
          <w:rFonts w:ascii="Arial" w:hAnsi="Arial" w:cs="Arial"/>
          <w:sz w:val="18"/>
          <w:szCs w:val="18"/>
        </w:rPr>
        <w:t>%.</w:t>
      </w:r>
    </w:p>
    <w:p w:rsidR="00587618" w:rsidRPr="0073056A" w:rsidRDefault="00BD0CF1" w:rsidP="002132B8">
      <w:pPr>
        <w:tabs>
          <w:tab w:val="left" w:pos="284"/>
        </w:tabs>
        <w:ind w:left="284"/>
        <w:jc w:val="center"/>
        <w:rPr>
          <w:rFonts w:ascii="Arial" w:hAnsi="Arial" w:cs="Arial"/>
          <w:sz w:val="18"/>
          <w:szCs w:val="18"/>
        </w:rPr>
      </w:pPr>
      <w:r>
        <w:rPr>
          <w:rFonts w:ascii="Arial" w:hAnsi="Arial" w:cs="Arial"/>
          <w:noProof/>
          <w:sz w:val="18"/>
          <w:szCs w:val="18"/>
          <w:lang w:eastAsia="es-MX"/>
        </w:rPr>
        <w:lastRenderedPageBreak/>
        <mc:AlternateContent>
          <mc:Choice Requires="wpg">
            <w:drawing>
              <wp:inline distT="0" distB="0" distL="0" distR="0">
                <wp:extent cx="5255895" cy="2691765"/>
                <wp:effectExtent l="0" t="0" r="1905" b="13335"/>
                <wp:docPr id="92" name="13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55895" cy="2691765"/>
                          <a:chOff x="0" y="0"/>
                          <a:chExt cx="5255819" cy="2691617"/>
                        </a:xfrm>
                      </wpg:grpSpPr>
                      <wpg:graphicFrame>
                        <wpg:cNvPr id="93" name="24 Gráfico"/>
                        <wpg:cNvFrPr/>
                        <wpg:xfrm>
                          <a:off x="0" y="0"/>
                          <a:ext cx="5255819" cy="2691617"/>
                        </wpg:xfrm>
                        <a:graphic>
                          <a:graphicData uri="http://schemas.openxmlformats.org/drawingml/2006/chart">
                            <c:chart xmlns:c="http://schemas.openxmlformats.org/drawingml/2006/chart" xmlns:r="http://schemas.openxmlformats.org/officeDocument/2006/relationships" r:id="rId26"/>
                          </a:graphicData>
                        </a:graphic>
                      </wpg:graphicFrame>
                      <wps:wsp>
                        <wps:cNvPr id="94" name="7 CuadroTexto"/>
                        <wps:cNvSpPr txBox="1"/>
                        <wps:spPr>
                          <a:xfrm>
                            <a:off x="612321" y="1612944"/>
                            <a:ext cx="442814" cy="217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964B2" w:rsidRDefault="002964B2" w:rsidP="00DF17AD">
                              <w:pPr>
                                <w:pStyle w:val="NormalWeb"/>
                                <w:spacing w:before="0" w:beforeAutospacing="0" w:after="0" w:afterAutospacing="0"/>
                              </w:pPr>
                              <w:r>
                                <w:rPr>
                                  <w:rFonts w:asciiTheme="minorHAnsi" w:hAnsi="Calibri" w:cstheme="minorBidi"/>
                                  <w:b/>
                                  <w:bCs/>
                                  <w:color w:val="000000" w:themeColor="text1"/>
                                  <w:sz w:val="16"/>
                                  <w:szCs w:val="16"/>
                                </w:rPr>
                                <w:t>0.02%</w:t>
                              </w:r>
                            </w:p>
                          </w:txbxContent>
                        </wps:txbx>
                        <wps:bodyPr wrap="none" rtlCol="0" anchor="t">
                          <a:spAutoFit/>
                        </wps:bodyPr>
                      </wps:wsp>
                      <wps:wsp>
                        <wps:cNvPr id="95" name="8 CuadroTexto"/>
                        <wps:cNvSpPr txBox="1"/>
                        <wps:spPr>
                          <a:xfrm>
                            <a:off x="1279071" y="1517694"/>
                            <a:ext cx="390813" cy="217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964B2" w:rsidRDefault="002964B2" w:rsidP="00DF17AD">
                              <w:pPr>
                                <w:pStyle w:val="NormalWeb"/>
                                <w:spacing w:before="0" w:beforeAutospacing="0" w:after="0" w:afterAutospacing="0"/>
                              </w:pPr>
                              <w:r>
                                <w:rPr>
                                  <w:rFonts w:asciiTheme="minorHAnsi" w:hAnsi="Calibri" w:cstheme="minorBidi"/>
                                  <w:b/>
                                  <w:bCs/>
                                  <w:color w:val="000000" w:themeColor="text1"/>
                                  <w:sz w:val="16"/>
                                  <w:szCs w:val="16"/>
                                </w:rPr>
                                <w:t>2.2%</w:t>
                              </w:r>
                            </w:p>
                          </w:txbxContent>
                        </wps:txbx>
                        <wps:bodyPr wrap="none" rtlCol="0" anchor="t">
                          <a:spAutoFit/>
                        </wps:bodyPr>
                      </wps:wsp>
                      <wps:wsp>
                        <wps:cNvPr id="96" name="9 CuadroTexto"/>
                        <wps:cNvSpPr txBox="1"/>
                        <wps:spPr>
                          <a:xfrm>
                            <a:off x="1932214" y="1218337"/>
                            <a:ext cx="442814" cy="217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964B2" w:rsidRDefault="002964B2" w:rsidP="00DF17AD">
                              <w:pPr>
                                <w:pStyle w:val="NormalWeb"/>
                                <w:spacing w:before="0" w:beforeAutospacing="0" w:after="0" w:afterAutospacing="0"/>
                              </w:pPr>
                              <w:r>
                                <w:rPr>
                                  <w:rFonts w:asciiTheme="minorHAnsi" w:hAnsi="Calibri" w:cstheme="minorBidi"/>
                                  <w:b/>
                                  <w:bCs/>
                                  <w:color w:val="000000" w:themeColor="text1"/>
                                  <w:sz w:val="16"/>
                                  <w:szCs w:val="16"/>
                                </w:rPr>
                                <w:t>13.3%</w:t>
                              </w:r>
                            </w:p>
                          </w:txbxContent>
                        </wps:txbx>
                        <wps:bodyPr wrap="none" rtlCol="0" anchor="t">
                          <a:spAutoFit/>
                        </wps:bodyPr>
                      </wps:wsp>
                      <wps:wsp>
                        <wps:cNvPr id="97" name="10 CuadroTexto"/>
                        <wps:cNvSpPr txBox="1"/>
                        <wps:spPr>
                          <a:xfrm>
                            <a:off x="2803071" y="1408837"/>
                            <a:ext cx="474232" cy="217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964B2" w:rsidRDefault="002964B2" w:rsidP="00DF17AD">
                              <w:pPr>
                                <w:pStyle w:val="NormalWeb"/>
                                <w:spacing w:before="0" w:beforeAutospacing="0" w:after="0" w:afterAutospacing="0"/>
                              </w:pPr>
                              <w:r>
                                <w:rPr>
                                  <w:rFonts w:asciiTheme="minorHAnsi" w:hAnsi="Calibri" w:cstheme="minorBidi"/>
                                  <w:b/>
                                  <w:bCs/>
                                  <w:color w:val="FF0000"/>
                                  <w:sz w:val="16"/>
                                  <w:szCs w:val="16"/>
                                </w:rPr>
                                <w:t>-12.8%</w:t>
                              </w:r>
                            </w:p>
                          </w:txbxContent>
                        </wps:txbx>
                        <wps:bodyPr wrap="none" rtlCol="0" anchor="t">
                          <a:spAutoFit/>
                        </wps:bodyPr>
                      </wps:wsp>
                      <wps:wsp>
                        <wps:cNvPr id="98" name="11 CuadroTexto"/>
                        <wps:cNvSpPr txBox="1"/>
                        <wps:spPr>
                          <a:xfrm>
                            <a:off x="3428999" y="1449658"/>
                            <a:ext cx="390813" cy="217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964B2" w:rsidRDefault="002964B2" w:rsidP="00DF17AD">
                              <w:pPr>
                                <w:pStyle w:val="NormalWeb"/>
                                <w:spacing w:before="0" w:beforeAutospacing="0" w:after="0" w:afterAutospacing="0"/>
                              </w:pPr>
                              <w:r>
                                <w:rPr>
                                  <w:rFonts w:asciiTheme="minorHAnsi" w:hAnsi="Calibri" w:cstheme="minorBidi"/>
                                  <w:b/>
                                  <w:bCs/>
                                  <w:color w:val="000000" w:themeColor="text1"/>
                                  <w:sz w:val="16"/>
                                  <w:szCs w:val="16"/>
                                </w:rPr>
                                <w:t>3.7%</w:t>
                              </w:r>
                            </w:p>
                          </w:txbxContent>
                        </wps:txbx>
                        <wps:bodyPr wrap="none" rtlCol="0" anchor="t">
                          <a:spAutoFit/>
                        </wps:bodyPr>
                      </wps:wsp>
                      <wps:wsp>
                        <wps:cNvPr id="99" name="12 CuadroTexto"/>
                        <wps:cNvSpPr txBox="1"/>
                        <wps:spPr>
                          <a:xfrm>
                            <a:off x="4105644" y="1027836"/>
                            <a:ext cx="442814" cy="21756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2964B2" w:rsidRDefault="002964B2" w:rsidP="00DF17AD">
                              <w:pPr>
                                <w:pStyle w:val="NormalWeb"/>
                                <w:spacing w:before="0" w:beforeAutospacing="0" w:after="0" w:afterAutospacing="0"/>
                              </w:pPr>
                              <w:r>
                                <w:rPr>
                                  <w:rFonts w:asciiTheme="minorHAnsi" w:hAnsi="Calibri" w:cstheme="minorBidi"/>
                                  <w:b/>
                                  <w:bCs/>
                                  <w:color w:val="000000" w:themeColor="text1"/>
                                  <w:sz w:val="16"/>
                                  <w:szCs w:val="16"/>
                                </w:rPr>
                                <w:t>14.2%</w:t>
                              </w:r>
                            </w:p>
                          </w:txbxContent>
                        </wps:txbx>
                        <wps:bodyPr wrap="none" rtlCol="0" anchor="t">
                          <a:spAutoFit/>
                        </wps:bodyPr>
                      </wps:wsp>
                    </wpg:wgp>
                  </a:graphicData>
                </a:graphic>
              </wp:inline>
            </w:drawing>
          </mc:Choice>
          <mc:Fallback>
            <w:pict>
              <v:group id="13 Grupo" o:spid="_x0000_s1026" style="width:413.85pt;height:211.95pt;mso-position-horizontal-relative:char;mso-position-vertical-relative:line" coordsize="52558,26916"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1BoFBd4AAAAFAQAADwAAAGRycy9k&#10;b3ducmV2LnhtbEyPQUvDQBCF74L/YRnBm90kVVtjNqUU9VQKtkLpbZqdJqHZ2ZDdJum/d/Wil4HH&#10;e7z3TbYYTSN66lxtWUE8iUAQF1bXXCr42r0/zEE4j6yxsUwKruRgkd/eZJhqO/An9VtfilDCLkUF&#10;lfdtKqUrKjLoJrYlDt7JdgZ9kF0pdYdDKDeNTKLoWRqsOSxU2NKqouK8vRgFHwMOy2n81q/Pp9X1&#10;sHva7NcxKXV/Ny5fQXga/V8YfvADOuSB6WgvrJ1oFIRH/O8N3jyZzUAcFTwm0xeQeSb/0+ffAAAA&#10;//8DAFBLAwQUAAYACAAAACEA1T7zJMADAACWFAAADgAAAGRycy9lMm9Eb2MueG1s7Jhdbts4EMff&#10;C+wdCL1vJOpbQpximzTBAsVusG0PwFCUJawkCiQdO8fZs/RiO/yQnNpBmxR2iwB+MWSJMxrO/OZP&#10;UudvN32H7pmQLR8WHj4LPMQGyqt2WC68z5+uf889JBUZKtLxgS28Bya9txe/vTlfjyULecO7igkE&#10;TgZZrseF1yg1lr4vacN6Is/4yAZ4WHPREwV/xdKvBFmD977zwyBI/TUX1Sg4ZVLC3Sv70Lsw/uua&#10;UfV3XUumULfwIDZlfoX5vdO//sU5KZeCjE1LXRjkB6LoSTvAS2dXV0QRtBLtnqu+pYJLXqszynuf&#10;13VLmZkDzAYHO7O5EXw1mrksy/VynNMEqd3J0w+7pX/d3wrUVguvCD00kB5qhCN0I1Yj18lZj8sS&#10;xtyI8eN4K+wM4fIDp/9KeOzvPtf/l9vBm1r02ggmijYm6w9z1tlGIQo3kzBJ8iLxEIVnYVrgLE1s&#10;XWgDxduzo837x5a42FqmONOWPinti014czg2NlPqawEznWc3ZSCaMhDGkIEv/0FxHifhWtwKl5Jn&#10;z+up6HQckwOH3nPQ+X4v0IYIBbzQ0lw5XugeLc/15BxAu+zg9oQDi/IVp6ueDcr2pmAdUSAMsmlH&#10;6SFRas7EnxV2RXKT181iijYnw9Xt61KBQMhtD8i9oF7UAx8bMjLTWlLzPREQTwRk6HJFKsE/AaWO&#10;ATNQdwFSm3ccwDXTWI+ylK41pqI62lMcRiH2EGCN4bqIY4v1BH4chzmGNxrucZakRo5meEk5Cqlu&#10;GO+RvoDMgZpByKQk9x+kspxPQ/TtgV+3XWe7cgrKhKceOoCdlN3wD6uh2U0n6huSiuXdZSeQVUTQ&#10;FdDISRchEGOgB9bg+IW2zkRbMyPEL7Sfjcz7+aBm+74duDCJMMsE0xO4JyDwajORVdvxRqAgFTYB&#10;Ohdqc7cxchfpWug7d7x6gJquYQ1YeAMsUgCq6i65XTDIQBsO2bGJl+MfKwVZNsnfGrvXAJ7W5fE5&#10;BbW0Wp0fgFMcZkWQOVATkN9iB9SoCHIM4ngCFdpjr0mODKqpxZa1VwZqOoFaHALUIgpDrZhaUUOc&#10;R5FZ7kFg3IbgpKjfUvMjg2o2ba8W1GwCFQcHIDXMg2iW1DjI8z1Ssxg2BydJNTuOny2p6ate++FE&#10;7c5p+ACkRrAJLQo4Q2lNjeMiTfKvd6mnxf8XaqpZ316tpgJVjtTwAKTGOEhSOEMZUoMwyyPTx6fV&#10;P3BnoW+f5Y68+hvVOAKp5lMAfPx6/IHgyQ8G28+JF/8D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BZP9BuFQEAAI0BAAAgAAAAZHJzL2NoYXJ0cy9fcmVscy9jaGFydDEueG1sLnJlbHOE&#10;kN1Kw0AQhe8F32FZ8NJuElCkJCmxrRLoH7G5kdyMu5M0utkNu1tJfRRfpy/mFhQsCN6dw2G+MzPx&#10;ZOgkeUdjW60SGo4CSlBxLVrVJLTcPlzfUWIdKAFSK0zoAS2dpJcXcYESnB+yu7a3xFOUTejOuX7M&#10;mOU77MCOdI/KJ7U2HThvTcN64G/QIIuC4JaZ3wyanjFJLhJqchFSsj30vvl/tq7rluNM832Hyv1R&#10;wbTE9csrcuehYBp0Ca1biX5lNh1X2WOZL7KiKuZPm6soiKppOV9tMy83x8/7RT49yaxYrlf5czY7&#10;mSgIbyq+B2G09RZMp1X7AQK+s9Eg7fDTtdTCnzEfHBoFkrI0ZmdPTL8AAAD//wMAUEsDBBQABgAI&#10;AAAAIQD//S5rNAUAAOgNAAAVAAAAZHJzL2NoYXJ0cy9jaGFydDEueG1srFfbbuM2EH0v0H9QhX2N&#10;bTlyLkLsheMki6C5Ic5ui77REm2roUiVpB17v76HF8mSGwPptnlweBkOZ86Z4YwuPm8KFqypVLng&#10;wzDq9MKA8lRkOV8Mw68vN0dnYaA04RlhgtNhuKUq/Dz6+aeLNEmXROppSVIaQAlXSToMl1qXSber&#10;0iUtiOqIknLszYUsiMZULrqZJG9QXrBuv9c76VoloVdAfkBBQXJenZcfOS/m8zylVyJdFZRrZ4Wk&#10;jGggoJZ5qcIRnMuIptF5Lw7WhA3DXtg1i4zwhVug6uh66halWPGMZhMhOWBsyBdpMmaaSg5VE8E1&#10;bvN+Fh9CqiDydVUepaIoYdwsZ7neWnNhIHRPlgJ+BM/0r1UuqRqGaRRXQGD4DyiKPJVCibnuQGPX&#10;oVCxYdSeds+6fc8HnI3iROkto86hKB4Yb7v1vdaEG8LYjKSvBpuG8E52J2BO7qNhjln+zUDnmlE7&#10;2JhfmafL0QVJZiLbPklcTRKm9NRYZCelWSmfpPmX0fnzkwzUdwRw3OsBHpIowfLsJmfMTkw40gmT&#10;zhm9iawzLalupQde1pqtegndhvlhCNbvf0c+/NeLoNGYpUe3fAHqhAqukWOaMKoCMHF+1O9FA2OG&#10;tsZA2JiE3woXDLSFiZGtWGkbnAJZjGkjAI1UhSpZafFiJleUUU2zhlialEzosaTEAN/QOCNyYnLc&#10;LGN8lXv8UsFc6C8Q+yWS2SlL2Uoh3GnmNtdEbieCiVZOIE4o3EmTPNu0TBAyo169T7acwyF9O3+g&#10;C4T/2gei30yJtUpp+UznRt98dPvw5fl6+jj95dP40+A0we/JsUHMbkNwQhAFRrTUE6SsdtefOmNL&#10;HcAik+hGYj26u722TBgFawt8aS+s5KKWXNQ7JNdvy0WH5I7bcv1DcnFbzjr4nn2Dtlx8SN9JWw5B&#10;1/QXkx1wbmLhxtATgNfRAMZXxTs8XFoeLps8QLDmwVWFicjo6AvF20mYub2x+kGu4v6e2YZiR2dF&#10;E0Q6B7GvOIqP485ZG4Cdpoqg+LzfOT0kVLET9887ByGvqInjQecgfxUvg97Z/nXAaIeim1SkWDaw&#10;5HMsu5sxZehRS/F2RxeUZ7/S5gPhdr4RdACNKmekJ0Q/kKKdc2Z9SuW7609Upqa+7eu5XM1mjE7z&#10;701VsLA2bUHK3/JML3022iqTJu4tK93iUd+vks2tf7f6J1HUj47PYpe9+xunpydmA/c0nzCE7Ng+&#10;mvvitR6VEobnzEAmZA5/bFPgrChyfk82Xm1DMLPvactxsnnCk26hmDkDQdhNoYNdbA9DH/KoJmIF&#10;7O5y/kqzutMoyJ9CvuTp6z2aAKeKo/9y2mDK4U2NQ+C9toDTjX4R7qDeuMLzL4vqGWpqMENxxWPR&#10;qpmY/GhlRSw+EUlM3W7WVsNaVeqctXhq0LaosS8XjnlPsN9D1bRgmxr3B5XeWTNz67bao7LN2Jgt&#10;uFtLtXSYYPVxPlfUx24EX2055eJ+xXR+t2ZA052xOwiqOpBw6/sRVdvXCJQfiihveiOifOn9eER5&#10;Ff9jRNWB+A4zdS7ZvfeZsVuXVL9R6tmYuYlBHvjWsCrf4HFhOjlsognkwdsw7A+qPq/eQtgwbo+7&#10;U9DTbGvM+FuuHjnzD6CHJctVeYkIfFVjH0V4kVwEmPfuCuSrRzQiyP29IKg6o8rIdse5VXW7ic+d&#10;TLyFiHOlsTgMb+yfdbaVTjDZKUsTJK35cGBX6AoDiW5pGMrbzJUzE9hfS/OB0raoecYCsftAG/0N&#10;AAD//wMAUEsBAi0AFAAGAAgAAAAhAPVq/LkgAQAAXgIAABMAAAAAAAAAAAAAAAAAAAAAAFtDb250&#10;ZW50X1R5cGVzXS54bWxQSwECLQAUAAYACAAAACEAOP0h/9YAAACUAQAACwAAAAAAAAAAAAAAAABR&#10;AQAAX3JlbHMvLnJlbHNQSwECLQAUAAYACAAAACEA1BoFBd4AAAAFAQAADwAAAAAAAAAAAAAAAABQ&#10;AgAAZHJzL2Rvd25yZXYueG1sUEsBAi0AFAAGAAgAAAAhANU+8yTAAwAAlhQAAA4AAAAAAAAAAAAA&#10;AAAAWwMAAGRycy9lMm9Eb2MueG1sUEsBAi0AFAAGAAgAAAAhAKsWzUa5AAAAIgEAABkAAAAAAAAA&#10;AAAAAAAARwcAAGRycy9fcmVscy9lMm9Eb2MueG1sLnJlbHNQSwECLQAUAAYACAAAACEAWT/QbhUB&#10;AACNAQAAIAAAAAAAAAAAAAAAAAA3CAAAZHJzL2NoYXJ0cy9fcmVscy9jaGFydDEueG1sLnJlbHNQ&#10;SwECLQAUAAYACAAAACEA//0uazQFAADoDQAAFQAAAAAAAAAAAAAAAACKCQAAZHJzL2NoYXJ0cy9j&#10;aGFydDEueG1sUEsFBgAAAAAHAAcAywEAAPEOAAAAAA==&#10;">
                <v:shape id="24 Gráfico" o:spid="_x0000_s1027" type="#_x0000_t75" style="position:absolute;width:52607;height:269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MlZM&#10;NsMAAADbAAAADwAAAGRycy9kb3ducmV2LnhtbESPT2sCMRTE7wW/Q3hCbzVrRVlXo6yCYPHkH/D6&#10;2Lxulm5elk26pt++EQo9DjPzG2a9jbYVA/W+caxgOslAEFdON1wruF0PbzkIH5A1to5JwQ952G5G&#10;L2sstHvwmYZLqEWCsC9QgQmhK6T0lSGLfuI64uR9ut5iSLKvpe7xkeC2le9ZtpAWG04LBjvaG6q+&#10;Lt9Wwel+POXl/BA/dkOb32lxLk00Sr2OY7kCESiG//Bf+6gVLGfw/JJ+gNz8AgAA//8DAFBLAQIt&#10;ABQABgAIAAAAIQC2gziS/gAAAOEBAAATAAAAAAAAAAAAAAAAAAAAAABbQ29udGVudF9UeXBlc10u&#10;eG1sUEsBAi0AFAAGAAgAAAAhADj9If/WAAAAlAEAAAsAAAAAAAAAAAAAAAAALwEAAF9yZWxzLy5y&#10;ZWxzUEsBAi0AFAAGAAgAAAAhADMvBZ5BAAAAOQAAAA4AAAAAAAAAAAAAAAAALgIAAGRycy9lMm9E&#10;b2MueG1sUEsBAi0AFAAGAAgAAAAhADJWTDbDAAAA2wAAAA8AAAAAAAAAAAAAAAAAmwIAAGRycy9k&#10;b3ducmV2LnhtbFBLBQYAAAAABAAEAPMAAACLAwAAAAA=&#10;">
                  <v:imagedata r:id="rId41" o:title=""/>
                  <o:lock v:ext="edit" aspectratio="f"/>
                </v:shape>
                <v:shapetype id="_x0000_t202" coordsize="21600,21600" o:spt="202" path="m,l,21600r21600,l21600,xe">
                  <v:stroke joinstyle="miter"/>
                  <v:path gradientshapeok="t" o:connecttype="rect"/>
                </v:shapetype>
                <v:shape id="7 CuadroTexto" o:spid="_x0000_s1028" type="#_x0000_t202" style="position:absolute;left:6123;top:16129;width:4428;height:21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gsQA&#10;AADbAAAADwAAAGRycy9kb3ducmV2LnhtbESP0WrCQBRE3wv+w3KFvtWNwRZNXYNoC31r1X7AJXvN&#10;xmTvhuw2iX59t1DwcZiZM8w6H20jeup85VjBfJaAIC6crrhU8H16f1qC8AFZY+OYFFzJQ76ZPKwx&#10;027gA/XHUIoIYZ+hAhNCm0npC0MW/cy1xNE7u85iiLIrpe5wiHDbyDRJXqTFiuOCwZZ2hor6+GMV&#10;LBP7Wder9MvbxW3+bHZ799ZelHqcjttXEIHGcA//tz+0gtU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o/4LEAAAA2wAAAA8AAAAAAAAAAAAAAAAAmAIAAGRycy9k&#10;b3ducmV2LnhtbFBLBQYAAAAABAAEAPUAAACJAwAAAAA=&#10;" filled="f" stroked="f">
                  <v:textbox style="mso-fit-shape-to-text:t">
                    <w:txbxContent>
                      <w:p w:rsidR="002964B2" w:rsidRDefault="002964B2" w:rsidP="00DF17AD">
                        <w:pPr>
                          <w:pStyle w:val="NormalWeb"/>
                          <w:spacing w:before="0" w:beforeAutospacing="0" w:after="0" w:afterAutospacing="0"/>
                        </w:pPr>
                        <w:r>
                          <w:rPr>
                            <w:rFonts w:asciiTheme="minorHAnsi" w:hAnsi="Calibri" w:cstheme="minorBidi"/>
                            <w:b/>
                            <w:bCs/>
                            <w:color w:val="000000" w:themeColor="text1"/>
                            <w:sz w:val="16"/>
                            <w:szCs w:val="16"/>
                          </w:rPr>
                          <w:t>0.02%</w:t>
                        </w:r>
                      </w:p>
                    </w:txbxContent>
                  </v:textbox>
                </v:shape>
                <v:shape id="8 CuadroTexto" o:spid="_x0000_s1029" type="#_x0000_t202" style="position:absolute;left:12790;top:15176;width:3908;height:21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aGcQA&#10;AADbAAAADwAAAGRycy9kb3ducmV2LnhtbESP0WrCQBRE3wv+w3IF3+rGYIqmrkG0hb61aj/gkr1m&#10;Y7J3Q3Zr0n59t1DwcZiZM8ymGG0rbtT72rGCxTwBQVw6XXOl4PP8+rgC4QOyxtYxKfgmD8V28rDB&#10;XLuBj3Q7hUpECPscFZgQulxKXxqy6OeuI47exfUWQ5R9JXWPQ4TbVqZJ8iQt1hwXDHa0N1Q2py+r&#10;YJXY96ZZpx/eLn8Wmdkf3Et3VWo2HXfPIAKN4R7+b79pBesM/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kWhnEAAAA2wAAAA8AAAAAAAAAAAAAAAAAmAIAAGRycy9k&#10;b3ducmV2LnhtbFBLBQYAAAAABAAEAPUAAACJAwAAAAA=&#10;" filled="f" stroked="f">
                  <v:textbox style="mso-fit-shape-to-text:t">
                    <w:txbxContent>
                      <w:p w:rsidR="002964B2" w:rsidRDefault="002964B2" w:rsidP="00DF17AD">
                        <w:pPr>
                          <w:pStyle w:val="NormalWeb"/>
                          <w:spacing w:before="0" w:beforeAutospacing="0" w:after="0" w:afterAutospacing="0"/>
                        </w:pPr>
                        <w:r>
                          <w:rPr>
                            <w:rFonts w:asciiTheme="minorHAnsi" w:hAnsi="Calibri" w:cstheme="minorBidi"/>
                            <w:b/>
                            <w:bCs/>
                            <w:color w:val="000000" w:themeColor="text1"/>
                            <w:sz w:val="16"/>
                            <w:szCs w:val="16"/>
                          </w:rPr>
                          <w:t>2.2%</w:t>
                        </w:r>
                      </w:p>
                    </w:txbxContent>
                  </v:textbox>
                </v:shape>
                <v:shape id="9 CuadroTexto" o:spid="_x0000_s1030" type="#_x0000_t202" style="position:absolute;left:19322;top:12183;width:4428;height:2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EbsIA&#10;AADbAAAADwAAAGRycy9kb3ducmV2LnhtbESP0YrCMBRE34X9h3AX9k1TZRWtRllcBd90XT/g0lyb&#10;2uamNFGrX28EwcdhZs4ws0VrK3GhxheOFfR7CQjizOmCcwWH/3V3DMIHZI2VY1JwIw+L+Udnhql2&#10;V/6jyz7kIkLYp6jAhFCnUvrMkEXfczVx9I6usRiibHKpG7xGuK3kIElG0mLBccFgTUtDWbk/WwXj&#10;xG7LcjLYeft97w/N8tet6pNSX5/tzxREoDa8w6/2RiuYjOD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NsRuwgAAANsAAAAPAAAAAAAAAAAAAAAAAJgCAABkcnMvZG93&#10;bnJldi54bWxQSwUGAAAAAAQABAD1AAAAhwMAAAAA&#10;" filled="f" stroked="f">
                  <v:textbox style="mso-fit-shape-to-text:t">
                    <w:txbxContent>
                      <w:p w:rsidR="002964B2" w:rsidRDefault="002964B2" w:rsidP="00DF17AD">
                        <w:pPr>
                          <w:pStyle w:val="NormalWeb"/>
                          <w:spacing w:before="0" w:beforeAutospacing="0" w:after="0" w:afterAutospacing="0"/>
                        </w:pPr>
                        <w:r>
                          <w:rPr>
                            <w:rFonts w:asciiTheme="minorHAnsi" w:hAnsi="Calibri" w:cstheme="minorBidi"/>
                            <w:b/>
                            <w:bCs/>
                            <w:color w:val="000000" w:themeColor="text1"/>
                            <w:sz w:val="16"/>
                            <w:szCs w:val="16"/>
                          </w:rPr>
                          <w:t>13.3%</w:t>
                        </w:r>
                      </w:p>
                    </w:txbxContent>
                  </v:textbox>
                </v:shape>
                <v:shape id="10 CuadroTexto" o:spid="_x0000_s1031" type="#_x0000_t202" style="position:absolute;left:28030;top:14088;width:4743;height:2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h9cMA&#10;AADbAAAADwAAAGRycy9kb3ducmV2LnhtbESPwW7CMBBE70j8g7WVegMHVFoIGIQoSL2VBj5gFS9x&#10;mngdxS4Evh5XQuI4mpk3msWqs7U4U+tLxwpGwwQEce50yYWC42E3mILwAVlj7ZgUXMnDatnvLTDV&#10;7sI/dM5CISKEfYoKTAhNKqXPDVn0Q9cQR+/kWoshyraQusVLhNtajpPkXVosOS4YbGhjKK+yP6tg&#10;mtjvqpqN996+3UYTs/l02+ZXqdeXbj0HEagLz/Cj/aUVzD7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ph9cMAAADbAAAADwAAAAAAAAAAAAAAAACYAgAAZHJzL2Rv&#10;d25yZXYueG1sUEsFBgAAAAAEAAQA9QAAAIgDAAAAAA==&#10;" filled="f" stroked="f">
                  <v:textbox style="mso-fit-shape-to-text:t">
                    <w:txbxContent>
                      <w:p w:rsidR="002964B2" w:rsidRDefault="002964B2" w:rsidP="00DF17AD">
                        <w:pPr>
                          <w:pStyle w:val="NormalWeb"/>
                          <w:spacing w:before="0" w:beforeAutospacing="0" w:after="0" w:afterAutospacing="0"/>
                        </w:pPr>
                        <w:r>
                          <w:rPr>
                            <w:rFonts w:asciiTheme="minorHAnsi" w:hAnsi="Calibri" w:cstheme="minorBidi"/>
                            <w:b/>
                            <w:bCs/>
                            <w:color w:val="FF0000"/>
                            <w:sz w:val="16"/>
                            <w:szCs w:val="16"/>
                          </w:rPr>
                          <w:t>-12.8%</w:t>
                        </w:r>
                      </w:p>
                    </w:txbxContent>
                  </v:textbox>
                </v:shape>
                <v:shape id="11 CuadroTexto" o:spid="_x0000_s1032" type="#_x0000_t202" style="position:absolute;left:34289;top:14496;width:3909;height:21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1h78A&#10;AADbAAAADwAAAGRycy9kb3ducmV2LnhtbERPy4rCMBTdC/5DuII7TRVHajWK+IDZja8PuDTXpra5&#10;KU3Uznz9ZDEwy8N5rzadrcWLWl86VjAZJyCIc6dLLhTcrsdRCsIHZI21Y1LwTR42635vhZl2bz7T&#10;6xIKEUPYZ6jAhNBkUvrckEU/dg1x5O6utRgibAupW3zHcFvLaZLMpcWSY4PBhnaG8urytArSxH5V&#10;1WJ68nb2M/kwu707NA+lhoNuuwQRqAv/4j/3p1awiGP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5fWHvwAAANsAAAAPAAAAAAAAAAAAAAAAAJgCAABkcnMvZG93bnJl&#10;di54bWxQSwUGAAAAAAQABAD1AAAAhAMAAAAA&#10;" filled="f" stroked="f">
                  <v:textbox style="mso-fit-shape-to-text:t">
                    <w:txbxContent>
                      <w:p w:rsidR="002964B2" w:rsidRDefault="002964B2" w:rsidP="00DF17AD">
                        <w:pPr>
                          <w:pStyle w:val="NormalWeb"/>
                          <w:spacing w:before="0" w:beforeAutospacing="0" w:after="0" w:afterAutospacing="0"/>
                        </w:pPr>
                        <w:r>
                          <w:rPr>
                            <w:rFonts w:asciiTheme="minorHAnsi" w:hAnsi="Calibri" w:cstheme="minorBidi"/>
                            <w:b/>
                            <w:bCs/>
                            <w:color w:val="000000" w:themeColor="text1"/>
                            <w:sz w:val="16"/>
                            <w:szCs w:val="16"/>
                          </w:rPr>
                          <w:t>3.7%</w:t>
                        </w:r>
                      </w:p>
                    </w:txbxContent>
                  </v:textbox>
                </v:shape>
                <v:shape id="12 CuadroTexto" o:spid="_x0000_s1033" type="#_x0000_t202" style="position:absolute;left:41056;top:10278;width:4428;height:21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QHMQA&#10;AADbAAAADwAAAGRycy9kb3ducmV2LnhtbESP0WrCQBRE3wv+w3KFvtVNxBYT3YhYC31rjX7AJXvN&#10;xmTvhuxW0359t1DwcZiZM8x6M9pOXGnwjWMF6SwBQVw53XCt4HR8e1qC8AFZY+eYFHyTh00xeVhj&#10;rt2ND3QtQy0ihH2OCkwIfS6lrwxZ9DPXE0fv7AaLIcqhlnrAW4TbTs6T5EVabDguGOxpZ6hqyy+r&#10;YJnYj7bN5p/eLn7SZ7N7dfv+otTjdNyuQAQawz38337XCrIM/r7EH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pUBzEAAAA2wAAAA8AAAAAAAAAAAAAAAAAmAIAAGRycy9k&#10;b3ducmV2LnhtbFBLBQYAAAAABAAEAPUAAACJAwAAAAA=&#10;" filled="f" stroked="f">
                  <v:textbox style="mso-fit-shape-to-text:t">
                    <w:txbxContent>
                      <w:p w:rsidR="002964B2" w:rsidRDefault="002964B2" w:rsidP="00DF17AD">
                        <w:pPr>
                          <w:pStyle w:val="NormalWeb"/>
                          <w:spacing w:before="0" w:beforeAutospacing="0" w:after="0" w:afterAutospacing="0"/>
                        </w:pPr>
                        <w:r>
                          <w:rPr>
                            <w:rFonts w:asciiTheme="minorHAnsi" w:hAnsi="Calibri" w:cstheme="minorBidi"/>
                            <w:b/>
                            <w:bCs/>
                            <w:color w:val="000000" w:themeColor="text1"/>
                            <w:sz w:val="16"/>
                            <w:szCs w:val="16"/>
                          </w:rPr>
                          <w:t>14.2%</w:t>
                        </w:r>
                      </w:p>
                    </w:txbxContent>
                  </v:textbox>
                </v:shape>
                <w10:anchorlock/>
              </v:group>
            </w:pict>
          </mc:Fallback>
        </mc:AlternateContent>
      </w:r>
    </w:p>
    <w:p w:rsidR="00007E03" w:rsidRDefault="00007E03" w:rsidP="00C50527">
      <w:pPr>
        <w:tabs>
          <w:tab w:val="left" w:pos="284"/>
        </w:tabs>
        <w:ind w:left="284"/>
        <w:jc w:val="both"/>
        <w:rPr>
          <w:rFonts w:ascii="Arial" w:hAnsi="Arial" w:cs="Arial"/>
          <w:sz w:val="18"/>
          <w:szCs w:val="18"/>
        </w:rPr>
      </w:pPr>
      <w:r w:rsidRPr="00007E03">
        <w:rPr>
          <w:rFonts w:ascii="Arial" w:hAnsi="Arial" w:cs="Arial"/>
          <w:sz w:val="18"/>
          <w:szCs w:val="18"/>
        </w:rPr>
        <w:t>Gracias a la modernización del sistema tributario en Tlaxcala, que se  impulsó desde el inicio de la actual administración, la Entidad se colocó durante el periodo 2013 y 2014, en el tercer sitio a nivel nacional en materia de recaudación de impuestos propios, de acuerdo con el Índice de Recaudación 2013-2014, emitido por la Secretaría de Hacienda y Crédito Público (SHCP), Tlaxcala ocupó el tercer lugar nacional al incrementar sus ingresos propios en 22.3 por ciento, tan solo por debajo de entidades como Campeche y Puebla</w:t>
      </w:r>
      <w:r>
        <w:rPr>
          <w:rFonts w:ascii="Arial" w:hAnsi="Arial" w:cs="Arial"/>
          <w:sz w:val="18"/>
          <w:szCs w:val="18"/>
        </w:rPr>
        <w:t>.</w:t>
      </w:r>
    </w:p>
    <w:p w:rsidR="00007E03" w:rsidRPr="00007E03" w:rsidRDefault="003442F4" w:rsidP="00007E03">
      <w:pPr>
        <w:tabs>
          <w:tab w:val="left" w:pos="284"/>
        </w:tabs>
        <w:ind w:left="284"/>
        <w:jc w:val="both"/>
        <w:rPr>
          <w:rFonts w:ascii="Arial" w:hAnsi="Arial" w:cs="Arial"/>
          <w:sz w:val="18"/>
          <w:szCs w:val="18"/>
        </w:rPr>
      </w:pPr>
      <w:r w:rsidRPr="003442F4">
        <w:rPr>
          <w:rFonts w:ascii="Arial" w:hAnsi="Arial" w:cs="Arial"/>
          <w:sz w:val="18"/>
          <w:szCs w:val="18"/>
        </w:rPr>
        <w:t>Las perspectivas económicas para 2016 indican que se observará una aceleración moderada en el ritmo de crecimiento de la economía mundial respecto a 2015</w:t>
      </w:r>
      <w:r>
        <w:rPr>
          <w:rFonts w:ascii="Arial" w:hAnsi="Arial" w:cs="Arial"/>
          <w:sz w:val="18"/>
          <w:szCs w:val="18"/>
        </w:rPr>
        <w:t xml:space="preserve">. </w:t>
      </w:r>
      <w:r w:rsidR="00007E03" w:rsidRPr="00007E03">
        <w:rPr>
          <w:rFonts w:ascii="Arial" w:hAnsi="Arial" w:cs="Arial"/>
          <w:sz w:val="18"/>
          <w:szCs w:val="18"/>
        </w:rPr>
        <w:t>En este entorno, el Gobierno de la República está actuando de manera responsable y preventiva. Se refrendó el compromiso con la estabilidad macroeconómica al informar que, ante la presencia de menores ingresos, no se incrementará la deuda pública ni se aumentarán los impuestos. En su lugar, se está llevando a cabo un ajuste preventivo del gasto durante 2015, así como una restructuración del Proyecto de Presupuesto de Egresos para 2016 con un enfoque Base Cero.</w:t>
      </w:r>
    </w:p>
    <w:p w:rsidR="00007E03" w:rsidRPr="00007E03" w:rsidRDefault="00007E03" w:rsidP="00007E03">
      <w:pPr>
        <w:tabs>
          <w:tab w:val="left" w:pos="284"/>
        </w:tabs>
        <w:ind w:left="284"/>
        <w:jc w:val="both"/>
        <w:rPr>
          <w:rFonts w:ascii="Arial" w:hAnsi="Arial" w:cs="Arial"/>
          <w:sz w:val="18"/>
          <w:szCs w:val="18"/>
        </w:rPr>
      </w:pPr>
      <w:r w:rsidRPr="00007E03">
        <w:rPr>
          <w:rFonts w:ascii="Arial" w:hAnsi="Arial" w:cs="Arial"/>
          <w:sz w:val="18"/>
          <w:szCs w:val="18"/>
        </w:rPr>
        <w:t xml:space="preserve">Bajo esta perspectiva, el Gobierno del Estado ha sido cauteloso y conservador en las estimaciones de las diferentes fuentes de ingresos, para evitar situaciones que pudieran afectar las finanzas públicas estatales, por lo que se ha optado por reforzar las medidas de austeridad y disciplina presupuestal, que permitan dar estabilidad económica a nuestro Estado. </w:t>
      </w:r>
    </w:p>
    <w:p w:rsidR="00587618" w:rsidRDefault="00587618" w:rsidP="00C50527">
      <w:pPr>
        <w:tabs>
          <w:tab w:val="left" w:pos="284"/>
        </w:tabs>
        <w:ind w:left="284"/>
        <w:jc w:val="both"/>
        <w:rPr>
          <w:rFonts w:ascii="Arial" w:hAnsi="Arial" w:cs="Arial"/>
          <w:sz w:val="18"/>
          <w:szCs w:val="18"/>
        </w:rPr>
      </w:pPr>
      <w:r w:rsidRPr="003442F4">
        <w:rPr>
          <w:rFonts w:ascii="Arial" w:hAnsi="Arial" w:cs="Arial"/>
          <w:sz w:val="18"/>
          <w:szCs w:val="18"/>
        </w:rPr>
        <w:t>En materia de ingresos propios,</w:t>
      </w:r>
      <w:r w:rsidR="00007E03">
        <w:rPr>
          <w:rFonts w:ascii="Arial" w:hAnsi="Arial" w:cs="Arial"/>
          <w:sz w:val="18"/>
          <w:szCs w:val="18"/>
        </w:rPr>
        <w:t xml:space="preserve"> no </w:t>
      </w:r>
      <w:r w:rsidRPr="003442F4">
        <w:rPr>
          <w:rFonts w:ascii="Arial" w:hAnsi="Arial" w:cs="Arial"/>
          <w:sz w:val="18"/>
          <w:szCs w:val="18"/>
        </w:rPr>
        <w:t>se plantea</w:t>
      </w:r>
      <w:r w:rsidR="00007E03">
        <w:rPr>
          <w:rFonts w:ascii="Arial" w:hAnsi="Arial" w:cs="Arial"/>
          <w:sz w:val="18"/>
          <w:szCs w:val="18"/>
        </w:rPr>
        <w:t>n</w:t>
      </w:r>
      <w:r w:rsidRPr="003442F4">
        <w:rPr>
          <w:rFonts w:ascii="Arial" w:hAnsi="Arial" w:cs="Arial"/>
          <w:sz w:val="18"/>
          <w:szCs w:val="18"/>
        </w:rPr>
        <w:t xml:space="preserve"> incremento</w:t>
      </w:r>
      <w:r w:rsidR="00007E03">
        <w:rPr>
          <w:rFonts w:ascii="Arial" w:hAnsi="Arial" w:cs="Arial"/>
          <w:sz w:val="18"/>
          <w:szCs w:val="18"/>
        </w:rPr>
        <w:t xml:space="preserve">s; sin embargo se espera una </w:t>
      </w:r>
      <w:r w:rsidRPr="003442F4">
        <w:rPr>
          <w:rFonts w:ascii="Arial" w:hAnsi="Arial" w:cs="Arial"/>
          <w:sz w:val="18"/>
          <w:szCs w:val="18"/>
        </w:rPr>
        <w:t xml:space="preserve">tendencia positiva en la recaudación del Impuesto sobre Nóminas, así como </w:t>
      </w:r>
      <w:r w:rsidR="00007E03">
        <w:rPr>
          <w:rFonts w:ascii="Arial" w:hAnsi="Arial" w:cs="Arial"/>
          <w:sz w:val="18"/>
          <w:szCs w:val="18"/>
        </w:rPr>
        <w:t>en</w:t>
      </w:r>
      <w:r w:rsidRPr="003442F4">
        <w:rPr>
          <w:rFonts w:ascii="Arial" w:hAnsi="Arial" w:cs="Arial"/>
          <w:sz w:val="18"/>
          <w:szCs w:val="18"/>
        </w:rPr>
        <w:t xml:space="preserve"> la recaudación esperada </w:t>
      </w:r>
      <w:r w:rsidR="00007E03">
        <w:rPr>
          <w:rFonts w:ascii="Arial" w:hAnsi="Arial" w:cs="Arial"/>
          <w:sz w:val="18"/>
          <w:szCs w:val="18"/>
        </w:rPr>
        <w:t xml:space="preserve">por la prestación de servicios </w:t>
      </w:r>
      <w:r w:rsidRPr="003442F4">
        <w:rPr>
          <w:rFonts w:ascii="Arial" w:hAnsi="Arial" w:cs="Arial"/>
          <w:sz w:val="18"/>
          <w:szCs w:val="18"/>
        </w:rPr>
        <w:t>por las Dependencias del Poder Ejecutivo.</w:t>
      </w:r>
    </w:p>
    <w:p w:rsidR="00007E03" w:rsidRPr="0073056A" w:rsidRDefault="00007E03" w:rsidP="00C50527">
      <w:pPr>
        <w:tabs>
          <w:tab w:val="left" w:pos="284"/>
        </w:tabs>
        <w:ind w:left="284"/>
        <w:jc w:val="both"/>
        <w:rPr>
          <w:rFonts w:ascii="Arial" w:hAnsi="Arial" w:cs="Arial"/>
          <w:sz w:val="18"/>
          <w:szCs w:val="18"/>
        </w:rPr>
      </w:pPr>
    </w:p>
    <w:tbl>
      <w:tblPr>
        <w:tblW w:w="9980" w:type="dxa"/>
        <w:jc w:val="center"/>
        <w:tblCellMar>
          <w:left w:w="70" w:type="dxa"/>
          <w:right w:w="70" w:type="dxa"/>
        </w:tblCellMar>
        <w:tblLook w:val="04A0" w:firstRow="1" w:lastRow="0" w:firstColumn="1" w:lastColumn="0" w:noHBand="0" w:noVBand="1"/>
      </w:tblPr>
      <w:tblGrid>
        <w:gridCol w:w="3340"/>
        <w:gridCol w:w="1660"/>
        <w:gridCol w:w="1660"/>
        <w:gridCol w:w="1660"/>
        <w:gridCol w:w="1660"/>
      </w:tblGrid>
      <w:tr w:rsidR="00007E03" w:rsidTr="00007E03">
        <w:trPr>
          <w:trHeight w:val="615"/>
          <w:jc w:val="center"/>
        </w:trPr>
        <w:tc>
          <w:tcPr>
            <w:tcW w:w="9980" w:type="dxa"/>
            <w:gridSpan w:val="5"/>
            <w:tcBorders>
              <w:top w:val="single" w:sz="4" w:space="0" w:color="auto"/>
              <w:left w:val="single" w:sz="4" w:space="0" w:color="auto"/>
              <w:bottom w:val="single" w:sz="4" w:space="0" w:color="auto"/>
              <w:right w:val="single" w:sz="4" w:space="0" w:color="000000"/>
            </w:tcBorders>
            <w:shd w:val="clear" w:color="000000" w:fill="C2D69A"/>
            <w:vAlign w:val="center"/>
            <w:hideMark/>
          </w:tcPr>
          <w:p w:rsidR="00007E03" w:rsidRDefault="00007E03">
            <w:pPr>
              <w:jc w:val="center"/>
              <w:rPr>
                <w:rFonts w:ascii="Arial" w:hAnsi="Arial" w:cs="Arial"/>
                <w:b/>
                <w:bCs/>
                <w:color w:val="000000"/>
                <w:sz w:val="16"/>
                <w:szCs w:val="16"/>
              </w:rPr>
            </w:pPr>
            <w:r>
              <w:rPr>
                <w:rFonts w:ascii="Arial" w:hAnsi="Arial" w:cs="Arial"/>
                <w:b/>
                <w:bCs/>
                <w:color w:val="000000"/>
                <w:sz w:val="16"/>
                <w:szCs w:val="16"/>
              </w:rPr>
              <w:lastRenderedPageBreak/>
              <w:t>PRONÓSTICO DE INGRESOS ESTATALES PARA EL EJERCICIO FISCAL 2016</w:t>
            </w:r>
          </w:p>
        </w:tc>
      </w:tr>
      <w:tr w:rsidR="00007E03" w:rsidTr="00007E03">
        <w:trPr>
          <w:trHeight w:val="300"/>
          <w:jc w:val="center"/>
        </w:trPr>
        <w:tc>
          <w:tcPr>
            <w:tcW w:w="3340" w:type="dxa"/>
            <w:vMerge w:val="restart"/>
            <w:tcBorders>
              <w:top w:val="nil"/>
              <w:left w:val="single" w:sz="4" w:space="0" w:color="auto"/>
              <w:bottom w:val="single" w:sz="4" w:space="0" w:color="auto"/>
              <w:right w:val="single" w:sz="4" w:space="0" w:color="auto"/>
            </w:tcBorders>
            <w:shd w:val="clear" w:color="000000" w:fill="C2D69A"/>
            <w:vAlign w:val="center"/>
            <w:hideMark/>
          </w:tcPr>
          <w:p w:rsidR="00007E03" w:rsidRDefault="00007E03">
            <w:pPr>
              <w:jc w:val="center"/>
              <w:rPr>
                <w:rFonts w:ascii="Arial" w:hAnsi="Arial" w:cs="Arial"/>
                <w:b/>
                <w:bCs/>
                <w:color w:val="000000"/>
                <w:sz w:val="16"/>
                <w:szCs w:val="16"/>
              </w:rPr>
            </w:pPr>
            <w:r>
              <w:rPr>
                <w:rFonts w:ascii="Arial" w:hAnsi="Arial" w:cs="Arial"/>
                <w:b/>
                <w:bCs/>
                <w:color w:val="000000"/>
                <w:sz w:val="16"/>
                <w:szCs w:val="16"/>
              </w:rPr>
              <w:t> CONCEPTO</w:t>
            </w:r>
          </w:p>
        </w:tc>
        <w:tc>
          <w:tcPr>
            <w:tcW w:w="1660" w:type="dxa"/>
            <w:vMerge w:val="restart"/>
            <w:tcBorders>
              <w:top w:val="nil"/>
              <w:left w:val="single" w:sz="4" w:space="0" w:color="auto"/>
              <w:bottom w:val="single" w:sz="4" w:space="0" w:color="auto"/>
              <w:right w:val="single" w:sz="4" w:space="0" w:color="auto"/>
            </w:tcBorders>
            <w:shd w:val="clear" w:color="000000" w:fill="C2D69A"/>
            <w:vAlign w:val="center"/>
            <w:hideMark/>
          </w:tcPr>
          <w:p w:rsidR="00007E03" w:rsidRDefault="00007E03">
            <w:pPr>
              <w:jc w:val="center"/>
              <w:rPr>
                <w:rFonts w:ascii="Arial" w:hAnsi="Arial" w:cs="Arial"/>
                <w:b/>
                <w:bCs/>
                <w:color w:val="000000"/>
                <w:sz w:val="16"/>
                <w:szCs w:val="16"/>
              </w:rPr>
            </w:pPr>
            <w:r>
              <w:rPr>
                <w:rFonts w:ascii="Arial" w:hAnsi="Arial" w:cs="Arial"/>
                <w:b/>
                <w:bCs/>
                <w:color w:val="000000"/>
                <w:sz w:val="16"/>
                <w:szCs w:val="16"/>
              </w:rPr>
              <w:t>2015</w:t>
            </w:r>
          </w:p>
        </w:tc>
        <w:tc>
          <w:tcPr>
            <w:tcW w:w="1660" w:type="dxa"/>
            <w:vMerge w:val="restart"/>
            <w:tcBorders>
              <w:top w:val="nil"/>
              <w:left w:val="single" w:sz="4" w:space="0" w:color="auto"/>
              <w:bottom w:val="single" w:sz="4" w:space="0" w:color="000000"/>
              <w:right w:val="nil"/>
            </w:tcBorders>
            <w:shd w:val="clear" w:color="000000" w:fill="C2D69A"/>
            <w:vAlign w:val="center"/>
            <w:hideMark/>
          </w:tcPr>
          <w:p w:rsidR="00007E03" w:rsidRDefault="00007E03">
            <w:pPr>
              <w:jc w:val="center"/>
              <w:rPr>
                <w:rFonts w:ascii="Arial" w:hAnsi="Arial" w:cs="Arial"/>
                <w:b/>
                <w:bCs/>
                <w:color w:val="000000"/>
                <w:sz w:val="16"/>
                <w:szCs w:val="16"/>
              </w:rPr>
            </w:pPr>
            <w:r>
              <w:rPr>
                <w:rFonts w:ascii="Arial" w:hAnsi="Arial" w:cs="Arial"/>
                <w:b/>
                <w:bCs/>
                <w:color w:val="000000"/>
                <w:sz w:val="16"/>
                <w:szCs w:val="16"/>
              </w:rPr>
              <w:t>ESTIMACIÓN  2016</w:t>
            </w:r>
          </w:p>
        </w:tc>
        <w:tc>
          <w:tcPr>
            <w:tcW w:w="3320" w:type="dxa"/>
            <w:gridSpan w:val="2"/>
            <w:tcBorders>
              <w:top w:val="single" w:sz="4" w:space="0" w:color="auto"/>
              <w:left w:val="single" w:sz="4" w:space="0" w:color="auto"/>
              <w:bottom w:val="single" w:sz="4" w:space="0" w:color="auto"/>
              <w:right w:val="single" w:sz="4" w:space="0" w:color="000000"/>
            </w:tcBorders>
            <w:shd w:val="clear" w:color="000000" w:fill="C2D69A"/>
            <w:vAlign w:val="center"/>
            <w:hideMark/>
          </w:tcPr>
          <w:p w:rsidR="00007E03" w:rsidRDefault="00007E03">
            <w:pPr>
              <w:jc w:val="center"/>
              <w:rPr>
                <w:rFonts w:ascii="Arial" w:hAnsi="Arial" w:cs="Arial"/>
                <w:b/>
                <w:bCs/>
                <w:color w:val="000000"/>
                <w:sz w:val="16"/>
                <w:szCs w:val="16"/>
              </w:rPr>
            </w:pPr>
            <w:r>
              <w:rPr>
                <w:rFonts w:ascii="Arial" w:hAnsi="Arial" w:cs="Arial"/>
                <w:b/>
                <w:bCs/>
                <w:color w:val="000000"/>
                <w:sz w:val="16"/>
                <w:szCs w:val="16"/>
              </w:rPr>
              <w:t>VARIACIÓN</w:t>
            </w:r>
          </w:p>
        </w:tc>
      </w:tr>
      <w:tr w:rsidR="00007E03" w:rsidTr="00007E03">
        <w:trPr>
          <w:trHeight w:val="300"/>
          <w:jc w:val="center"/>
        </w:trPr>
        <w:tc>
          <w:tcPr>
            <w:tcW w:w="3340" w:type="dxa"/>
            <w:vMerge/>
            <w:tcBorders>
              <w:top w:val="nil"/>
              <w:left w:val="single" w:sz="4" w:space="0" w:color="auto"/>
              <w:bottom w:val="single" w:sz="4" w:space="0" w:color="auto"/>
              <w:right w:val="single" w:sz="4" w:space="0" w:color="auto"/>
            </w:tcBorders>
            <w:vAlign w:val="center"/>
            <w:hideMark/>
          </w:tcPr>
          <w:p w:rsidR="00007E03" w:rsidRDefault="00007E03">
            <w:pPr>
              <w:rPr>
                <w:rFonts w:ascii="Arial" w:hAnsi="Arial" w:cs="Arial"/>
                <w:b/>
                <w:bCs/>
                <w:color w:val="000000"/>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007E03" w:rsidRDefault="00007E03">
            <w:pPr>
              <w:rPr>
                <w:rFonts w:ascii="Arial" w:hAnsi="Arial" w:cs="Arial"/>
                <w:b/>
                <w:bCs/>
                <w:color w:val="000000"/>
                <w:sz w:val="16"/>
                <w:szCs w:val="16"/>
              </w:rPr>
            </w:pPr>
          </w:p>
        </w:tc>
        <w:tc>
          <w:tcPr>
            <w:tcW w:w="1660" w:type="dxa"/>
            <w:vMerge/>
            <w:tcBorders>
              <w:top w:val="nil"/>
              <w:left w:val="single" w:sz="4" w:space="0" w:color="auto"/>
              <w:bottom w:val="single" w:sz="4" w:space="0" w:color="000000"/>
              <w:right w:val="nil"/>
            </w:tcBorders>
            <w:vAlign w:val="center"/>
            <w:hideMark/>
          </w:tcPr>
          <w:p w:rsidR="00007E03" w:rsidRDefault="00007E03">
            <w:pPr>
              <w:rPr>
                <w:rFonts w:ascii="Arial" w:hAnsi="Arial" w:cs="Arial"/>
                <w:b/>
                <w:bCs/>
                <w:color w:val="000000"/>
                <w:sz w:val="16"/>
                <w:szCs w:val="16"/>
              </w:rPr>
            </w:pPr>
          </w:p>
        </w:tc>
        <w:tc>
          <w:tcPr>
            <w:tcW w:w="1660" w:type="dxa"/>
            <w:tcBorders>
              <w:top w:val="nil"/>
              <w:left w:val="single" w:sz="4" w:space="0" w:color="auto"/>
              <w:bottom w:val="single" w:sz="4" w:space="0" w:color="auto"/>
              <w:right w:val="single" w:sz="4" w:space="0" w:color="auto"/>
            </w:tcBorders>
            <w:shd w:val="clear" w:color="000000" w:fill="C2D69A"/>
            <w:vAlign w:val="center"/>
            <w:hideMark/>
          </w:tcPr>
          <w:p w:rsidR="00007E03" w:rsidRDefault="00007E03">
            <w:pPr>
              <w:jc w:val="center"/>
              <w:rPr>
                <w:rFonts w:ascii="Arial" w:hAnsi="Arial" w:cs="Arial"/>
                <w:b/>
                <w:bCs/>
                <w:color w:val="000000"/>
                <w:sz w:val="16"/>
                <w:szCs w:val="16"/>
              </w:rPr>
            </w:pPr>
            <w:r>
              <w:rPr>
                <w:rFonts w:ascii="Arial" w:hAnsi="Arial" w:cs="Arial"/>
                <w:b/>
                <w:bCs/>
                <w:color w:val="000000"/>
                <w:sz w:val="16"/>
                <w:szCs w:val="16"/>
              </w:rPr>
              <w:t>ABSOLUTA</w:t>
            </w:r>
          </w:p>
        </w:tc>
        <w:tc>
          <w:tcPr>
            <w:tcW w:w="1660" w:type="dxa"/>
            <w:tcBorders>
              <w:top w:val="nil"/>
              <w:left w:val="nil"/>
              <w:bottom w:val="single" w:sz="4" w:space="0" w:color="auto"/>
              <w:right w:val="single" w:sz="4" w:space="0" w:color="auto"/>
            </w:tcBorders>
            <w:shd w:val="clear" w:color="000000" w:fill="C2D69A"/>
            <w:vAlign w:val="center"/>
            <w:hideMark/>
          </w:tcPr>
          <w:p w:rsidR="00007E03" w:rsidRDefault="00007E03">
            <w:pPr>
              <w:jc w:val="center"/>
              <w:rPr>
                <w:rFonts w:ascii="Arial" w:hAnsi="Arial" w:cs="Arial"/>
                <w:b/>
                <w:bCs/>
                <w:color w:val="000000"/>
                <w:sz w:val="16"/>
                <w:szCs w:val="16"/>
              </w:rPr>
            </w:pPr>
            <w:r>
              <w:rPr>
                <w:rFonts w:ascii="Arial" w:hAnsi="Arial" w:cs="Arial"/>
                <w:b/>
                <w:bCs/>
                <w:color w:val="000000"/>
                <w:sz w:val="16"/>
                <w:szCs w:val="16"/>
              </w:rPr>
              <w:t>RELATIVA %</w:t>
            </w:r>
          </w:p>
        </w:tc>
      </w:tr>
      <w:tr w:rsidR="00007E03" w:rsidTr="00007E03">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Impuestos</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181,090,517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181,090,800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283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0.000156 </w:t>
            </w:r>
          </w:p>
        </w:tc>
      </w:tr>
      <w:tr w:rsidR="00007E03" w:rsidTr="00007E03">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Derechos</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230,817,381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230,817,200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181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0.000078 </w:t>
            </w:r>
          </w:p>
        </w:tc>
      </w:tr>
      <w:tr w:rsidR="00007E03" w:rsidTr="00007E03">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Productos</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41,260,406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41,260,300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106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0.000257 </w:t>
            </w:r>
          </w:p>
        </w:tc>
      </w:tr>
      <w:tr w:rsidR="00007E03" w:rsidTr="00007E03">
        <w:trPr>
          <w:trHeight w:val="30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Aprovechamientos</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55,603,440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55,603,400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40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Default="00007E03">
            <w:pPr>
              <w:rPr>
                <w:rFonts w:ascii="Arial" w:hAnsi="Arial" w:cs="Arial"/>
                <w:color w:val="000000"/>
                <w:sz w:val="16"/>
                <w:szCs w:val="16"/>
              </w:rPr>
            </w:pPr>
            <w:r>
              <w:rPr>
                <w:rFonts w:ascii="Arial" w:hAnsi="Arial" w:cs="Arial"/>
                <w:color w:val="000000"/>
                <w:sz w:val="16"/>
                <w:szCs w:val="16"/>
              </w:rPr>
              <w:t xml:space="preserve">-                 0.000072 </w:t>
            </w:r>
          </w:p>
        </w:tc>
      </w:tr>
      <w:tr w:rsidR="00007E03" w:rsidTr="00007E03">
        <w:trPr>
          <w:trHeight w:val="300"/>
          <w:jc w:val="center"/>
        </w:trPr>
        <w:tc>
          <w:tcPr>
            <w:tcW w:w="3340" w:type="dxa"/>
            <w:tcBorders>
              <w:top w:val="nil"/>
              <w:left w:val="single" w:sz="4" w:space="0" w:color="auto"/>
              <w:bottom w:val="single" w:sz="4" w:space="0" w:color="auto"/>
              <w:right w:val="single" w:sz="4" w:space="0" w:color="auto"/>
            </w:tcBorders>
            <w:shd w:val="clear" w:color="000000" w:fill="C2D69A"/>
            <w:noWrap/>
            <w:vAlign w:val="bottom"/>
            <w:hideMark/>
          </w:tcPr>
          <w:p w:rsidR="00007E03" w:rsidRDefault="00007E03">
            <w:pPr>
              <w:rPr>
                <w:rFonts w:ascii="Arial" w:hAnsi="Arial" w:cs="Arial"/>
                <w:b/>
                <w:bCs/>
                <w:color w:val="000000"/>
                <w:sz w:val="16"/>
                <w:szCs w:val="16"/>
              </w:rPr>
            </w:pPr>
            <w:r>
              <w:rPr>
                <w:rFonts w:ascii="Arial" w:hAnsi="Arial" w:cs="Arial"/>
                <w:b/>
                <w:bCs/>
                <w:color w:val="000000"/>
                <w:sz w:val="16"/>
                <w:szCs w:val="16"/>
              </w:rPr>
              <w:t>TOTAL INGRESOS PROPIOS</w:t>
            </w:r>
          </w:p>
        </w:tc>
        <w:tc>
          <w:tcPr>
            <w:tcW w:w="1660" w:type="dxa"/>
            <w:tcBorders>
              <w:top w:val="nil"/>
              <w:left w:val="nil"/>
              <w:bottom w:val="single" w:sz="4" w:space="0" w:color="auto"/>
              <w:right w:val="single" w:sz="4" w:space="0" w:color="auto"/>
            </w:tcBorders>
            <w:shd w:val="clear" w:color="000000" w:fill="C2D69A"/>
            <w:noWrap/>
            <w:vAlign w:val="bottom"/>
            <w:hideMark/>
          </w:tcPr>
          <w:p w:rsidR="00007E03" w:rsidRDefault="00007E03">
            <w:pPr>
              <w:rPr>
                <w:rFonts w:ascii="Arial" w:hAnsi="Arial" w:cs="Arial"/>
                <w:b/>
                <w:bCs/>
                <w:color w:val="000000"/>
                <w:sz w:val="16"/>
                <w:szCs w:val="16"/>
              </w:rPr>
            </w:pPr>
            <w:r>
              <w:rPr>
                <w:rFonts w:ascii="Arial" w:hAnsi="Arial" w:cs="Arial"/>
                <w:b/>
                <w:bCs/>
                <w:color w:val="000000"/>
                <w:sz w:val="16"/>
                <w:szCs w:val="16"/>
              </w:rPr>
              <w:t xml:space="preserve">              508,771,744 </w:t>
            </w:r>
          </w:p>
        </w:tc>
        <w:tc>
          <w:tcPr>
            <w:tcW w:w="1660" w:type="dxa"/>
            <w:tcBorders>
              <w:top w:val="nil"/>
              <w:left w:val="nil"/>
              <w:bottom w:val="single" w:sz="4" w:space="0" w:color="auto"/>
              <w:right w:val="single" w:sz="4" w:space="0" w:color="auto"/>
            </w:tcBorders>
            <w:shd w:val="clear" w:color="000000" w:fill="C2D69A"/>
            <w:noWrap/>
            <w:vAlign w:val="bottom"/>
            <w:hideMark/>
          </w:tcPr>
          <w:p w:rsidR="00007E03" w:rsidRDefault="00007E03">
            <w:pPr>
              <w:rPr>
                <w:rFonts w:ascii="Arial" w:hAnsi="Arial" w:cs="Arial"/>
                <w:b/>
                <w:bCs/>
                <w:color w:val="000000"/>
                <w:sz w:val="16"/>
                <w:szCs w:val="16"/>
              </w:rPr>
            </w:pPr>
            <w:r>
              <w:rPr>
                <w:rFonts w:ascii="Arial" w:hAnsi="Arial" w:cs="Arial"/>
                <w:b/>
                <w:bCs/>
                <w:color w:val="000000"/>
                <w:sz w:val="16"/>
                <w:szCs w:val="16"/>
              </w:rPr>
              <w:t xml:space="preserve">              508,771,700 </w:t>
            </w:r>
          </w:p>
        </w:tc>
        <w:tc>
          <w:tcPr>
            <w:tcW w:w="1660" w:type="dxa"/>
            <w:tcBorders>
              <w:top w:val="nil"/>
              <w:left w:val="nil"/>
              <w:bottom w:val="single" w:sz="4" w:space="0" w:color="auto"/>
              <w:right w:val="single" w:sz="4" w:space="0" w:color="auto"/>
            </w:tcBorders>
            <w:shd w:val="clear" w:color="000000" w:fill="C2D69A"/>
            <w:noWrap/>
            <w:vAlign w:val="bottom"/>
            <w:hideMark/>
          </w:tcPr>
          <w:p w:rsidR="00007E03" w:rsidRDefault="00007E03">
            <w:pPr>
              <w:rPr>
                <w:rFonts w:ascii="Arial" w:hAnsi="Arial" w:cs="Arial"/>
                <w:b/>
                <w:bCs/>
                <w:color w:val="000000"/>
                <w:sz w:val="16"/>
                <w:szCs w:val="16"/>
              </w:rPr>
            </w:pPr>
            <w:r>
              <w:rPr>
                <w:rFonts w:ascii="Arial" w:hAnsi="Arial" w:cs="Arial"/>
                <w:b/>
                <w:bCs/>
                <w:color w:val="000000"/>
                <w:sz w:val="16"/>
                <w:szCs w:val="16"/>
              </w:rPr>
              <w:t xml:space="preserve">-                            44 </w:t>
            </w:r>
          </w:p>
        </w:tc>
        <w:tc>
          <w:tcPr>
            <w:tcW w:w="1660" w:type="dxa"/>
            <w:tcBorders>
              <w:top w:val="nil"/>
              <w:left w:val="nil"/>
              <w:bottom w:val="single" w:sz="4" w:space="0" w:color="auto"/>
              <w:right w:val="single" w:sz="4" w:space="0" w:color="auto"/>
            </w:tcBorders>
            <w:shd w:val="clear" w:color="000000" w:fill="C2D69A"/>
            <w:noWrap/>
            <w:vAlign w:val="bottom"/>
            <w:hideMark/>
          </w:tcPr>
          <w:p w:rsidR="00007E03" w:rsidRDefault="00007E03">
            <w:pPr>
              <w:rPr>
                <w:rFonts w:ascii="Arial" w:hAnsi="Arial" w:cs="Arial"/>
                <w:b/>
                <w:bCs/>
                <w:color w:val="000000"/>
                <w:sz w:val="16"/>
                <w:szCs w:val="16"/>
              </w:rPr>
            </w:pPr>
            <w:r>
              <w:rPr>
                <w:rFonts w:ascii="Arial" w:hAnsi="Arial" w:cs="Arial"/>
                <w:b/>
                <w:bCs/>
                <w:color w:val="000000"/>
                <w:sz w:val="16"/>
                <w:szCs w:val="16"/>
              </w:rPr>
              <w:t xml:space="preserve">-                 0.000009 </w:t>
            </w:r>
          </w:p>
        </w:tc>
      </w:tr>
    </w:tbl>
    <w:p w:rsidR="00587618" w:rsidRPr="00AD76DE" w:rsidRDefault="00AD76DE" w:rsidP="00AD76DE">
      <w:pPr>
        <w:pStyle w:val="PRIMERAPLANA"/>
        <w:spacing w:line="276" w:lineRule="auto"/>
        <w:ind w:left="1843"/>
        <w:jc w:val="left"/>
        <w:rPr>
          <w:rFonts w:cs="Arial"/>
          <w:b/>
          <w:iCs/>
          <w:sz w:val="12"/>
          <w:szCs w:val="18"/>
          <w:lang w:val="es-ES"/>
        </w:rPr>
      </w:pPr>
      <w:r w:rsidRPr="00AD76DE">
        <w:rPr>
          <w:rFonts w:cs="Arial"/>
          <w:b/>
          <w:iCs/>
          <w:sz w:val="12"/>
          <w:szCs w:val="18"/>
          <w:lang w:val="es-ES"/>
        </w:rPr>
        <w:t>Fuente: Leyes de Ingresos aprobadas 2015 y 2016</w:t>
      </w:r>
    </w:p>
    <w:p w:rsidR="00AD76DE" w:rsidRPr="0073056A" w:rsidRDefault="00AD76DE" w:rsidP="00AD76DE">
      <w:pPr>
        <w:pStyle w:val="PRIMERAPLANA"/>
        <w:spacing w:line="276" w:lineRule="auto"/>
        <w:ind w:left="1843"/>
        <w:jc w:val="left"/>
        <w:rPr>
          <w:rFonts w:cs="Arial"/>
          <w:iCs/>
          <w:sz w:val="18"/>
          <w:szCs w:val="18"/>
          <w:lang w:val="es-ES"/>
        </w:rPr>
      </w:pP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 xml:space="preserve">Se prevé un </w:t>
      </w:r>
      <w:r w:rsidR="00007E03">
        <w:rPr>
          <w:rFonts w:ascii="Arial" w:hAnsi="Arial" w:cs="Arial"/>
          <w:sz w:val="18"/>
          <w:szCs w:val="18"/>
        </w:rPr>
        <w:t xml:space="preserve">comportamiento favorable </w:t>
      </w:r>
      <w:r w:rsidRPr="0073056A">
        <w:rPr>
          <w:rFonts w:ascii="Arial" w:hAnsi="Arial" w:cs="Arial"/>
          <w:sz w:val="18"/>
          <w:szCs w:val="18"/>
        </w:rPr>
        <w:t>en las Participaciones e Incentivos Federales</w:t>
      </w:r>
      <w:r w:rsidR="00C70CD6">
        <w:rPr>
          <w:rFonts w:ascii="Arial" w:hAnsi="Arial" w:cs="Arial"/>
          <w:sz w:val="18"/>
          <w:szCs w:val="18"/>
        </w:rPr>
        <w:t>, sin  embargo se estima un crecimiento del 0</w:t>
      </w:r>
      <w:r w:rsidRPr="0073056A">
        <w:rPr>
          <w:rFonts w:ascii="Arial" w:hAnsi="Arial" w:cs="Arial"/>
          <w:sz w:val="18"/>
          <w:szCs w:val="18"/>
        </w:rPr>
        <w:t xml:space="preserve">%, </w:t>
      </w:r>
      <w:r w:rsidR="00C70CD6">
        <w:rPr>
          <w:rFonts w:ascii="Arial" w:hAnsi="Arial" w:cs="Arial"/>
          <w:sz w:val="18"/>
          <w:szCs w:val="18"/>
        </w:rPr>
        <w:t>dado que los precios internacionales del petróleo se registran a la baja.</w:t>
      </w:r>
    </w:p>
    <w:tbl>
      <w:tblPr>
        <w:tblW w:w="9980" w:type="dxa"/>
        <w:jc w:val="center"/>
        <w:tblCellMar>
          <w:left w:w="70" w:type="dxa"/>
          <w:right w:w="70" w:type="dxa"/>
        </w:tblCellMar>
        <w:tblLook w:val="04A0" w:firstRow="1" w:lastRow="0" w:firstColumn="1" w:lastColumn="0" w:noHBand="0" w:noVBand="1"/>
      </w:tblPr>
      <w:tblGrid>
        <w:gridCol w:w="3340"/>
        <w:gridCol w:w="1660"/>
        <w:gridCol w:w="1660"/>
        <w:gridCol w:w="1660"/>
        <w:gridCol w:w="1660"/>
      </w:tblGrid>
      <w:tr w:rsidR="00007E03" w:rsidRPr="00007E03" w:rsidTr="00007E03">
        <w:trPr>
          <w:trHeight w:val="630"/>
          <w:jc w:val="center"/>
        </w:trPr>
        <w:tc>
          <w:tcPr>
            <w:tcW w:w="9980" w:type="dxa"/>
            <w:gridSpan w:val="5"/>
            <w:tcBorders>
              <w:top w:val="single" w:sz="4" w:space="0" w:color="auto"/>
              <w:left w:val="single" w:sz="4" w:space="0" w:color="auto"/>
              <w:bottom w:val="single" w:sz="4" w:space="0" w:color="auto"/>
              <w:right w:val="single" w:sz="4" w:space="0" w:color="000000"/>
            </w:tcBorders>
            <w:shd w:val="clear" w:color="000000" w:fill="C2D69A"/>
            <w:vAlign w:val="center"/>
            <w:hideMark/>
          </w:tcPr>
          <w:p w:rsidR="00007E03" w:rsidRPr="00007E03" w:rsidRDefault="00007E03" w:rsidP="00007E03">
            <w:pPr>
              <w:spacing w:after="0" w:line="240" w:lineRule="auto"/>
              <w:jc w:val="center"/>
              <w:rPr>
                <w:rFonts w:ascii="Arial" w:eastAsia="Times New Roman" w:hAnsi="Arial" w:cs="Arial"/>
                <w:b/>
                <w:bCs/>
                <w:color w:val="000000"/>
                <w:sz w:val="16"/>
                <w:szCs w:val="16"/>
                <w:lang w:eastAsia="es-MX"/>
              </w:rPr>
            </w:pPr>
            <w:r w:rsidRPr="00007E03">
              <w:rPr>
                <w:rFonts w:ascii="Arial" w:eastAsia="Times New Roman" w:hAnsi="Arial" w:cs="Arial"/>
                <w:b/>
                <w:bCs/>
                <w:color w:val="000000"/>
                <w:sz w:val="16"/>
                <w:szCs w:val="16"/>
                <w:lang w:eastAsia="es-MX"/>
              </w:rPr>
              <w:t>PRONÓSTICO DE PARTICIPACIONES FEDERALES PARA EL EJERCICIO FISCAL 2016</w:t>
            </w:r>
          </w:p>
        </w:tc>
      </w:tr>
      <w:tr w:rsidR="00007E03" w:rsidRPr="00007E03" w:rsidTr="00007E03">
        <w:trPr>
          <w:trHeight w:val="300"/>
          <w:jc w:val="center"/>
        </w:trPr>
        <w:tc>
          <w:tcPr>
            <w:tcW w:w="3340" w:type="dxa"/>
            <w:vMerge w:val="restart"/>
            <w:tcBorders>
              <w:top w:val="nil"/>
              <w:left w:val="single" w:sz="4" w:space="0" w:color="auto"/>
              <w:bottom w:val="single" w:sz="4" w:space="0" w:color="auto"/>
              <w:right w:val="single" w:sz="4" w:space="0" w:color="auto"/>
            </w:tcBorders>
            <w:shd w:val="clear" w:color="000000" w:fill="C2D69A"/>
            <w:vAlign w:val="center"/>
            <w:hideMark/>
          </w:tcPr>
          <w:p w:rsidR="00007E03" w:rsidRPr="00007E03" w:rsidRDefault="00007E03" w:rsidP="00007E03">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CONCEPTO</w:t>
            </w:r>
          </w:p>
        </w:tc>
        <w:tc>
          <w:tcPr>
            <w:tcW w:w="1660" w:type="dxa"/>
            <w:vMerge w:val="restart"/>
            <w:tcBorders>
              <w:top w:val="nil"/>
              <w:left w:val="single" w:sz="4" w:space="0" w:color="auto"/>
              <w:bottom w:val="single" w:sz="4" w:space="0" w:color="auto"/>
              <w:right w:val="single" w:sz="4" w:space="0" w:color="auto"/>
            </w:tcBorders>
            <w:shd w:val="clear" w:color="000000" w:fill="C2D69A"/>
            <w:vAlign w:val="center"/>
            <w:hideMark/>
          </w:tcPr>
          <w:p w:rsidR="00007E03" w:rsidRPr="00007E03" w:rsidRDefault="00007E03" w:rsidP="00007E03">
            <w:pPr>
              <w:spacing w:after="0" w:line="240" w:lineRule="auto"/>
              <w:jc w:val="center"/>
              <w:rPr>
                <w:rFonts w:ascii="Arial" w:eastAsia="Times New Roman" w:hAnsi="Arial" w:cs="Arial"/>
                <w:b/>
                <w:bCs/>
                <w:color w:val="000000"/>
                <w:sz w:val="16"/>
                <w:szCs w:val="16"/>
                <w:lang w:eastAsia="es-MX"/>
              </w:rPr>
            </w:pPr>
            <w:r w:rsidRPr="00007E03">
              <w:rPr>
                <w:rFonts w:ascii="Arial" w:eastAsia="Times New Roman" w:hAnsi="Arial" w:cs="Arial"/>
                <w:b/>
                <w:bCs/>
                <w:color w:val="000000"/>
                <w:sz w:val="16"/>
                <w:szCs w:val="16"/>
                <w:lang w:eastAsia="es-MX"/>
              </w:rPr>
              <w:t>2015</w:t>
            </w:r>
          </w:p>
        </w:tc>
        <w:tc>
          <w:tcPr>
            <w:tcW w:w="1660" w:type="dxa"/>
            <w:vMerge w:val="restart"/>
            <w:tcBorders>
              <w:top w:val="nil"/>
              <w:left w:val="single" w:sz="4" w:space="0" w:color="auto"/>
              <w:bottom w:val="single" w:sz="4" w:space="0" w:color="000000"/>
              <w:right w:val="nil"/>
            </w:tcBorders>
            <w:shd w:val="clear" w:color="000000" w:fill="C2D69A"/>
            <w:vAlign w:val="center"/>
            <w:hideMark/>
          </w:tcPr>
          <w:p w:rsidR="00007E03" w:rsidRPr="00007E03" w:rsidRDefault="00007E03" w:rsidP="00007E03">
            <w:pPr>
              <w:spacing w:after="0" w:line="240" w:lineRule="auto"/>
              <w:jc w:val="center"/>
              <w:rPr>
                <w:rFonts w:ascii="Arial" w:eastAsia="Times New Roman" w:hAnsi="Arial" w:cs="Arial"/>
                <w:b/>
                <w:bCs/>
                <w:color w:val="000000"/>
                <w:sz w:val="16"/>
                <w:szCs w:val="16"/>
                <w:lang w:eastAsia="es-MX"/>
              </w:rPr>
            </w:pPr>
            <w:r w:rsidRPr="00007E03">
              <w:rPr>
                <w:rFonts w:ascii="Arial" w:eastAsia="Times New Roman" w:hAnsi="Arial" w:cs="Arial"/>
                <w:b/>
                <w:bCs/>
                <w:color w:val="000000"/>
                <w:sz w:val="16"/>
                <w:szCs w:val="16"/>
                <w:lang w:eastAsia="es-MX"/>
              </w:rPr>
              <w:t>ESTIMACIÓN  2016</w:t>
            </w:r>
          </w:p>
        </w:tc>
        <w:tc>
          <w:tcPr>
            <w:tcW w:w="3320" w:type="dxa"/>
            <w:gridSpan w:val="2"/>
            <w:tcBorders>
              <w:top w:val="single" w:sz="4" w:space="0" w:color="auto"/>
              <w:left w:val="single" w:sz="4" w:space="0" w:color="auto"/>
              <w:bottom w:val="single" w:sz="4" w:space="0" w:color="auto"/>
              <w:right w:val="single" w:sz="4" w:space="0" w:color="000000"/>
            </w:tcBorders>
            <w:shd w:val="clear" w:color="000000" w:fill="C2D69A"/>
            <w:vAlign w:val="center"/>
            <w:hideMark/>
          </w:tcPr>
          <w:p w:rsidR="00007E03" w:rsidRPr="00007E03" w:rsidRDefault="00007E03" w:rsidP="00007E03">
            <w:pPr>
              <w:spacing w:after="0" w:line="240" w:lineRule="auto"/>
              <w:jc w:val="center"/>
              <w:rPr>
                <w:rFonts w:ascii="Arial" w:eastAsia="Times New Roman" w:hAnsi="Arial" w:cs="Arial"/>
                <w:b/>
                <w:bCs/>
                <w:color w:val="000000"/>
                <w:sz w:val="16"/>
                <w:szCs w:val="16"/>
                <w:lang w:eastAsia="es-MX"/>
              </w:rPr>
            </w:pPr>
            <w:r w:rsidRPr="00007E03">
              <w:rPr>
                <w:rFonts w:ascii="Arial" w:eastAsia="Times New Roman" w:hAnsi="Arial" w:cs="Arial"/>
                <w:b/>
                <w:bCs/>
                <w:color w:val="000000"/>
                <w:sz w:val="16"/>
                <w:szCs w:val="16"/>
                <w:lang w:eastAsia="es-MX"/>
              </w:rPr>
              <w:t>VARIACIÓN</w:t>
            </w:r>
          </w:p>
        </w:tc>
      </w:tr>
      <w:tr w:rsidR="00007E03" w:rsidRPr="00007E03" w:rsidTr="00007E03">
        <w:trPr>
          <w:trHeight w:val="300"/>
          <w:jc w:val="center"/>
        </w:trPr>
        <w:tc>
          <w:tcPr>
            <w:tcW w:w="3340" w:type="dxa"/>
            <w:vMerge/>
            <w:tcBorders>
              <w:top w:val="nil"/>
              <w:left w:val="single" w:sz="4" w:space="0" w:color="auto"/>
              <w:bottom w:val="single" w:sz="4" w:space="0" w:color="auto"/>
              <w:right w:val="single" w:sz="4" w:space="0" w:color="auto"/>
            </w:tcBorders>
            <w:vAlign w:val="center"/>
            <w:hideMark/>
          </w:tcPr>
          <w:p w:rsidR="00007E03" w:rsidRPr="00007E03" w:rsidRDefault="00007E03" w:rsidP="00007E03">
            <w:pPr>
              <w:spacing w:after="0" w:line="240" w:lineRule="auto"/>
              <w:rPr>
                <w:rFonts w:ascii="Arial" w:eastAsia="Times New Roman" w:hAnsi="Arial" w:cs="Arial"/>
                <w:b/>
                <w:bCs/>
                <w:color w:val="000000"/>
                <w:sz w:val="16"/>
                <w:szCs w:val="16"/>
                <w:lang w:eastAsia="es-MX"/>
              </w:rPr>
            </w:pPr>
          </w:p>
        </w:tc>
        <w:tc>
          <w:tcPr>
            <w:tcW w:w="1660" w:type="dxa"/>
            <w:vMerge/>
            <w:tcBorders>
              <w:top w:val="nil"/>
              <w:left w:val="single" w:sz="4" w:space="0" w:color="auto"/>
              <w:bottom w:val="single" w:sz="4" w:space="0" w:color="auto"/>
              <w:right w:val="single" w:sz="4" w:space="0" w:color="auto"/>
            </w:tcBorders>
            <w:vAlign w:val="center"/>
            <w:hideMark/>
          </w:tcPr>
          <w:p w:rsidR="00007E03" w:rsidRPr="00007E03" w:rsidRDefault="00007E03" w:rsidP="00007E03">
            <w:pPr>
              <w:spacing w:after="0" w:line="240" w:lineRule="auto"/>
              <w:rPr>
                <w:rFonts w:ascii="Arial" w:eastAsia="Times New Roman" w:hAnsi="Arial" w:cs="Arial"/>
                <w:b/>
                <w:bCs/>
                <w:color w:val="000000"/>
                <w:sz w:val="16"/>
                <w:szCs w:val="16"/>
                <w:lang w:eastAsia="es-MX"/>
              </w:rPr>
            </w:pPr>
          </w:p>
        </w:tc>
        <w:tc>
          <w:tcPr>
            <w:tcW w:w="1660" w:type="dxa"/>
            <w:vMerge/>
            <w:tcBorders>
              <w:top w:val="nil"/>
              <w:left w:val="single" w:sz="4" w:space="0" w:color="auto"/>
              <w:bottom w:val="single" w:sz="4" w:space="0" w:color="000000"/>
              <w:right w:val="nil"/>
            </w:tcBorders>
            <w:vAlign w:val="center"/>
            <w:hideMark/>
          </w:tcPr>
          <w:p w:rsidR="00007E03" w:rsidRPr="00007E03" w:rsidRDefault="00007E03" w:rsidP="00007E03">
            <w:pPr>
              <w:spacing w:after="0" w:line="240" w:lineRule="auto"/>
              <w:rPr>
                <w:rFonts w:ascii="Arial" w:eastAsia="Times New Roman" w:hAnsi="Arial" w:cs="Arial"/>
                <w:b/>
                <w:bCs/>
                <w:color w:val="000000"/>
                <w:sz w:val="16"/>
                <w:szCs w:val="16"/>
                <w:lang w:eastAsia="es-MX"/>
              </w:rPr>
            </w:pPr>
          </w:p>
        </w:tc>
        <w:tc>
          <w:tcPr>
            <w:tcW w:w="1660" w:type="dxa"/>
            <w:tcBorders>
              <w:top w:val="nil"/>
              <w:left w:val="single" w:sz="4" w:space="0" w:color="auto"/>
              <w:bottom w:val="single" w:sz="4" w:space="0" w:color="auto"/>
              <w:right w:val="single" w:sz="4" w:space="0" w:color="auto"/>
            </w:tcBorders>
            <w:shd w:val="clear" w:color="000000" w:fill="C2D69A"/>
            <w:vAlign w:val="center"/>
            <w:hideMark/>
          </w:tcPr>
          <w:p w:rsidR="00007E03" w:rsidRPr="00007E03" w:rsidRDefault="00007E03" w:rsidP="00007E03">
            <w:pPr>
              <w:spacing w:after="0" w:line="240" w:lineRule="auto"/>
              <w:jc w:val="center"/>
              <w:rPr>
                <w:rFonts w:ascii="Arial" w:eastAsia="Times New Roman" w:hAnsi="Arial" w:cs="Arial"/>
                <w:b/>
                <w:bCs/>
                <w:color w:val="000000"/>
                <w:sz w:val="16"/>
                <w:szCs w:val="16"/>
                <w:lang w:eastAsia="es-MX"/>
              </w:rPr>
            </w:pPr>
            <w:r w:rsidRPr="00007E03">
              <w:rPr>
                <w:rFonts w:ascii="Arial" w:eastAsia="Times New Roman" w:hAnsi="Arial" w:cs="Arial"/>
                <w:b/>
                <w:bCs/>
                <w:color w:val="000000"/>
                <w:sz w:val="16"/>
                <w:szCs w:val="16"/>
                <w:lang w:eastAsia="es-MX"/>
              </w:rPr>
              <w:t>ABSOLUTA</w:t>
            </w:r>
          </w:p>
        </w:tc>
        <w:tc>
          <w:tcPr>
            <w:tcW w:w="1660" w:type="dxa"/>
            <w:tcBorders>
              <w:top w:val="nil"/>
              <w:left w:val="nil"/>
              <w:bottom w:val="single" w:sz="4" w:space="0" w:color="auto"/>
              <w:right w:val="single" w:sz="4" w:space="0" w:color="auto"/>
            </w:tcBorders>
            <w:shd w:val="clear" w:color="000000" w:fill="C2D69A"/>
            <w:vAlign w:val="center"/>
            <w:hideMark/>
          </w:tcPr>
          <w:p w:rsidR="00007E03" w:rsidRPr="00007E03" w:rsidRDefault="00007E03" w:rsidP="00007E03">
            <w:pPr>
              <w:spacing w:after="0" w:line="240" w:lineRule="auto"/>
              <w:jc w:val="center"/>
              <w:rPr>
                <w:rFonts w:ascii="Arial" w:eastAsia="Times New Roman" w:hAnsi="Arial" w:cs="Arial"/>
                <w:b/>
                <w:bCs/>
                <w:color w:val="000000"/>
                <w:sz w:val="16"/>
                <w:szCs w:val="16"/>
                <w:lang w:eastAsia="es-MX"/>
              </w:rPr>
            </w:pPr>
            <w:r w:rsidRPr="00007E03">
              <w:rPr>
                <w:rFonts w:ascii="Arial" w:eastAsia="Times New Roman" w:hAnsi="Arial" w:cs="Arial"/>
                <w:b/>
                <w:bCs/>
                <w:color w:val="000000"/>
                <w:sz w:val="16"/>
                <w:szCs w:val="16"/>
                <w:lang w:eastAsia="es-MX"/>
              </w:rPr>
              <w:t>RELATIVA %</w:t>
            </w:r>
          </w:p>
        </w:tc>
      </w:tr>
      <w:tr w:rsidR="00007E03" w:rsidRPr="00007E03" w:rsidTr="00007E03">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Fondo General de Participaciones</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4,196,708,416.00</w:t>
            </w:r>
          </w:p>
        </w:tc>
        <w:tc>
          <w:tcPr>
            <w:tcW w:w="1660" w:type="dxa"/>
            <w:tcBorders>
              <w:top w:val="nil"/>
              <w:left w:val="nil"/>
              <w:bottom w:val="single" w:sz="4" w:space="0" w:color="auto"/>
              <w:right w:val="nil"/>
            </w:tcBorders>
            <w:shd w:val="clear" w:color="000000" w:fill="FFFFFF"/>
            <w:vAlign w:val="center"/>
            <w:hideMark/>
          </w:tcPr>
          <w:p w:rsidR="00007E03" w:rsidRPr="00007E03" w:rsidRDefault="00007E03" w:rsidP="00007E03">
            <w:pPr>
              <w:spacing w:after="0" w:line="240" w:lineRule="auto"/>
              <w:jc w:val="center"/>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4,196,708,400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16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0.000000 </w:t>
            </w:r>
          </w:p>
        </w:tc>
      </w:tr>
      <w:tr w:rsidR="00007E03" w:rsidRPr="00007E03" w:rsidTr="00007E03">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Fondo de Fomento Municipal</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374,579,514.00</w:t>
            </w:r>
          </w:p>
        </w:tc>
        <w:tc>
          <w:tcPr>
            <w:tcW w:w="1660" w:type="dxa"/>
            <w:tcBorders>
              <w:top w:val="nil"/>
              <w:left w:val="nil"/>
              <w:bottom w:val="single" w:sz="4" w:space="0" w:color="auto"/>
              <w:right w:val="nil"/>
            </w:tcBorders>
            <w:shd w:val="clear" w:color="000000" w:fill="FFFFFF"/>
            <w:vAlign w:val="center"/>
            <w:hideMark/>
          </w:tcPr>
          <w:p w:rsidR="00007E03" w:rsidRPr="00007E03" w:rsidRDefault="00007E03" w:rsidP="00007E03">
            <w:pPr>
              <w:spacing w:after="0" w:line="240" w:lineRule="auto"/>
              <w:jc w:val="center"/>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374,579,500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14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0.000004 </w:t>
            </w:r>
          </w:p>
        </w:tc>
      </w:tr>
      <w:tr w:rsidR="00007E03" w:rsidRPr="00007E03" w:rsidTr="00007E03">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Fondo de Fiscalización</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207,660,583.00</w:t>
            </w:r>
          </w:p>
        </w:tc>
        <w:tc>
          <w:tcPr>
            <w:tcW w:w="1660" w:type="dxa"/>
            <w:tcBorders>
              <w:top w:val="nil"/>
              <w:left w:val="nil"/>
              <w:bottom w:val="single" w:sz="4" w:space="0" w:color="auto"/>
              <w:right w:val="nil"/>
            </w:tcBorders>
            <w:shd w:val="clear" w:color="000000" w:fill="FFFFFF"/>
            <w:vAlign w:val="center"/>
            <w:hideMark/>
          </w:tcPr>
          <w:p w:rsidR="00007E03" w:rsidRPr="00007E03" w:rsidRDefault="00007E03" w:rsidP="00007E03">
            <w:pPr>
              <w:spacing w:after="0" w:line="240" w:lineRule="auto"/>
              <w:jc w:val="center"/>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207,660,600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17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0.000008 </w:t>
            </w:r>
          </w:p>
        </w:tc>
      </w:tr>
      <w:tr w:rsidR="00007E03" w:rsidRPr="00007E03" w:rsidTr="00007E03">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Fondo de Compensación</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391,627,684.00</w:t>
            </w:r>
          </w:p>
        </w:tc>
        <w:tc>
          <w:tcPr>
            <w:tcW w:w="1660" w:type="dxa"/>
            <w:tcBorders>
              <w:top w:val="nil"/>
              <w:left w:val="nil"/>
              <w:bottom w:val="single" w:sz="4" w:space="0" w:color="auto"/>
              <w:right w:val="nil"/>
            </w:tcBorders>
            <w:shd w:val="clear" w:color="000000" w:fill="FFFFFF"/>
            <w:vAlign w:val="center"/>
            <w:hideMark/>
          </w:tcPr>
          <w:p w:rsidR="00007E03" w:rsidRPr="00007E03" w:rsidRDefault="00007E03" w:rsidP="00007E03">
            <w:pPr>
              <w:spacing w:after="0" w:line="240" w:lineRule="auto"/>
              <w:jc w:val="center"/>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391,627,700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16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0.000004 </w:t>
            </w:r>
          </w:p>
        </w:tc>
      </w:tr>
      <w:tr w:rsidR="00007E03" w:rsidRPr="00007E03" w:rsidTr="00007E03">
        <w:trPr>
          <w:trHeight w:val="46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Impuesto </w:t>
            </w:r>
            <w:proofErr w:type="spellStart"/>
            <w:r w:rsidRPr="00007E03">
              <w:rPr>
                <w:rFonts w:ascii="Arial" w:eastAsia="Times New Roman" w:hAnsi="Arial" w:cs="Arial"/>
                <w:color w:val="000000"/>
                <w:sz w:val="16"/>
                <w:szCs w:val="16"/>
                <w:lang w:eastAsia="es-MX"/>
              </w:rPr>
              <w:t>Especail</w:t>
            </w:r>
            <w:proofErr w:type="spellEnd"/>
            <w:r w:rsidRPr="00007E03">
              <w:rPr>
                <w:rFonts w:ascii="Arial" w:eastAsia="Times New Roman" w:hAnsi="Arial" w:cs="Arial"/>
                <w:color w:val="000000"/>
                <w:sz w:val="16"/>
                <w:szCs w:val="16"/>
                <w:lang w:eastAsia="es-MX"/>
              </w:rPr>
              <w:t xml:space="preserve"> Sobre Producción y Servicios</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28,243,383.00</w:t>
            </w:r>
          </w:p>
        </w:tc>
        <w:tc>
          <w:tcPr>
            <w:tcW w:w="1660" w:type="dxa"/>
            <w:tcBorders>
              <w:top w:val="nil"/>
              <w:left w:val="nil"/>
              <w:bottom w:val="single" w:sz="4" w:space="0" w:color="auto"/>
              <w:right w:val="nil"/>
            </w:tcBorders>
            <w:shd w:val="clear" w:color="000000" w:fill="FFFFFF"/>
            <w:vAlign w:val="center"/>
            <w:hideMark/>
          </w:tcPr>
          <w:p w:rsidR="00007E03" w:rsidRPr="00007E03" w:rsidRDefault="00007E03" w:rsidP="00007E03">
            <w:pPr>
              <w:spacing w:after="0" w:line="240" w:lineRule="auto"/>
              <w:jc w:val="center"/>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28,243,400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17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0.000060 </w:t>
            </w:r>
          </w:p>
        </w:tc>
      </w:tr>
      <w:tr w:rsidR="00007E03" w:rsidRPr="00007E03" w:rsidTr="00007E03">
        <w:trPr>
          <w:trHeight w:val="46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Incentivo a la Venta Final de Gasolinas y </w:t>
            </w:r>
            <w:proofErr w:type="spellStart"/>
            <w:r w:rsidRPr="00007E03">
              <w:rPr>
                <w:rFonts w:ascii="Arial" w:eastAsia="Times New Roman" w:hAnsi="Arial" w:cs="Arial"/>
                <w:color w:val="000000"/>
                <w:sz w:val="16"/>
                <w:szCs w:val="16"/>
                <w:lang w:eastAsia="es-MX"/>
              </w:rPr>
              <w:t>Diesel</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126,475,030.00</w:t>
            </w:r>
          </w:p>
        </w:tc>
        <w:tc>
          <w:tcPr>
            <w:tcW w:w="1660" w:type="dxa"/>
            <w:tcBorders>
              <w:top w:val="nil"/>
              <w:left w:val="nil"/>
              <w:bottom w:val="single" w:sz="4" w:space="0" w:color="auto"/>
              <w:right w:val="nil"/>
            </w:tcBorders>
            <w:shd w:val="clear" w:color="000000" w:fill="FFFFFF"/>
            <w:vAlign w:val="center"/>
            <w:hideMark/>
          </w:tcPr>
          <w:p w:rsidR="00007E03" w:rsidRPr="00007E03" w:rsidRDefault="00007E03" w:rsidP="00007E03">
            <w:pPr>
              <w:spacing w:after="0" w:line="240" w:lineRule="auto"/>
              <w:jc w:val="center"/>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126,475,000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30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0.000024 </w:t>
            </w:r>
          </w:p>
        </w:tc>
      </w:tr>
      <w:tr w:rsidR="00007E03" w:rsidRPr="00007E03" w:rsidTr="00007E03">
        <w:trPr>
          <w:trHeight w:val="46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Impuesto Sobre Tenencia y Uso de Vehículos</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0.00</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0.00</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0.00</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0.00</w:t>
            </w:r>
          </w:p>
        </w:tc>
      </w:tr>
      <w:tr w:rsidR="00007E03" w:rsidRPr="00007E03" w:rsidTr="00007E03">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Impuesto Sobre Automóviles Nuevos</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17,414,868.00</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17,414,900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32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0.000184 </w:t>
            </w:r>
          </w:p>
        </w:tc>
      </w:tr>
      <w:tr w:rsidR="00007E03" w:rsidRPr="00007E03" w:rsidTr="00007E03">
        <w:trPr>
          <w:trHeight w:val="46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lastRenderedPageBreak/>
              <w:t>Impuesto Sobre Automóviles Nuevos (compensación)</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7,610,379.00</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7,610,400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21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0.000276 </w:t>
            </w:r>
          </w:p>
        </w:tc>
      </w:tr>
      <w:tr w:rsidR="00007E03" w:rsidRPr="00007E03" w:rsidTr="00007E03">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Otros Incentivos Económicos</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jc w:val="right"/>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20,618,748.00</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20,618,700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48 </w:t>
            </w:r>
          </w:p>
        </w:tc>
        <w:tc>
          <w:tcPr>
            <w:tcW w:w="1660" w:type="dxa"/>
            <w:tcBorders>
              <w:top w:val="nil"/>
              <w:left w:val="nil"/>
              <w:bottom w:val="single" w:sz="4" w:space="0" w:color="auto"/>
              <w:right w:val="single" w:sz="4" w:space="0" w:color="auto"/>
            </w:tcBorders>
            <w:shd w:val="clear" w:color="auto" w:fill="auto"/>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0.000233 </w:t>
            </w:r>
          </w:p>
        </w:tc>
      </w:tr>
      <w:tr w:rsidR="00007E03" w:rsidRPr="00007E03" w:rsidTr="00007E03">
        <w:trPr>
          <w:trHeight w:val="300"/>
          <w:jc w:val="center"/>
        </w:trPr>
        <w:tc>
          <w:tcPr>
            <w:tcW w:w="3340" w:type="dxa"/>
            <w:tcBorders>
              <w:top w:val="nil"/>
              <w:left w:val="single" w:sz="4" w:space="0" w:color="auto"/>
              <w:bottom w:val="single" w:sz="4" w:space="0" w:color="auto"/>
              <w:right w:val="single" w:sz="4" w:space="0" w:color="auto"/>
            </w:tcBorders>
            <w:shd w:val="clear" w:color="000000" w:fill="C2D69A"/>
            <w:noWrap/>
            <w:vAlign w:val="bottom"/>
            <w:hideMark/>
          </w:tcPr>
          <w:p w:rsidR="00007E03" w:rsidRPr="00007E03" w:rsidRDefault="00007E03" w:rsidP="00007E03">
            <w:pPr>
              <w:spacing w:after="0" w:line="240" w:lineRule="auto"/>
              <w:rPr>
                <w:rFonts w:ascii="Arial" w:eastAsia="Times New Roman" w:hAnsi="Arial" w:cs="Arial"/>
                <w:b/>
                <w:bCs/>
                <w:color w:val="000000"/>
                <w:sz w:val="16"/>
                <w:szCs w:val="16"/>
                <w:lang w:eastAsia="es-MX"/>
              </w:rPr>
            </w:pPr>
            <w:r w:rsidRPr="00007E03">
              <w:rPr>
                <w:rFonts w:ascii="Arial" w:eastAsia="Times New Roman" w:hAnsi="Arial" w:cs="Arial"/>
                <w:b/>
                <w:bCs/>
                <w:color w:val="000000"/>
                <w:sz w:val="16"/>
                <w:szCs w:val="16"/>
                <w:lang w:eastAsia="es-MX"/>
              </w:rPr>
              <w:t>TOTAL INGRESOS</w:t>
            </w:r>
          </w:p>
        </w:tc>
        <w:tc>
          <w:tcPr>
            <w:tcW w:w="1660" w:type="dxa"/>
            <w:tcBorders>
              <w:top w:val="nil"/>
              <w:left w:val="nil"/>
              <w:bottom w:val="single" w:sz="4" w:space="0" w:color="auto"/>
              <w:right w:val="single" w:sz="4" w:space="0" w:color="auto"/>
            </w:tcBorders>
            <w:shd w:val="clear" w:color="000000" w:fill="C2D69A"/>
            <w:noWrap/>
            <w:vAlign w:val="bottom"/>
            <w:hideMark/>
          </w:tcPr>
          <w:p w:rsidR="00007E03" w:rsidRPr="00007E03" w:rsidRDefault="00007E03" w:rsidP="00007E03">
            <w:pPr>
              <w:spacing w:after="0" w:line="240" w:lineRule="auto"/>
              <w:rPr>
                <w:rFonts w:ascii="Arial" w:eastAsia="Times New Roman" w:hAnsi="Arial" w:cs="Arial"/>
                <w:b/>
                <w:bCs/>
                <w:color w:val="000000"/>
                <w:sz w:val="16"/>
                <w:szCs w:val="16"/>
                <w:lang w:eastAsia="es-MX"/>
              </w:rPr>
            </w:pPr>
            <w:r w:rsidRPr="00007E03">
              <w:rPr>
                <w:rFonts w:ascii="Arial" w:eastAsia="Times New Roman" w:hAnsi="Arial" w:cs="Arial"/>
                <w:b/>
                <w:bCs/>
                <w:color w:val="000000"/>
                <w:sz w:val="16"/>
                <w:szCs w:val="16"/>
                <w:lang w:eastAsia="es-MX"/>
              </w:rPr>
              <w:t xml:space="preserve">                45,643,995 </w:t>
            </w:r>
          </w:p>
        </w:tc>
        <w:tc>
          <w:tcPr>
            <w:tcW w:w="1660" w:type="dxa"/>
            <w:tcBorders>
              <w:top w:val="nil"/>
              <w:left w:val="nil"/>
              <w:bottom w:val="single" w:sz="4" w:space="0" w:color="auto"/>
              <w:right w:val="single" w:sz="4" w:space="0" w:color="auto"/>
            </w:tcBorders>
            <w:shd w:val="clear" w:color="000000" w:fill="C2D69A"/>
            <w:noWrap/>
            <w:vAlign w:val="bottom"/>
            <w:hideMark/>
          </w:tcPr>
          <w:p w:rsidR="00007E03" w:rsidRPr="00007E03" w:rsidRDefault="00007E03" w:rsidP="00007E03">
            <w:pPr>
              <w:spacing w:after="0" w:line="240" w:lineRule="auto"/>
              <w:rPr>
                <w:rFonts w:ascii="Arial" w:eastAsia="Times New Roman" w:hAnsi="Arial" w:cs="Arial"/>
                <w:b/>
                <w:bCs/>
                <w:color w:val="000000"/>
                <w:sz w:val="16"/>
                <w:szCs w:val="16"/>
                <w:lang w:eastAsia="es-MX"/>
              </w:rPr>
            </w:pPr>
            <w:r w:rsidRPr="00007E03">
              <w:rPr>
                <w:rFonts w:ascii="Arial" w:eastAsia="Times New Roman" w:hAnsi="Arial" w:cs="Arial"/>
                <w:b/>
                <w:bCs/>
                <w:color w:val="000000"/>
                <w:sz w:val="16"/>
                <w:szCs w:val="16"/>
                <w:lang w:eastAsia="es-MX"/>
              </w:rPr>
              <w:t xml:space="preserve">                45,644,000 </w:t>
            </w:r>
          </w:p>
        </w:tc>
        <w:tc>
          <w:tcPr>
            <w:tcW w:w="1660" w:type="dxa"/>
            <w:tcBorders>
              <w:top w:val="nil"/>
              <w:left w:val="nil"/>
              <w:bottom w:val="single" w:sz="4" w:space="0" w:color="auto"/>
              <w:right w:val="single" w:sz="4" w:space="0" w:color="auto"/>
            </w:tcBorders>
            <w:shd w:val="clear" w:color="000000" w:fill="C2D69A"/>
            <w:noWrap/>
            <w:vAlign w:val="bottom"/>
            <w:hideMark/>
          </w:tcPr>
          <w:p w:rsidR="00007E03" w:rsidRPr="00007E03" w:rsidRDefault="00007E03" w:rsidP="00007E03">
            <w:pPr>
              <w:spacing w:after="0" w:line="240" w:lineRule="auto"/>
              <w:rPr>
                <w:rFonts w:ascii="Arial" w:eastAsia="Times New Roman" w:hAnsi="Arial" w:cs="Arial"/>
                <w:b/>
                <w:bCs/>
                <w:color w:val="000000"/>
                <w:sz w:val="16"/>
                <w:szCs w:val="16"/>
                <w:lang w:eastAsia="es-MX"/>
              </w:rPr>
            </w:pPr>
            <w:r w:rsidRPr="00007E03">
              <w:rPr>
                <w:rFonts w:ascii="Arial" w:eastAsia="Times New Roman" w:hAnsi="Arial" w:cs="Arial"/>
                <w:b/>
                <w:bCs/>
                <w:color w:val="000000"/>
                <w:sz w:val="16"/>
                <w:szCs w:val="16"/>
                <w:lang w:eastAsia="es-MX"/>
              </w:rPr>
              <w:t xml:space="preserve">                                5 </w:t>
            </w:r>
          </w:p>
        </w:tc>
        <w:tc>
          <w:tcPr>
            <w:tcW w:w="1660" w:type="dxa"/>
            <w:tcBorders>
              <w:top w:val="nil"/>
              <w:left w:val="nil"/>
              <w:bottom w:val="single" w:sz="4" w:space="0" w:color="auto"/>
              <w:right w:val="single" w:sz="4" w:space="0" w:color="auto"/>
            </w:tcBorders>
            <w:shd w:val="clear" w:color="000000" w:fill="C2D69A"/>
            <w:noWrap/>
            <w:vAlign w:val="bottom"/>
            <w:hideMark/>
          </w:tcPr>
          <w:p w:rsidR="00007E03" w:rsidRPr="00007E03" w:rsidRDefault="00007E03" w:rsidP="00007E03">
            <w:pPr>
              <w:spacing w:after="0" w:line="240" w:lineRule="auto"/>
              <w:rPr>
                <w:rFonts w:ascii="Arial" w:eastAsia="Times New Roman" w:hAnsi="Arial" w:cs="Arial"/>
                <w:color w:val="000000"/>
                <w:sz w:val="16"/>
                <w:szCs w:val="16"/>
                <w:lang w:eastAsia="es-MX"/>
              </w:rPr>
            </w:pPr>
            <w:r w:rsidRPr="00007E03">
              <w:rPr>
                <w:rFonts w:ascii="Arial" w:eastAsia="Times New Roman" w:hAnsi="Arial" w:cs="Arial"/>
                <w:color w:val="000000"/>
                <w:sz w:val="16"/>
                <w:szCs w:val="16"/>
                <w:lang w:eastAsia="es-MX"/>
              </w:rPr>
              <w:t xml:space="preserve">                   0.000011 </w:t>
            </w:r>
          </w:p>
        </w:tc>
      </w:tr>
    </w:tbl>
    <w:p w:rsidR="00AD76DE" w:rsidRPr="00AD76DE" w:rsidRDefault="00AD76DE" w:rsidP="00AD76DE">
      <w:pPr>
        <w:pStyle w:val="PRIMERAPLANA"/>
        <w:spacing w:line="276" w:lineRule="auto"/>
        <w:ind w:left="1843"/>
        <w:jc w:val="left"/>
        <w:rPr>
          <w:rFonts w:cs="Arial"/>
          <w:b/>
          <w:iCs/>
          <w:sz w:val="12"/>
          <w:szCs w:val="18"/>
          <w:lang w:val="es-ES"/>
        </w:rPr>
      </w:pPr>
      <w:r w:rsidRPr="00AD76DE">
        <w:rPr>
          <w:rFonts w:cs="Arial"/>
          <w:b/>
          <w:iCs/>
          <w:sz w:val="12"/>
          <w:szCs w:val="18"/>
          <w:lang w:val="es-ES"/>
        </w:rPr>
        <w:t xml:space="preserve">Fuente: </w:t>
      </w:r>
      <w:r>
        <w:rPr>
          <w:rFonts w:cs="Arial"/>
          <w:b/>
          <w:iCs/>
          <w:sz w:val="12"/>
          <w:szCs w:val="18"/>
          <w:lang w:val="es-ES"/>
        </w:rPr>
        <w:t>SHCP.</w:t>
      </w:r>
    </w:p>
    <w:p w:rsidR="00587618" w:rsidRPr="00AD76DE" w:rsidRDefault="00587618" w:rsidP="00C50527">
      <w:pPr>
        <w:tabs>
          <w:tab w:val="left" w:pos="284"/>
        </w:tabs>
        <w:ind w:left="284"/>
        <w:jc w:val="center"/>
        <w:rPr>
          <w:rFonts w:ascii="Arial" w:hAnsi="Arial" w:cs="Arial"/>
          <w:sz w:val="18"/>
          <w:szCs w:val="18"/>
          <w:lang w:val="es-ES"/>
        </w:rPr>
      </w:pP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 xml:space="preserve">Se contempla un incremento garantizado en las aportaciones federales del </w:t>
      </w:r>
      <w:r w:rsidR="00571ACF">
        <w:rPr>
          <w:rFonts w:ascii="Arial" w:hAnsi="Arial" w:cs="Arial"/>
          <w:sz w:val="18"/>
          <w:szCs w:val="18"/>
        </w:rPr>
        <w:t>29</w:t>
      </w:r>
      <w:r w:rsidRPr="0073056A">
        <w:rPr>
          <w:rFonts w:ascii="Arial" w:hAnsi="Arial" w:cs="Arial"/>
          <w:sz w:val="18"/>
          <w:szCs w:val="18"/>
        </w:rPr>
        <w:t>%, cuyo gasto está destinado principalmente a los rubros de Educación y Salud.</w:t>
      </w:r>
    </w:p>
    <w:tbl>
      <w:tblPr>
        <w:tblW w:w="9980" w:type="dxa"/>
        <w:jc w:val="center"/>
        <w:tblCellMar>
          <w:left w:w="70" w:type="dxa"/>
          <w:right w:w="70" w:type="dxa"/>
        </w:tblCellMar>
        <w:tblLook w:val="04A0" w:firstRow="1" w:lastRow="0" w:firstColumn="1" w:lastColumn="0" w:noHBand="0" w:noVBand="1"/>
      </w:tblPr>
      <w:tblGrid>
        <w:gridCol w:w="3340"/>
        <w:gridCol w:w="1660"/>
        <w:gridCol w:w="1660"/>
        <w:gridCol w:w="1660"/>
        <w:gridCol w:w="1660"/>
      </w:tblGrid>
      <w:tr w:rsidR="00571ACF" w:rsidRPr="00571ACF" w:rsidTr="00571ACF">
        <w:trPr>
          <w:trHeight w:val="510"/>
          <w:jc w:val="center"/>
        </w:trPr>
        <w:tc>
          <w:tcPr>
            <w:tcW w:w="9980" w:type="dxa"/>
            <w:gridSpan w:val="5"/>
            <w:tcBorders>
              <w:top w:val="single" w:sz="4" w:space="0" w:color="auto"/>
              <w:left w:val="single" w:sz="4" w:space="0" w:color="auto"/>
              <w:bottom w:val="single" w:sz="4" w:space="0" w:color="auto"/>
              <w:right w:val="single" w:sz="4" w:space="0" w:color="000000"/>
            </w:tcBorders>
            <w:shd w:val="clear" w:color="000000" w:fill="C2D69A"/>
            <w:vAlign w:val="center"/>
            <w:hideMark/>
          </w:tcPr>
          <w:p w:rsidR="00571ACF" w:rsidRPr="00571ACF" w:rsidRDefault="00571ACF" w:rsidP="00571ACF">
            <w:pPr>
              <w:spacing w:after="0" w:line="240" w:lineRule="auto"/>
              <w:jc w:val="center"/>
              <w:rPr>
                <w:rFonts w:ascii="Arial" w:eastAsia="Times New Roman" w:hAnsi="Arial" w:cs="Arial"/>
                <w:b/>
                <w:bCs/>
                <w:color w:val="000000"/>
                <w:sz w:val="16"/>
                <w:szCs w:val="16"/>
                <w:lang w:eastAsia="es-MX"/>
              </w:rPr>
            </w:pPr>
            <w:r w:rsidRPr="00571ACF">
              <w:rPr>
                <w:rFonts w:ascii="Arial" w:eastAsia="Times New Roman" w:hAnsi="Arial" w:cs="Arial"/>
                <w:b/>
                <w:bCs/>
                <w:color w:val="000000"/>
                <w:sz w:val="16"/>
                <w:szCs w:val="16"/>
                <w:lang w:eastAsia="es-MX"/>
              </w:rPr>
              <w:t xml:space="preserve">PRONÓSTICO DE </w:t>
            </w:r>
            <w:r>
              <w:rPr>
                <w:rFonts w:ascii="Arial" w:eastAsia="Times New Roman" w:hAnsi="Arial" w:cs="Arial"/>
                <w:b/>
                <w:bCs/>
                <w:color w:val="000000"/>
                <w:sz w:val="16"/>
                <w:szCs w:val="16"/>
                <w:lang w:eastAsia="es-MX"/>
              </w:rPr>
              <w:t>APORT</w:t>
            </w:r>
            <w:r w:rsidRPr="00571ACF">
              <w:rPr>
                <w:rFonts w:ascii="Arial" w:eastAsia="Times New Roman" w:hAnsi="Arial" w:cs="Arial"/>
                <w:b/>
                <w:bCs/>
                <w:color w:val="000000"/>
                <w:sz w:val="16"/>
                <w:szCs w:val="16"/>
                <w:lang w:eastAsia="es-MX"/>
              </w:rPr>
              <w:t>ACIONES FEDERALES PARA EL EJERCICIO FISCAL 2016</w:t>
            </w:r>
          </w:p>
        </w:tc>
      </w:tr>
      <w:tr w:rsidR="00571ACF" w:rsidRPr="00571ACF" w:rsidTr="00571ACF">
        <w:trPr>
          <w:trHeight w:val="300"/>
          <w:jc w:val="center"/>
        </w:trPr>
        <w:tc>
          <w:tcPr>
            <w:tcW w:w="3340" w:type="dxa"/>
            <w:vMerge w:val="restart"/>
            <w:tcBorders>
              <w:top w:val="nil"/>
              <w:left w:val="single" w:sz="4" w:space="0" w:color="auto"/>
              <w:bottom w:val="single" w:sz="4" w:space="0" w:color="auto"/>
              <w:right w:val="single" w:sz="4" w:space="0" w:color="auto"/>
            </w:tcBorders>
            <w:shd w:val="clear" w:color="000000" w:fill="C2D69A"/>
            <w:vAlign w:val="center"/>
            <w:hideMark/>
          </w:tcPr>
          <w:p w:rsidR="00571ACF" w:rsidRPr="00571ACF" w:rsidRDefault="00571ACF" w:rsidP="00571ACF">
            <w:pPr>
              <w:spacing w:after="0" w:line="240" w:lineRule="auto"/>
              <w:jc w:val="center"/>
              <w:rPr>
                <w:rFonts w:ascii="Arial" w:eastAsia="Times New Roman" w:hAnsi="Arial" w:cs="Arial"/>
                <w:b/>
                <w:bCs/>
                <w:color w:val="000000"/>
                <w:sz w:val="16"/>
                <w:szCs w:val="16"/>
                <w:lang w:eastAsia="es-MX"/>
              </w:rPr>
            </w:pPr>
            <w:r w:rsidRPr="00571ACF">
              <w:rPr>
                <w:rFonts w:ascii="Arial" w:eastAsia="Times New Roman" w:hAnsi="Arial" w:cs="Arial"/>
                <w:b/>
                <w:bCs/>
                <w:color w:val="000000"/>
                <w:sz w:val="16"/>
                <w:szCs w:val="16"/>
                <w:lang w:eastAsia="es-MX"/>
              </w:rPr>
              <w:t>CONCEPTO</w:t>
            </w:r>
          </w:p>
        </w:tc>
        <w:tc>
          <w:tcPr>
            <w:tcW w:w="1660" w:type="dxa"/>
            <w:vMerge w:val="restart"/>
            <w:tcBorders>
              <w:top w:val="nil"/>
              <w:left w:val="single" w:sz="4" w:space="0" w:color="auto"/>
              <w:bottom w:val="single" w:sz="4" w:space="0" w:color="auto"/>
              <w:right w:val="single" w:sz="4" w:space="0" w:color="auto"/>
            </w:tcBorders>
            <w:shd w:val="clear" w:color="000000" w:fill="C2D69A"/>
            <w:vAlign w:val="center"/>
            <w:hideMark/>
          </w:tcPr>
          <w:p w:rsidR="00571ACF" w:rsidRPr="00571ACF" w:rsidRDefault="00571ACF" w:rsidP="00571ACF">
            <w:pPr>
              <w:spacing w:after="0" w:line="240" w:lineRule="auto"/>
              <w:jc w:val="center"/>
              <w:rPr>
                <w:rFonts w:ascii="Arial" w:eastAsia="Times New Roman" w:hAnsi="Arial" w:cs="Arial"/>
                <w:b/>
                <w:bCs/>
                <w:color w:val="000000"/>
                <w:sz w:val="16"/>
                <w:szCs w:val="16"/>
                <w:lang w:eastAsia="es-MX"/>
              </w:rPr>
            </w:pPr>
            <w:r w:rsidRPr="00571ACF">
              <w:rPr>
                <w:rFonts w:ascii="Arial" w:eastAsia="Times New Roman" w:hAnsi="Arial" w:cs="Arial"/>
                <w:b/>
                <w:bCs/>
                <w:color w:val="000000"/>
                <w:sz w:val="16"/>
                <w:szCs w:val="16"/>
                <w:lang w:eastAsia="es-MX"/>
              </w:rPr>
              <w:t>2015</w:t>
            </w:r>
          </w:p>
        </w:tc>
        <w:tc>
          <w:tcPr>
            <w:tcW w:w="1660" w:type="dxa"/>
            <w:vMerge w:val="restart"/>
            <w:tcBorders>
              <w:top w:val="nil"/>
              <w:left w:val="single" w:sz="4" w:space="0" w:color="auto"/>
              <w:bottom w:val="single" w:sz="4" w:space="0" w:color="000000"/>
              <w:right w:val="nil"/>
            </w:tcBorders>
            <w:shd w:val="clear" w:color="000000" w:fill="C2D69A"/>
            <w:vAlign w:val="center"/>
            <w:hideMark/>
          </w:tcPr>
          <w:p w:rsidR="00571ACF" w:rsidRPr="00571ACF" w:rsidRDefault="00571ACF" w:rsidP="00571ACF">
            <w:pPr>
              <w:spacing w:after="0" w:line="240" w:lineRule="auto"/>
              <w:jc w:val="center"/>
              <w:rPr>
                <w:rFonts w:ascii="Arial" w:eastAsia="Times New Roman" w:hAnsi="Arial" w:cs="Arial"/>
                <w:b/>
                <w:bCs/>
                <w:color w:val="000000"/>
                <w:sz w:val="16"/>
                <w:szCs w:val="16"/>
                <w:lang w:eastAsia="es-MX"/>
              </w:rPr>
            </w:pPr>
            <w:r w:rsidRPr="00571ACF">
              <w:rPr>
                <w:rFonts w:ascii="Arial" w:eastAsia="Times New Roman" w:hAnsi="Arial" w:cs="Arial"/>
                <w:b/>
                <w:bCs/>
                <w:color w:val="000000"/>
                <w:sz w:val="16"/>
                <w:szCs w:val="16"/>
                <w:lang w:eastAsia="es-MX"/>
              </w:rPr>
              <w:t>ESTIMACIÓN  2016</w:t>
            </w:r>
          </w:p>
        </w:tc>
        <w:tc>
          <w:tcPr>
            <w:tcW w:w="3320" w:type="dxa"/>
            <w:gridSpan w:val="2"/>
            <w:tcBorders>
              <w:top w:val="single" w:sz="4" w:space="0" w:color="auto"/>
              <w:left w:val="nil"/>
              <w:bottom w:val="single" w:sz="4" w:space="0" w:color="auto"/>
              <w:right w:val="single" w:sz="4" w:space="0" w:color="000000"/>
            </w:tcBorders>
            <w:shd w:val="clear" w:color="000000" w:fill="C2D69A"/>
            <w:vAlign w:val="center"/>
            <w:hideMark/>
          </w:tcPr>
          <w:p w:rsidR="00571ACF" w:rsidRPr="00571ACF" w:rsidRDefault="00571ACF" w:rsidP="00571ACF">
            <w:pPr>
              <w:spacing w:after="0" w:line="240" w:lineRule="auto"/>
              <w:jc w:val="center"/>
              <w:rPr>
                <w:rFonts w:ascii="Arial" w:eastAsia="Times New Roman" w:hAnsi="Arial" w:cs="Arial"/>
                <w:b/>
                <w:bCs/>
                <w:color w:val="000000"/>
                <w:sz w:val="16"/>
                <w:szCs w:val="16"/>
                <w:lang w:eastAsia="es-MX"/>
              </w:rPr>
            </w:pPr>
            <w:r w:rsidRPr="00571ACF">
              <w:rPr>
                <w:rFonts w:ascii="Arial" w:eastAsia="Times New Roman" w:hAnsi="Arial" w:cs="Arial"/>
                <w:b/>
                <w:bCs/>
                <w:color w:val="000000"/>
                <w:sz w:val="16"/>
                <w:szCs w:val="16"/>
                <w:lang w:eastAsia="es-MX"/>
              </w:rPr>
              <w:t>VARIACIÓN</w:t>
            </w:r>
          </w:p>
        </w:tc>
      </w:tr>
      <w:tr w:rsidR="00571ACF" w:rsidRPr="00571ACF" w:rsidTr="00571ACF">
        <w:trPr>
          <w:trHeight w:val="300"/>
          <w:jc w:val="center"/>
        </w:trPr>
        <w:tc>
          <w:tcPr>
            <w:tcW w:w="3340" w:type="dxa"/>
            <w:vMerge/>
            <w:tcBorders>
              <w:top w:val="nil"/>
              <w:left w:val="single" w:sz="4" w:space="0" w:color="auto"/>
              <w:bottom w:val="single" w:sz="4" w:space="0" w:color="auto"/>
              <w:right w:val="single" w:sz="4" w:space="0" w:color="auto"/>
            </w:tcBorders>
            <w:vAlign w:val="center"/>
            <w:hideMark/>
          </w:tcPr>
          <w:p w:rsidR="00571ACF" w:rsidRPr="00571ACF" w:rsidRDefault="00571ACF" w:rsidP="00571ACF">
            <w:pPr>
              <w:spacing w:after="0" w:line="240" w:lineRule="auto"/>
              <w:rPr>
                <w:rFonts w:ascii="Arial" w:eastAsia="Times New Roman" w:hAnsi="Arial" w:cs="Arial"/>
                <w:b/>
                <w:bCs/>
                <w:color w:val="000000"/>
                <w:sz w:val="16"/>
                <w:szCs w:val="16"/>
                <w:lang w:eastAsia="es-MX"/>
              </w:rPr>
            </w:pPr>
          </w:p>
        </w:tc>
        <w:tc>
          <w:tcPr>
            <w:tcW w:w="1660" w:type="dxa"/>
            <w:vMerge/>
            <w:tcBorders>
              <w:top w:val="nil"/>
              <w:left w:val="single" w:sz="4" w:space="0" w:color="auto"/>
              <w:bottom w:val="single" w:sz="4" w:space="0" w:color="auto"/>
              <w:right w:val="single" w:sz="4" w:space="0" w:color="auto"/>
            </w:tcBorders>
            <w:vAlign w:val="center"/>
            <w:hideMark/>
          </w:tcPr>
          <w:p w:rsidR="00571ACF" w:rsidRPr="00571ACF" w:rsidRDefault="00571ACF" w:rsidP="00571ACF">
            <w:pPr>
              <w:spacing w:after="0" w:line="240" w:lineRule="auto"/>
              <w:rPr>
                <w:rFonts w:ascii="Arial" w:eastAsia="Times New Roman" w:hAnsi="Arial" w:cs="Arial"/>
                <w:b/>
                <w:bCs/>
                <w:color w:val="000000"/>
                <w:sz w:val="16"/>
                <w:szCs w:val="16"/>
                <w:lang w:eastAsia="es-MX"/>
              </w:rPr>
            </w:pPr>
          </w:p>
        </w:tc>
        <w:tc>
          <w:tcPr>
            <w:tcW w:w="1660" w:type="dxa"/>
            <w:vMerge/>
            <w:tcBorders>
              <w:top w:val="nil"/>
              <w:left w:val="single" w:sz="4" w:space="0" w:color="auto"/>
              <w:bottom w:val="single" w:sz="4" w:space="0" w:color="000000"/>
              <w:right w:val="nil"/>
            </w:tcBorders>
            <w:vAlign w:val="center"/>
            <w:hideMark/>
          </w:tcPr>
          <w:p w:rsidR="00571ACF" w:rsidRPr="00571ACF" w:rsidRDefault="00571ACF" w:rsidP="00571ACF">
            <w:pPr>
              <w:spacing w:after="0" w:line="240" w:lineRule="auto"/>
              <w:rPr>
                <w:rFonts w:ascii="Arial" w:eastAsia="Times New Roman" w:hAnsi="Arial" w:cs="Arial"/>
                <w:b/>
                <w:bCs/>
                <w:color w:val="000000"/>
                <w:sz w:val="16"/>
                <w:szCs w:val="16"/>
                <w:lang w:eastAsia="es-MX"/>
              </w:rPr>
            </w:pPr>
          </w:p>
        </w:tc>
        <w:tc>
          <w:tcPr>
            <w:tcW w:w="1660" w:type="dxa"/>
            <w:tcBorders>
              <w:top w:val="nil"/>
              <w:left w:val="single" w:sz="4" w:space="0" w:color="auto"/>
              <w:bottom w:val="single" w:sz="4" w:space="0" w:color="auto"/>
              <w:right w:val="single" w:sz="4" w:space="0" w:color="auto"/>
            </w:tcBorders>
            <w:shd w:val="clear" w:color="000000" w:fill="C2D69A"/>
            <w:vAlign w:val="center"/>
            <w:hideMark/>
          </w:tcPr>
          <w:p w:rsidR="00571ACF" w:rsidRPr="00571ACF" w:rsidRDefault="00571ACF" w:rsidP="00571ACF">
            <w:pPr>
              <w:spacing w:after="0" w:line="240" w:lineRule="auto"/>
              <w:jc w:val="center"/>
              <w:rPr>
                <w:rFonts w:ascii="Arial" w:eastAsia="Times New Roman" w:hAnsi="Arial" w:cs="Arial"/>
                <w:b/>
                <w:bCs/>
                <w:color w:val="000000"/>
                <w:sz w:val="16"/>
                <w:szCs w:val="16"/>
                <w:lang w:eastAsia="es-MX"/>
              </w:rPr>
            </w:pPr>
            <w:r w:rsidRPr="00571ACF">
              <w:rPr>
                <w:rFonts w:ascii="Arial" w:eastAsia="Times New Roman" w:hAnsi="Arial" w:cs="Arial"/>
                <w:b/>
                <w:bCs/>
                <w:color w:val="000000"/>
                <w:sz w:val="16"/>
                <w:szCs w:val="16"/>
                <w:lang w:eastAsia="es-MX"/>
              </w:rPr>
              <w:t>ABSOLUTA</w:t>
            </w:r>
          </w:p>
        </w:tc>
        <w:tc>
          <w:tcPr>
            <w:tcW w:w="1660" w:type="dxa"/>
            <w:tcBorders>
              <w:top w:val="nil"/>
              <w:left w:val="nil"/>
              <w:bottom w:val="single" w:sz="4" w:space="0" w:color="auto"/>
              <w:right w:val="single" w:sz="4" w:space="0" w:color="auto"/>
            </w:tcBorders>
            <w:shd w:val="clear" w:color="000000" w:fill="C2D69A"/>
            <w:vAlign w:val="center"/>
            <w:hideMark/>
          </w:tcPr>
          <w:p w:rsidR="00571ACF" w:rsidRPr="00571ACF" w:rsidRDefault="00571ACF" w:rsidP="00571ACF">
            <w:pPr>
              <w:spacing w:after="0" w:line="240" w:lineRule="auto"/>
              <w:jc w:val="center"/>
              <w:rPr>
                <w:rFonts w:ascii="Arial" w:eastAsia="Times New Roman" w:hAnsi="Arial" w:cs="Arial"/>
                <w:b/>
                <w:bCs/>
                <w:color w:val="000000"/>
                <w:sz w:val="16"/>
                <w:szCs w:val="16"/>
                <w:lang w:eastAsia="es-MX"/>
              </w:rPr>
            </w:pPr>
            <w:r w:rsidRPr="00571ACF">
              <w:rPr>
                <w:rFonts w:ascii="Arial" w:eastAsia="Times New Roman" w:hAnsi="Arial" w:cs="Arial"/>
                <w:b/>
                <w:bCs/>
                <w:color w:val="000000"/>
                <w:sz w:val="16"/>
                <w:szCs w:val="16"/>
                <w:lang w:eastAsia="es-MX"/>
              </w:rPr>
              <w:t>RELATIVA %</w:t>
            </w:r>
          </w:p>
        </w:tc>
      </w:tr>
      <w:tr w:rsidR="00571ACF" w:rsidRPr="00571ACF" w:rsidTr="00571ACF">
        <w:trPr>
          <w:trHeight w:val="405"/>
          <w:jc w:val="center"/>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Fondo para la Educación Básica (FAEB)</w:t>
            </w:r>
          </w:p>
        </w:tc>
        <w:tc>
          <w:tcPr>
            <w:tcW w:w="1660" w:type="dxa"/>
            <w:tcBorders>
              <w:top w:val="nil"/>
              <w:left w:val="nil"/>
              <w:bottom w:val="single" w:sz="4" w:space="0" w:color="auto"/>
              <w:right w:val="single" w:sz="4" w:space="0" w:color="auto"/>
            </w:tcBorders>
            <w:shd w:val="clear" w:color="000000" w:fill="FFFFFF"/>
            <w:vAlign w:val="center"/>
            <w:hideMark/>
          </w:tcPr>
          <w:p w:rsidR="00571ACF" w:rsidRPr="00571ACF" w:rsidRDefault="00571ACF" w:rsidP="00571ACF">
            <w:pPr>
              <w:spacing w:after="0" w:line="240" w:lineRule="auto"/>
              <w:jc w:val="center"/>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3,737,683,879 </w:t>
            </w:r>
          </w:p>
        </w:tc>
        <w:tc>
          <w:tcPr>
            <w:tcW w:w="1660" w:type="dxa"/>
            <w:tcBorders>
              <w:top w:val="nil"/>
              <w:left w:val="nil"/>
              <w:bottom w:val="single" w:sz="4" w:space="0" w:color="auto"/>
              <w:right w:val="nil"/>
            </w:tcBorders>
            <w:shd w:val="clear" w:color="000000" w:fill="FFFFFF"/>
            <w:vAlign w:val="center"/>
            <w:hideMark/>
          </w:tcPr>
          <w:p w:rsidR="00571ACF" w:rsidRPr="00571ACF" w:rsidRDefault="00571ACF" w:rsidP="00571ACF">
            <w:pPr>
              <w:spacing w:after="0" w:line="240" w:lineRule="auto"/>
              <w:jc w:val="center"/>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4,891,004,800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1,153,320,921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30.86 </w:t>
            </w:r>
          </w:p>
        </w:tc>
      </w:tr>
      <w:tr w:rsidR="00571ACF" w:rsidRPr="00571ACF" w:rsidTr="00571ACF">
        <w:trPr>
          <w:trHeight w:val="45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Fondo para los Servicios de Salud (FASSA)</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1,126,798,090 </w:t>
            </w:r>
          </w:p>
        </w:tc>
        <w:tc>
          <w:tcPr>
            <w:tcW w:w="1660" w:type="dxa"/>
            <w:tcBorders>
              <w:top w:val="nil"/>
              <w:left w:val="nil"/>
              <w:bottom w:val="single" w:sz="4" w:space="0" w:color="auto"/>
              <w:right w:val="nil"/>
            </w:tcBorders>
            <w:shd w:val="clear" w:color="000000" w:fill="FFFFFF"/>
            <w:vAlign w:val="center"/>
            <w:hideMark/>
          </w:tcPr>
          <w:p w:rsidR="00571ACF" w:rsidRPr="00571ACF" w:rsidRDefault="00571ACF" w:rsidP="00571ACF">
            <w:pPr>
              <w:spacing w:after="0" w:line="240" w:lineRule="auto"/>
              <w:jc w:val="center"/>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1,387,189,700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260,391,610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23.11 </w:t>
            </w:r>
          </w:p>
        </w:tc>
      </w:tr>
      <w:tr w:rsidR="00571ACF" w:rsidRPr="00571ACF" w:rsidTr="00571ACF">
        <w:trPr>
          <w:trHeight w:val="465"/>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Fondo para la Infraestructura Social (FAIS)</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532,975,065 </w:t>
            </w:r>
          </w:p>
        </w:tc>
        <w:tc>
          <w:tcPr>
            <w:tcW w:w="1660" w:type="dxa"/>
            <w:tcBorders>
              <w:top w:val="nil"/>
              <w:left w:val="nil"/>
              <w:bottom w:val="single" w:sz="4" w:space="0" w:color="auto"/>
              <w:right w:val="nil"/>
            </w:tcBorders>
            <w:shd w:val="clear" w:color="000000" w:fill="FFFFFF"/>
            <w:vAlign w:val="center"/>
            <w:hideMark/>
          </w:tcPr>
          <w:p w:rsidR="00571ACF" w:rsidRPr="00571ACF" w:rsidRDefault="00571ACF" w:rsidP="00571ACF">
            <w:pPr>
              <w:spacing w:after="0" w:line="240" w:lineRule="auto"/>
              <w:jc w:val="center"/>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578,083,000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45,107,935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8.46 </w:t>
            </w:r>
          </w:p>
        </w:tc>
      </w:tr>
      <w:tr w:rsidR="00571ACF" w:rsidRPr="00571ACF" w:rsidTr="00571ACF">
        <w:trPr>
          <w:trHeight w:val="54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Fondo de Aportaciones para el Fortalecimiento Municipal (FORTAMUN)</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610,807,349 </w:t>
            </w:r>
          </w:p>
        </w:tc>
        <w:tc>
          <w:tcPr>
            <w:tcW w:w="1660" w:type="dxa"/>
            <w:tcBorders>
              <w:top w:val="nil"/>
              <w:left w:val="nil"/>
              <w:bottom w:val="single" w:sz="4" w:space="0" w:color="auto"/>
              <w:right w:val="nil"/>
            </w:tcBorders>
            <w:shd w:val="clear" w:color="000000" w:fill="FFFFFF"/>
            <w:vAlign w:val="center"/>
            <w:hideMark/>
          </w:tcPr>
          <w:p w:rsidR="00571ACF" w:rsidRPr="00571ACF" w:rsidRDefault="00571ACF" w:rsidP="00571ACF">
            <w:pPr>
              <w:spacing w:after="0" w:line="240" w:lineRule="auto"/>
              <w:jc w:val="center"/>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651,096,500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40,289,151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6.60 </w:t>
            </w:r>
          </w:p>
        </w:tc>
      </w:tr>
      <w:tr w:rsidR="00571ACF" w:rsidRPr="00571ACF" w:rsidTr="00571ACF">
        <w:trPr>
          <w:trHeight w:val="54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Fondo para la Educación Tecnológica y de Adultos (FAETA)</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34,309,803 </w:t>
            </w:r>
          </w:p>
        </w:tc>
        <w:tc>
          <w:tcPr>
            <w:tcW w:w="1660" w:type="dxa"/>
            <w:tcBorders>
              <w:top w:val="nil"/>
              <w:left w:val="nil"/>
              <w:bottom w:val="single" w:sz="4" w:space="0" w:color="auto"/>
              <w:right w:val="nil"/>
            </w:tcBorders>
            <w:shd w:val="clear" w:color="000000" w:fill="FFFFFF"/>
            <w:vAlign w:val="center"/>
            <w:hideMark/>
          </w:tcPr>
          <w:p w:rsidR="00571ACF" w:rsidRPr="00571ACF" w:rsidRDefault="00571ACF" w:rsidP="00571ACF">
            <w:pPr>
              <w:spacing w:after="0" w:line="240" w:lineRule="auto"/>
              <w:jc w:val="center"/>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37,040,800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2,730,997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7.96 </w:t>
            </w:r>
          </w:p>
        </w:tc>
      </w:tr>
      <w:tr w:rsidR="00571ACF" w:rsidRPr="00571ACF" w:rsidTr="00571ACF">
        <w:trPr>
          <w:trHeight w:val="375"/>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571ACF" w:rsidRPr="00571ACF" w:rsidRDefault="00571ACF" w:rsidP="00571ACF">
            <w:pPr>
              <w:spacing w:after="0" w:line="240" w:lineRule="auto"/>
              <w:rPr>
                <w:rFonts w:ascii="Arial" w:eastAsia="Times New Roman" w:hAnsi="Arial" w:cs="Arial"/>
                <w:color w:val="000000"/>
                <w:sz w:val="16"/>
                <w:szCs w:val="16"/>
                <w:lang w:eastAsia="es-MX"/>
              </w:rPr>
            </w:pPr>
            <w:proofErr w:type="spellStart"/>
            <w:r w:rsidRPr="00571ACF">
              <w:rPr>
                <w:rFonts w:ascii="Arial" w:eastAsia="Times New Roman" w:hAnsi="Arial" w:cs="Arial"/>
                <w:color w:val="000000"/>
                <w:sz w:val="16"/>
                <w:szCs w:val="16"/>
                <w:lang w:eastAsia="es-MX"/>
              </w:rPr>
              <w:t>Fonfo</w:t>
            </w:r>
            <w:proofErr w:type="spellEnd"/>
            <w:r w:rsidRPr="00571ACF">
              <w:rPr>
                <w:rFonts w:ascii="Arial" w:eastAsia="Times New Roman" w:hAnsi="Arial" w:cs="Arial"/>
                <w:color w:val="000000"/>
                <w:sz w:val="16"/>
                <w:szCs w:val="16"/>
                <w:lang w:eastAsia="es-MX"/>
              </w:rPr>
              <w:t xml:space="preserve"> para la Educación Tecnológica</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35,029,811 </w:t>
            </w:r>
          </w:p>
        </w:tc>
        <w:tc>
          <w:tcPr>
            <w:tcW w:w="1660" w:type="dxa"/>
            <w:tcBorders>
              <w:top w:val="nil"/>
              <w:left w:val="nil"/>
              <w:bottom w:val="single" w:sz="4" w:space="0" w:color="auto"/>
              <w:right w:val="nil"/>
            </w:tcBorders>
            <w:shd w:val="clear" w:color="000000" w:fill="FFFFFF"/>
            <w:vAlign w:val="center"/>
            <w:hideMark/>
          </w:tcPr>
          <w:p w:rsidR="00571ACF" w:rsidRPr="00571ACF" w:rsidRDefault="00571ACF" w:rsidP="00571ACF">
            <w:pPr>
              <w:spacing w:after="0" w:line="240" w:lineRule="auto"/>
              <w:jc w:val="center"/>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39,509,200 </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4,479,389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12.79 </w:t>
            </w:r>
          </w:p>
        </w:tc>
      </w:tr>
      <w:tr w:rsidR="00571ACF" w:rsidRPr="00571ACF" w:rsidTr="00571ACF">
        <w:trPr>
          <w:trHeight w:val="525"/>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Fondo de Aportaciones  para la Seguridad Pública (FASP)</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139,926,309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jc w:val="right"/>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139,926,300</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jc w:val="right"/>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0.00</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   </w:t>
            </w:r>
          </w:p>
        </w:tc>
      </w:tr>
      <w:tr w:rsidR="00571ACF" w:rsidRPr="00571ACF" w:rsidTr="00571ACF">
        <w:trPr>
          <w:trHeight w:val="435"/>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Fondo de Aportaciones Múltiples (FAM)</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228,756,324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276,277,200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47,520,876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20.77 </w:t>
            </w:r>
          </w:p>
        </w:tc>
      </w:tr>
      <w:tr w:rsidR="00571ACF" w:rsidRPr="00571ACF" w:rsidTr="00571ACF">
        <w:trPr>
          <w:trHeight w:val="735"/>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Fondo  de Aportaciones para el Fortalecimiento  de Entidades Federativas (FAFEF)</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387,956,671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420,314,300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32,357,629 </w:t>
            </w:r>
          </w:p>
        </w:tc>
        <w:tc>
          <w:tcPr>
            <w:tcW w:w="1660" w:type="dxa"/>
            <w:tcBorders>
              <w:top w:val="nil"/>
              <w:left w:val="nil"/>
              <w:bottom w:val="single" w:sz="4" w:space="0" w:color="auto"/>
              <w:right w:val="single" w:sz="4" w:space="0" w:color="auto"/>
            </w:tcBorders>
            <w:shd w:val="clear" w:color="auto" w:fill="auto"/>
            <w:noWrap/>
            <w:vAlign w:val="bottom"/>
            <w:hideMark/>
          </w:tcPr>
          <w:p w:rsidR="00571ACF" w:rsidRPr="00571ACF" w:rsidRDefault="00571ACF" w:rsidP="00571ACF">
            <w:pPr>
              <w:spacing w:after="0" w:line="240" w:lineRule="auto"/>
              <w:rPr>
                <w:rFonts w:ascii="Arial" w:eastAsia="Times New Roman" w:hAnsi="Arial" w:cs="Arial"/>
                <w:color w:val="000000"/>
                <w:sz w:val="16"/>
                <w:szCs w:val="16"/>
                <w:lang w:eastAsia="es-MX"/>
              </w:rPr>
            </w:pPr>
            <w:r w:rsidRPr="00571ACF">
              <w:rPr>
                <w:rFonts w:ascii="Arial" w:eastAsia="Times New Roman" w:hAnsi="Arial" w:cs="Arial"/>
                <w:color w:val="000000"/>
                <w:sz w:val="16"/>
                <w:szCs w:val="16"/>
                <w:lang w:eastAsia="es-MX"/>
              </w:rPr>
              <w:t xml:space="preserve">                           8.34 </w:t>
            </w:r>
          </w:p>
        </w:tc>
      </w:tr>
      <w:tr w:rsidR="00571ACF" w:rsidRPr="00571ACF" w:rsidTr="00571ACF">
        <w:trPr>
          <w:trHeight w:val="300"/>
          <w:jc w:val="center"/>
        </w:trPr>
        <w:tc>
          <w:tcPr>
            <w:tcW w:w="3340" w:type="dxa"/>
            <w:tcBorders>
              <w:top w:val="nil"/>
              <w:left w:val="single" w:sz="4" w:space="0" w:color="auto"/>
              <w:bottom w:val="single" w:sz="4" w:space="0" w:color="auto"/>
              <w:right w:val="single" w:sz="4" w:space="0" w:color="auto"/>
            </w:tcBorders>
            <w:shd w:val="clear" w:color="000000" w:fill="C2D69A"/>
            <w:noWrap/>
            <w:vAlign w:val="bottom"/>
            <w:hideMark/>
          </w:tcPr>
          <w:p w:rsidR="00571ACF" w:rsidRPr="00571ACF" w:rsidRDefault="00571ACF" w:rsidP="00571ACF">
            <w:pPr>
              <w:spacing w:after="0" w:line="240" w:lineRule="auto"/>
              <w:rPr>
                <w:rFonts w:ascii="Arial" w:eastAsia="Times New Roman" w:hAnsi="Arial" w:cs="Arial"/>
                <w:b/>
                <w:bCs/>
                <w:color w:val="000000"/>
                <w:sz w:val="16"/>
                <w:szCs w:val="16"/>
                <w:lang w:eastAsia="es-MX"/>
              </w:rPr>
            </w:pPr>
            <w:r w:rsidRPr="00571ACF">
              <w:rPr>
                <w:rFonts w:ascii="Arial" w:eastAsia="Times New Roman" w:hAnsi="Arial" w:cs="Arial"/>
                <w:b/>
                <w:bCs/>
                <w:color w:val="000000"/>
                <w:sz w:val="16"/>
                <w:szCs w:val="16"/>
                <w:lang w:eastAsia="es-MX"/>
              </w:rPr>
              <w:t>TOTAL INGRESOS</w:t>
            </w:r>
          </w:p>
        </w:tc>
        <w:tc>
          <w:tcPr>
            <w:tcW w:w="1660" w:type="dxa"/>
            <w:tcBorders>
              <w:top w:val="nil"/>
              <w:left w:val="nil"/>
              <w:bottom w:val="single" w:sz="4" w:space="0" w:color="auto"/>
              <w:right w:val="single" w:sz="4" w:space="0" w:color="auto"/>
            </w:tcBorders>
            <w:shd w:val="clear" w:color="000000" w:fill="C2D69A"/>
            <w:noWrap/>
            <w:vAlign w:val="bottom"/>
            <w:hideMark/>
          </w:tcPr>
          <w:p w:rsidR="00571ACF" w:rsidRPr="00571ACF" w:rsidRDefault="00571ACF" w:rsidP="00571ACF">
            <w:pPr>
              <w:spacing w:after="0" w:line="240" w:lineRule="auto"/>
              <w:rPr>
                <w:rFonts w:ascii="Arial" w:eastAsia="Times New Roman" w:hAnsi="Arial" w:cs="Arial"/>
                <w:b/>
                <w:bCs/>
                <w:color w:val="000000"/>
                <w:sz w:val="16"/>
                <w:szCs w:val="16"/>
                <w:lang w:eastAsia="es-MX"/>
              </w:rPr>
            </w:pPr>
            <w:r w:rsidRPr="00571ACF">
              <w:rPr>
                <w:rFonts w:ascii="Arial" w:eastAsia="Times New Roman" w:hAnsi="Arial" w:cs="Arial"/>
                <w:b/>
                <w:bCs/>
                <w:color w:val="000000"/>
                <w:sz w:val="16"/>
                <w:szCs w:val="16"/>
                <w:lang w:eastAsia="es-MX"/>
              </w:rPr>
              <w:t xml:space="preserve">              756,639,304 </w:t>
            </w:r>
          </w:p>
        </w:tc>
        <w:tc>
          <w:tcPr>
            <w:tcW w:w="1660" w:type="dxa"/>
            <w:tcBorders>
              <w:top w:val="nil"/>
              <w:left w:val="nil"/>
              <w:bottom w:val="single" w:sz="4" w:space="0" w:color="auto"/>
              <w:right w:val="single" w:sz="4" w:space="0" w:color="auto"/>
            </w:tcBorders>
            <w:shd w:val="clear" w:color="000000" w:fill="C2D69A"/>
            <w:noWrap/>
            <w:vAlign w:val="bottom"/>
            <w:hideMark/>
          </w:tcPr>
          <w:p w:rsidR="00571ACF" w:rsidRPr="00571ACF" w:rsidRDefault="00571ACF" w:rsidP="00571ACF">
            <w:pPr>
              <w:spacing w:after="0" w:line="240" w:lineRule="auto"/>
              <w:rPr>
                <w:rFonts w:ascii="Arial" w:eastAsia="Times New Roman" w:hAnsi="Arial" w:cs="Arial"/>
                <w:b/>
                <w:bCs/>
                <w:color w:val="000000"/>
                <w:sz w:val="16"/>
                <w:szCs w:val="16"/>
                <w:lang w:eastAsia="es-MX"/>
              </w:rPr>
            </w:pPr>
            <w:r w:rsidRPr="00571ACF">
              <w:rPr>
                <w:rFonts w:ascii="Arial" w:eastAsia="Times New Roman" w:hAnsi="Arial" w:cs="Arial"/>
                <w:b/>
                <w:bCs/>
                <w:color w:val="000000"/>
                <w:sz w:val="16"/>
                <w:szCs w:val="16"/>
                <w:lang w:eastAsia="es-MX"/>
              </w:rPr>
              <w:t xml:space="preserve">              836,517,800 </w:t>
            </w:r>
          </w:p>
        </w:tc>
        <w:tc>
          <w:tcPr>
            <w:tcW w:w="1660" w:type="dxa"/>
            <w:tcBorders>
              <w:top w:val="nil"/>
              <w:left w:val="nil"/>
              <w:bottom w:val="single" w:sz="4" w:space="0" w:color="auto"/>
              <w:right w:val="single" w:sz="4" w:space="0" w:color="auto"/>
            </w:tcBorders>
            <w:shd w:val="clear" w:color="000000" w:fill="C2D69A"/>
            <w:noWrap/>
            <w:vAlign w:val="bottom"/>
            <w:hideMark/>
          </w:tcPr>
          <w:p w:rsidR="00571ACF" w:rsidRPr="00571ACF" w:rsidRDefault="00571ACF" w:rsidP="00571ACF">
            <w:pPr>
              <w:spacing w:after="0" w:line="240" w:lineRule="auto"/>
              <w:rPr>
                <w:rFonts w:ascii="Arial" w:eastAsia="Times New Roman" w:hAnsi="Arial" w:cs="Arial"/>
                <w:b/>
                <w:bCs/>
                <w:color w:val="000000"/>
                <w:sz w:val="16"/>
                <w:szCs w:val="16"/>
                <w:lang w:eastAsia="es-MX"/>
              </w:rPr>
            </w:pPr>
            <w:r w:rsidRPr="00571ACF">
              <w:rPr>
                <w:rFonts w:ascii="Arial" w:eastAsia="Times New Roman" w:hAnsi="Arial" w:cs="Arial"/>
                <w:b/>
                <w:bCs/>
                <w:color w:val="000000"/>
                <w:sz w:val="16"/>
                <w:szCs w:val="16"/>
                <w:lang w:eastAsia="es-MX"/>
              </w:rPr>
              <w:t xml:space="preserve">                79,878,496 </w:t>
            </w:r>
          </w:p>
        </w:tc>
        <w:tc>
          <w:tcPr>
            <w:tcW w:w="1660" w:type="dxa"/>
            <w:tcBorders>
              <w:top w:val="nil"/>
              <w:left w:val="nil"/>
              <w:bottom w:val="single" w:sz="4" w:space="0" w:color="auto"/>
              <w:right w:val="single" w:sz="4" w:space="0" w:color="auto"/>
            </w:tcBorders>
            <w:shd w:val="clear" w:color="000000" w:fill="C2D69A"/>
            <w:noWrap/>
            <w:vAlign w:val="bottom"/>
            <w:hideMark/>
          </w:tcPr>
          <w:p w:rsidR="00571ACF" w:rsidRPr="00571ACF" w:rsidRDefault="00571ACF" w:rsidP="00571ACF">
            <w:pPr>
              <w:spacing w:after="0" w:line="240" w:lineRule="auto"/>
              <w:rPr>
                <w:rFonts w:ascii="Arial" w:eastAsia="Times New Roman" w:hAnsi="Arial" w:cs="Arial"/>
                <w:b/>
                <w:bCs/>
                <w:color w:val="000000"/>
                <w:sz w:val="16"/>
                <w:szCs w:val="16"/>
                <w:lang w:eastAsia="es-MX"/>
              </w:rPr>
            </w:pPr>
            <w:r w:rsidRPr="00571ACF">
              <w:rPr>
                <w:rFonts w:ascii="Arial" w:eastAsia="Times New Roman" w:hAnsi="Arial" w:cs="Arial"/>
                <w:b/>
                <w:bCs/>
                <w:color w:val="000000"/>
                <w:sz w:val="16"/>
                <w:szCs w:val="16"/>
                <w:lang w:eastAsia="es-MX"/>
              </w:rPr>
              <w:t xml:space="preserve">                              29 </w:t>
            </w:r>
          </w:p>
        </w:tc>
      </w:tr>
    </w:tbl>
    <w:p w:rsidR="00AD76DE" w:rsidRPr="00AD76DE" w:rsidRDefault="00AD76DE" w:rsidP="00AD76DE">
      <w:pPr>
        <w:pStyle w:val="PRIMERAPLANA"/>
        <w:spacing w:line="276" w:lineRule="auto"/>
        <w:ind w:left="1843"/>
        <w:jc w:val="left"/>
        <w:rPr>
          <w:rFonts w:cs="Arial"/>
          <w:b/>
          <w:iCs/>
          <w:sz w:val="12"/>
          <w:szCs w:val="18"/>
          <w:lang w:val="es-ES"/>
        </w:rPr>
      </w:pPr>
      <w:r w:rsidRPr="00AD76DE">
        <w:rPr>
          <w:rFonts w:cs="Arial"/>
          <w:b/>
          <w:iCs/>
          <w:sz w:val="12"/>
          <w:szCs w:val="18"/>
          <w:lang w:val="es-ES"/>
        </w:rPr>
        <w:t xml:space="preserve">Fuente: </w:t>
      </w:r>
      <w:r>
        <w:rPr>
          <w:rFonts w:cs="Arial"/>
          <w:b/>
          <w:iCs/>
          <w:sz w:val="12"/>
          <w:szCs w:val="18"/>
          <w:lang w:val="es-ES"/>
        </w:rPr>
        <w:t>SHCP.</w:t>
      </w:r>
    </w:p>
    <w:p w:rsidR="00587618" w:rsidRPr="0073056A" w:rsidRDefault="00587618" w:rsidP="002132B8">
      <w:pPr>
        <w:tabs>
          <w:tab w:val="left" w:pos="284"/>
        </w:tabs>
        <w:ind w:left="284"/>
        <w:jc w:val="center"/>
        <w:rPr>
          <w:rFonts w:ascii="Arial" w:hAnsi="Arial" w:cs="Arial"/>
          <w:sz w:val="18"/>
          <w:szCs w:val="18"/>
        </w:rPr>
      </w:pPr>
    </w:p>
    <w:p w:rsidR="00540418" w:rsidRDefault="00540418" w:rsidP="00C50527">
      <w:pPr>
        <w:pStyle w:val="INCISO"/>
        <w:tabs>
          <w:tab w:val="left" w:pos="284"/>
        </w:tabs>
        <w:spacing w:after="0" w:line="276" w:lineRule="auto"/>
        <w:ind w:left="284" w:firstLine="0"/>
      </w:pPr>
    </w:p>
    <w:p w:rsidR="00AD76DE" w:rsidRPr="0073056A" w:rsidRDefault="00AD76DE" w:rsidP="00C50527">
      <w:pPr>
        <w:pStyle w:val="INCISO"/>
        <w:tabs>
          <w:tab w:val="left" w:pos="284"/>
        </w:tabs>
        <w:spacing w:after="0" w:line="276" w:lineRule="auto"/>
        <w:ind w:left="284" w:firstLine="0"/>
      </w:pPr>
    </w:p>
    <w:p w:rsidR="00540418" w:rsidRPr="00413061" w:rsidRDefault="00540418" w:rsidP="00C50527">
      <w:pPr>
        <w:pStyle w:val="Texto"/>
        <w:tabs>
          <w:tab w:val="left" w:pos="284"/>
        </w:tabs>
        <w:spacing w:after="0" w:line="276" w:lineRule="auto"/>
        <w:ind w:left="284" w:firstLine="0"/>
        <w:rPr>
          <w:b/>
          <w:szCs w:val="18"/>
          <w:lang w:val="es-MX"/>
        </w:rPr>
      </w:pPr>
      <w:r w:rsidRPr="00413061">
        <w:rPr>
          <w:b/>
          <w:szCs w:val="18"/>
          <w:lang w:val="es-MX"/>
        </w:rPr>
        <w:lastRenderedPageBreak/>
        <w:t>11.</w:t>
      </w:r>
      <w:r w:rsidRPr="00413061">
        <w:rPr>
          <w:b/>
          <w:szCs w:val="18"/>
          <w:lang w:val="es-MX"/>
        </w:rPr>
        <w:tab/>
        <w:t>Información sobre la Deuda y el Reporte Analítico de la Deuda</w:t>
      </w:r>
    </w:p>
    <w:p w:rsidR="003D14B8" w:rsidRPr="003D14B8" w:rsidRDefault="003D14B8" w:rsidP="003D14B8">
      <w:pPr>
        <w:tabs>
          <w:tab w:val="left" w:pos="284"/>
        </w:tabs>
        <w:ind w:left="284"/>
        <w:jc w:val="both"/>
        <w:rPr>
          <w:rFonts w:ascii="Arial" w:hAnsi="Arial" w:cs="Arial"/>
          <w:sz w:val="18"/>
          <w:szCs w:val="18"/>
        </w:rPr>
      </w:pPr>
      <w:r w:rsidRPr="003D14B8">
        <w:rPr>
          <w:rFonts w:ascii="Arial" w:hAnsi="Arial" w:cs="Arial"/>
          <w:sz w:val="18"/>
          <w:szCs w:val="18"/>
        </w:rPr>
        <w:t>El Gobierno del Estado trabaja de manera coordinada con los diferentes ámbitos de gobierno, siendo destacable la participación activa de los Municipios del Estado en la vida económica y política, lo que ha propiciado la corresponsabilidad de los órdenes de gobierno, generando los consensos necesarios para la toma de decisiones que determinan las condiciones generales de la sociedad tlaxcalteca, alineado al Objetivo 4.1. Hacia un Federalismo Hacendario Más Equitativo y Transparente, Línea de Acción 4.1.6. Fortalecer los mecanismos de fiscalización y rendición de cuantas a nivel estatal y municipal, para mejorar la percepción social sobre el uso y ejercicio de los recursos públicos.</w:t>
      </w:r>
    </w:p>
    <w:p w:rsidR="003D14B8" w:rsidRPr="003D14B8" w:rsidRDefault="003D14B8" w:rsidP="003D14B8">
      <w:pPr>
        <w:tabs>
          <w:tab w:val="left" w:pos="284"/>
        </w:tabs>
        <w:ind w:left="284"/>
        <w:jc w:val="both"/>
        <w:rPr>
          <w:rFonts w:ascii="Arial" w:hAnsi="Arial" w:cs="Arial"/>
          <w:sz w:val="18"/>
          <w:szCs w:val="18"/>
        </w:rPr>
      </w:pPr>
    </w:p>
    <w:p w:rsidR="003D14B8" w:rsidRPr="003D14B8" w:rsidRDefault="003D14B8" w:rsidP="003D14B8">
      <w:pPr>
        <w:tabs>
          <w:tab w:val="left" w:pos="284"/>
        </w:tabs>
        <w:ind w:left="284"/>
        <w:jc w:val="both"/>
        <w:rPr>
          <w:rFonts w:ascii="Arial" w:hAnsi="Arial" w:cs="Arial"/>
          <w:sz w:val="18"/>
          <w:szCs w:val="18"/>
        </w:rPr>
      </w:pPr>
      <w:r w:rsidRPr="003D14B8">
        <w:rPr>
          <w:rFonts w:ascii="Arial" w:hAnsi="Arial" w:cs="Arial"/>
          <w:sz w:val="18"/>
          <w:szCs w:val="18"/>
        </w:rPr>
        <w:t>En materia de deuda pública, esta administración ha mantenido la política de no acceder a esquemas de financiamiento, sea a través de la banca de desarrollo o de la banca comercial, con la finalidad de mantener sanas las finanzas estatales, más sin embargo se han implementado diversas acciones que nos han permitido mejorar la capacidad crediticia de la Entidad, alineado al Objetivo 4.4. Nuevas Opciones para el Financiamiento de la Infraestructura Económica y Social, Línea de Acción 4.4.1. Mejorar la calidad crediticia del gobierno del estado.</w:t>
      </w:r>
    </w:p>
    <w:p w:rsidR="00D43342" w:rsidRDefault="00D43342" w:rsidP="00C50527">
      <w:pPr>
        <w:pStyle w:val="Texto"/>
        <w:tabs>
          <w:tab w:val="left" w:pos="284"/>
        </w:tabs>
        <w:spacing w:after="0" w:line="276" w:lineRule="auto"/>
        <w:ind w:left="284" w:firstLine="0"/>
        <w:rPr>
          <w:b/>
          <w:szCs w:val="18"/>
          <w:lang w:val="es-MX"/>
        </w:rPr>
      </w:pPr>
    </w:p>
    <w:p w:rsidR="00540418" w:rsidRPr="0073056A" w:rsidRDefault="00540418" w:rsidP="00C50527">
      <w:pPr>
        <w:pStyle w:val="Texto"/>
        <w:tabs>
          <w:tab w:val="left" w:pos="284"/>
        </w:tabs>
        <w:spacing w:after="0" w:line="276" w:lineRule="auto"/>
        <w:ind w:left="284" w:firstLine="0"/>
        <w:rPr>
          <w:b/>
          <w:szCs w:val="18"/>
          <w:lang w:val="es-MX"/>
        </w:rPr>
      </w:pPr>
      <w:r w:rsidRPr="0073056A">
        <w:rPr>
          <w:b/>
          <w:szCs w:val="18"/>
          <w:lang w:val="es-MX"/>
        </w:rPr>
        <w:t>Calificaciones otorgadas</w:t>
      </w:r>
    </w:p>
    <w:p w:rsidR="00587618" w:rsidRPr="0073056A" w:rsidRDefault="00571ACF" w:rsidP="00571ACF">
      <w:pPr>
        <w:tabs>
          <w:tab w:val="left" w:pos="284"/>
        </w:tabs>
        <w:ind w:left="284"/>
        <w:jc w:val="both"/>
        <w:rPr>
          <w:rFonts w:ascii="Arial" w:hAnsi="Arial" w:cs="Arial"/>
          <w:sz w:val="18"/>
          <w:szCs w:val="18"/>
        </w:rPr>
      </w:pPr>
      <w:r w:rsidRPr="00571ACF">
        <w:rPr>
          <w:rFonts w:ascii="Arial" w:hAnsi="Arial" w:cs="Arial"/>
          <w:sz w:val="18"/>
          <w:szCs w:val="18"/>
        </w:rPr>
        <w:t xml:space="preserve">En los últimos cinco años, el Estado de Tlaxcala ha reflejado un grado de avance significativo en materia de transparencia y rendición de cuentas, al situarse entre las cinco entidades  a través del Índice de Información Presupuestal Estatal implementado por el Instituto Mexicano para la Competitividad A.C., que tiene como objetivo eliminar las malas prácticas y opacidad en materia de transparencia </w:t>
      </w:r>
      <w:r>
        <w:rPr>
          <w:rFonts w:ascii="Arial" w:hAnsi="Arial" w:cs="Arial"/>
          <w:sz w:val="18"/>
          <w:szCs w:val="18"/>
        </w:rPr>
        <w:t xml:space="preserve">presupuestal, </w:t>
      </w:r>
      <w:r w:rsidR="00587618" w:rsidRPr="0073056A">
        <w:rPr>
          <w:rFonts w:ascii="Arial" w:hAnsi="Arial" w:cs="Arial"/>
          <w:sz w:val="18"/>
          <w:szCs w:val="18"/>
        </w:rPr>
        <w:t xml:space="preserve">debido a que </w:t>
      </w:r>
      <w:r>
        <w:rPr>
          <w:rFonts w:ascii="Arial" w:hAnsi="Arial" w:cs="Arial"/>
          <w:sz w:val="18"/>
          <w:szCs w:val="18"/>
        </w:rPr>
        <w:t xml:space="preserve">se </w:t>
      </w:r>
      <w:r w:rsidR="00587618" w:rsidRPr="0073056A">
        <w:rPr>
          <w:rFonts w:ascii="Arial" w:hAnsi="Arial" w:cs="Arial"/>
          <w:sz w:val="18"/>
          <w:szCs w:val="18"/>
        </w:rPr>
        <w:t xml:space="preserve">presenta de manera oficial información sobre </w:t>
      </w:r>
      <w:r>
        <w:rPr>
          <w:rFonts w:ascii="Arial" w:hAnsi="Arial" w:cs="Arial"/>
          <w:sz w:val="18"/>
          <w:szCs w:val="18"/>
        </w:rPr>
        <w:t>la</w:t>
      </w:r>
      <w:r w:rsidR="00587618" w:rsidRPr="0073056A">
        <w:rPr>
          <w:rFonts w:ascii="Arial" w:hAnsi="Arial" w:cs="Arial"/>
          <w:sz w:val="18"/>
          <w:szCs w:val="18"/>
        </w:rPr>
        <w:t xml:space="preserve"> Ley de Ingresos con estructura armonizada y </w:t>
      </w:r>
      <w:r>
        <w:rPr>
          <w:rFonts w:ascii="Arial" w:hAnsi="Arial" w:cs="Arial"/>
          <w:sz w:val="18"/>
          <w:szCs w:val="18"/>
        </w:rPr>
        <w:t>el</w:t>
      </w:r>
      <w:r w:rsidR="00587618" w:rsidRPr="0073056A">
        <w:rPr>
          <w:rFonts w:ascii="Arial" w:hAnsi="Arial" w:cs="Arial"/>
          <w:sz w:val="18"/>
          <w:szCs w:val="18"/>
        </w:rPr>
        <w:t xml:space="preserve"> presupuesto de Egresos utiliza las clasificaciones reguladas por el Consejo Nacional de Armonización Contable.</w:t>
      </w:r>
    </w:p>
    <w:p w:rsidR="00587618" w:rsidRPr="0073056A" w:rsidRDefault="00587618" w:rsidP="00C50527">
      <w:pPr>
        <w:tabs>
          <w:tab w:val="left" w:pos="284"/>
        </w:tabs>
        <w:ind w:left="284"/>
        <w:jc w:val="both"/>
        <w:rPr>
          <w:rFonts w:ascii="Arial" w:hAnsi="Arial" w:cs="Arial"/>
          <w:sz w:val="18"/>
          <w:szCs w:val="18"/>
        </w:rPr>
      </w:pPr>
      <w:r w:rsidRPr="0073056A">
        <w:rPr>
          <w:rFonts w:ascii="Arial" w:hAnsi="Arial" w:cs="Arial"/>
          <w:sz w:val="18"/>
          <w:szCs w:val="18"/>
        </w:rPr>
        <w:t>De esta manera, se permite acceder a información sobre los montos de los recursos asignados a cada una de las secretarías, direcciones u organismos que realizan funciones públicas, se desglosan las transferencia de recursos a organismos, se establecen de forma explícita los topes de endeudamiento, se detallan las fuentes de recursos por dependencia, operación e inversión, así como los tabuladores de plazas, además de precisar el destino de los fondos del Ramo General 33, cumpliendo así con las metas y objetivos sociales de la agenda estatal; en el mundo contemporáneo todo hecho o información, para que alcance la condición de verdadero, tiene que ser constatable, por quienes lo revisan u observan.</w:t>
      </w:r>
    </w:p>
    <w:p w:rsidR="00587618" w:rsidRPr="0073056A" w:rsidRDefault="00571ACF" w:rsidP="00C50527">
      <w:pPr>
        <w:tabs>
          <w:tab w:val="left" w:pos="284"/>
          <w:tab w:val="left" w:pos="5271"/>
        </w:tabs>
        <w:ind w:left="284"/>
        <w:jc w:val="center"/>
        <w:rPr>
          <w:rFonts w:ascii="Arial" w:hAnsi="Arial" w:cs="Arial"/>
          <w:sz w:val="18"/>
          <w:szCs w:val="18"/>
        </w:rPr>
      </w:pPr>
      <w:r w:rsidRPr="00571ACF">
        <w:rPr>
          <w:rFonts w:ascii="Arial" w:hAnsi="Arial" w:cs="Arial"/>
          <w:noProof/>
          <w:sz w:val="18"/>
          <w:szCs w:val="18"/>
          <w:lang w:eastAsia="es-MX"/>
        </w:rPr>
        <w:lastRenderedPageBreak/>
        <w:drawing>
          <wp:inline distT="0" distB="0" distL="0" distR="0">
            <wp:extent cx="4160789" cy="2504661"/>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ultados generales.jpg"/>
                    <pic:cNvPicPr/>
                  </pic:nvPicPr>
                  <pic:blipFill>
                    <a:blip r:embed="rId42" cstate="print">
                      <a:clrChange>
                        <a:clrFrom>
                          <a:srgbClr val="F5F6F1"/>
                        </a:clrFrom>
                        <a:clrTo>
                          <a:srgbClr val="F5F6F1">
                            <a:alpha val="0"/>
                          </a:srgbClr>
                        </a:clrTo>
                      </a:clrChange>
                      <a:extLst>
                        <a:ext uri="{28A0092B-C50C-407E-A947-70E740481C1C}">
                          <a14:useLocalDpi xmlns:a14="http://schemas.microsoft.com/office/drawing/2010/main" val="0"/>
                        </a:ext>
                      </a:extLst>
                    </a:blip>
                    <a:stretch>
                      <a:fillRect/>
                    </a:stretch>
                  </pic:blipFill>
                  <pic:spPr>
                    <a:xfrm>
                      <a:off x="0" y="0"/>
                      <a:ext cx="4163295" cy="2506169"/>
                    </a:xfrm>
                    <a:prstGeom prst="rect">
                      <a:avLst/>
                    </a:prstGeom>
                  </pic:spPr>
                </pic:pic>
              </a:graphicData>
            </a:graphic>
          </wp:inline>
        </w:drawing>
      </w:r>
    </w:p>
    <w:p w:rsidR="00587618" w:rsidRPr="0073056A" w:rsidRDefault="00587618" w:rsidP="00C50527">
      <w:pPr>
        <w:tabs>
          <w:tab w:val="left" w:pos="284"/>
          <w:tab w:val="left" w:pos="5271"/>
        </w:tabs>
        <w:ind w:left="284"/>
        <w:jc w:val="both"/>
        <w:rPr>
          <w:rFonts w:ascii="Arial" w:hAnsi="Arial" w:cs="Arial"/>
          <w:sz w:val="18"/>
          <w:szCs w:val="18"/>
        </w:rPr>
      </w:pPr>
      <w:r w:rsidRPr="0073056A">
        <w:rPr>
          <w:rFonts w:ascii="Arial" w:hAnsi="Arial" w:cs="Arial"/>
          <w:sz w:val="18"/>
          <w:szCs w:val="18"/>
        </w:rPr>
        <w:t xml:space="preserve">Por otra parte, </w:t>
      </w:r>
      <w:proofErr w:type="spellStart"/>
      <w:r w:rsidRPr="0073056A">
        <w:rPr>
          <w:rFonts w:ascii="Arial" w:hAnsi="Arial" w:cs="Arial"/>
          <w:sz w:val="18"/>
          <w:szCs w:val="18"/>
        </w:rPr>
        <w:t>Moody’s</w:t>
      </w:r>
      <w:proofErr w:type="spellEnd"/>
      <w:r w:rsidRPr="0073056A">
        <w:rPr>
          <w:rFonts w:ascii="Arial" w:hAnsi="Arial" w:cs="Arial"/>
          <w:sz w:val="18"/>
          <w:szCs w:val="18"/>
        </w:rPr>
        <w:t xml:space="preserve"> </w:t>
      </w:r>
      <w:proofErr w:type="spellStart"/>
      <w:r w:rsidRPr="0073056A">
        <w:rPr>
          <w:rFonts w:ascii="Arial" w:hAnsi="Arial" w:cs="Arial"/>
          <w:sz w:val="18"/>
          <w:szCs w:val="18"/>
        </w:rPr>
        <w:t>Investors</w:t>
      </w:r>
      <w:proofErr w:type="spellEnd"/>
      <w:r w:rsidRPr="0073056A">
        <w:rPr>
          <w:rFonts w:ascii="Arial" w:hAnsi="Arial" w:cs="Arial"/>
          <w:sz w:val="18"/>
          <w:szCs w:val="18"/>
        </w:rPr>
        <w:t xml:space="preserve"> </w:t>
      </w:r>
      <w:proofErr w:type="spellStart"/>
      <w:r w:rsidRPr="0073056A">
        <w:rPr>
          <w:rFonts w:ascii="Arial" w:hAnsi="Arial" w:cs="Arial"/>
          <w:sz w:val="18"/>
          <w:szCs w:val="18"/>
        </w:rPr>
        <w:t>Service</w:t>
      </w:r>
      <w:proofErr w:type="spellEnd"/>
      <w:r w:rsidRPr="0073056A">
        <w:rPr>
          <w:rFonts w:ascii="Arial" w:hAnsi="Arial" w:cs="Arial"/>
          <w:sz w:val="18"/>
          <w:szCs w:val="18"/>
        </w:rPr>
        <w:t>, otorgó calificaciones Baa3 y Aa3 al Estado de Tlaxcala, debido a las sólidas prácticas de administración y gobierno que lo han llevado a registrar resultados financieros positivos y posición libre de deuda.</w:t>
      </w:r>
    </w:p>
    <w:p w:rsidR="00587618" w:rsidRPr="0073056A" w:rsidRDefault="00587618" w:rsidP="00C50527">
      <w:pPr>
        <w:tabs>
          <w:tab w:val="left" w:pos="284"/>
          <w:tab w:val="left" w:pos="5271"/>
        </w:tabs>
        <w:ind w:left="284"/>
        <w:jc w:val="both"/>
        <w:rPr>
          <w:rFonts w:ascii="Arial" w:hAnsi="Arial" w:cs="Arial"/>
          <w:sz w:val="18"/>
          <w:szCs w:val="18"/>
        </w:rPr>
      </w:pPr>
      <w:r w:rsidRPr="0073056A">
        <w:rPr>
          <w:rFonts w:ascii="Arial" w:hAnsi="Arial" w:cs="Arial"/>
          <w:b/>
          <w:bCs/>
          <w:color w:val="000000"/>
          <w:sz w:val="18"/>
          <w:szCs w:val="18"/>
        </w:rPr>
        <w:t>Calificaciones de Estados Mexicanos*</w:t>
      </w:r>
    </w:p>
    <w:tbl>
      <w:tblPr>
        <w:tblStyle w:val="Tablaconcuadrcula"/>
        <w:tblW w:w="0" w:type="auto"/>
        <w:jc w:val="center"/>
        <w:tblLook w:val="04A0" w:firstRow="1" w:lastRow="0" w:firstColumn="1" w:lastColumn="0" w:noHBand="0" w:noVBand="1"/>
      </w:tblPr>
      <w:tblGrid>
        <w:gridCol w:w="2101"/>
        <w:gridCol w:w="2128"/>
        <w:gridCol w:w="2129"/>
        <w:gridCol w:w="2129"/>
      </w:tblGrid>
      <w:tr w:rsidR="00587618" w:rsidRPr="0073056A" w:rsidTr="002132B8">
        <w:trPr>
          <w:jc w:val="center"/>
        </w:trPr>
        <w:tc>
          <w:tcPr>
            <w:tcW w:w="2101" w:type="dxa"/>
            <w:shd w:val="pct10" w:color="auto" w:fill="auto"/>
          </w:tcPr>
          <w:p w:rsidR="00587618" w:rsidRPr="0073056A" w:rsidRDefault="00587618" w:rsidP="00C50527">
            <w:pPr>
              <w:tabs>
                <w:tab w:val="left" w:pos="284"/>
                <w:tab w:val="left" w:pos="5271"/>
              </w:tabs>
              <w:spacing w:line="276" w:lineRule="auto"/>
              <w:ind w:left="284"/>
              <w:jc w:val="both"/>
              <w:rPr>
                <w:rFonts w:ascii="Arial" w:hAnsi="Arial" w:cs="Arial"/>
                <w:sz w:val="18"/>
                <w:szCs w:val="18"/>
              </w:rPr>
            </w:pPr>
            <w:r w:rsidRPr="0073056A">
              <w:rPr>
                <w:rFonts w:ascii="Arial" w:hAnsi="Arial" w:cs="Arial"/>
                <w:b/>
                <w:bCs/>
                <w:color w:val="000000"/>
                <w:sz w:val="18"/>
                <w:szCs w:val="18"/>
              </w:rPr>
              <w:t>Emisor</w:t>
            </w:r>
          </w:p>
        </w:tc>
        <w:tc>
          <w:tcPr>
            <w:tcW w:w="2128" w:type="dxa"/>
            <w:shd w:val="pct10" w:color="auto" w:fill="auto"/>
          </w:tcPr>
          <w:p w:rsidR="00587618" w:rsidRPr="0073056A" w:rsidRDefault="00587618" w:rsidP="00C50527">
            <w:pPr>
              <w:tabs>
                <w:tab w:val="left" w:pos="284"/>
                <w:tab w:val="left" w:pos="5271"/>
              </w:tabs>
              <w:spacing w:line="276" w:lineRule="auto"/>
              <w:ind w:left="284"/>
              <w:jc w:val="both"/>
              <w:rPr>
                <w:rFonts w:ascii="Arial" w:hAnsi="Arial" w:cs="Arial"/>
                <w:sz w:val="18"/>
                <w:szCs w:val="18"/>
              </w:rPr>
            </w:pPr>
            <w:r w:rsidRPr="0073056A">
              <w:rPr>
                <w:rFonts w:ascii="Arial" w:hAnsi="Arial" w:cs="Arial"/>
                <w:b/>
                <w:bCs/>
                <w:color w:val="000000"/>
                <w:sz w:val="18"/>
                <w:szCs w:val="18"/>
              </w:rPr>
              <w:t>Calificación En Escala Global</w:t>
            </w:r>
          </w:p>
        </w:tc>
        <w:tc>
          <w:tcPr>
            <w:tcW w:w="2129" w:type="dxa"/>
            <w:shd w:val="pct10" w:color="auto" w:fill="auto"/>
          </w:tcPr>
          <w:p w:rsidR="00587618" w:rsidRPr="0073056A" w:rsidRDefault="00587618" w:rsidP="00C50527">
            <w:pPr>
              <w:tabs>
                <w:tab w:val="left" w:pos="284"/>
                <w:tab w:val="left" w:pos="5271"/>
              </w:tabs>
              <w:spacing w:line="276" w:lineRule="auto"/>
              <w:ind w:left="284"/>
              <w:jc w:val="both"/>
              <w:rPr>
                <w:rFonts w:ascii="Arial" w:hAnsi="Arial" w:cs="Arial"/>
                <w:sz w:val="18"/>
                <w:szCs w:val="18"/>
              </w:rPr>
            </w:pPr>
            <w:r w:rsidRPr="0073056A">
              <w:rPr>
                <w:rFonts w:ascii="Arial" w:hAnsi="Arial" w:cs="Arial"/>
                <w:b/>
                <w:bCs/>
                <w:color w:val="000000"/>
                <w:sz w:val="18"/>
                <w:szCs w:val="18"/>
              </w:rPr>
              <w:t>Calificación En Escala Nacional</w:t>
            </w:r>
          </w:p>
        </w:tc>
        <w:tc>
          <w:tcPr>
            <w:tcW w:w="2129" w:type="dxa"/>
            <w:shd w:val="pct10" w:color="auto" w:fill="auto"/>
          </w:tcPr>
          <w:p w:rsidR="00587618" w:rsidRPr="0073056A" w:rsidRDefault="00587618" w:rsidP="00C50527">
            <w:pPr>
              <w:tabs>
                <w:tab w:val="left" w:pos="284"/>
                <w:tab w:val="left" w:pos="5271"/>
              </w:tabs>
              <w:spacing w:line="276" w:lineRule="auto"/>
              <w:ind w:left="284"/>
              <w:jc w:val="both"/>
              <w:rPr>
                <w:rFonts w:ascii="Arial" w:hAnsi="Arial" w:cs="Arial"/>
                <w:sz w:val="18"/>
                <w:szCs w:val="18"/>
              </w:rPr>
            </w:pPr>
            <w:r w:rsidRPr="0073056A">
              <w:rPr>
                <w:rFonts w:ascii="Arial" w:hAnsi="Arial" w:cs="Arial"/>
                <w:b/>
                <w:bCs/>
                <w:color w:val="000000"/>
                <w:sz w:val="18"/>
                <w:szCs w:val="18"/>
              </w:rPr>
              <w:t>Perspectiva</w:t>
            </w:r>
          </w:p>
        </w:tc>
      </w:tr>
      <w:tr w:rsidR="00587618" w:rsidRPr="0073056A" w:rsidTr="002132B8">
        <w:trPr>
          <w:jc w:val="center"/>
        </w:trPr>
        <w:tc>
          <w:tcPr>
            <w:tcW w:w="2101" w:type="dxa"/>
          </w:tcPr>
          <w:p w:rsidR="00587618" w:rsidRPr="0073056A" w:rsidRDefault="00587618" w:rsidP="00C50527">
            <w:pPr>
              <w:tabs>
                <w:tab w:val="left" w:pos="284"/>
                <w:tab w:val="left" w:pos="5271"/>
              </w:tabs>
              <w:spacing w:line="276" w:lineRule="auto"/>
              <w:ind w:left="284"/>
              <w:jc w:val="both"/>
              <w:rPr>
                <w:rFonts w:ascii="Arial" w:hAnsi="Arial" w:cs="Arial"/>
                <w:sz w:val="18"/>
                <w:szCs w:val="18"/>
              </w:rPr>
            </w:pPr>
            <w:r w:rsidRPr="0073056A">
              <w:rPr>
                <w:rFonts w:ascii="Arial" w:hAnsi="Arial" w:cs="Arial"/>
                <w:sz w:val="18"/>
                <w:szCs w:val="18"/>
              </w:rPr>
              <w:t>Tlaxcala</w:t>
            </w:r>
          </w:p>
        </w:tc>
        <w:tc>
          <w:tcPr>
            <w:tcW w:w="2128" w:type="dxa"/>
          </w:tcPr>
          <w:p w:rsidR="00587618" w:rsidRPr="0073056A" w:rsidRDefault="00587618" w:rsidP="00C50527">
            <w:pPr>
              <w:tabs>
                <w:tab w:val="left" w:pos="284"/>
                <w:tab w:val="left" w:pos="5271"/>
              </w:tabs>
              <w:spacing w:line="276" w:lineRule="auto"/>
              <w:ind w:left="284"/>
              <w:jc w:val="both"/>
              <w:rPr>
                <w:rFonts w:ascii="Arial" w:hAnsi="Arial" w:cs="Arial"/>
                <w:sz w:val="18"/>
                <w:szCs w:val="18"/>
              </w:rPr>
            </w:pPr>
            <w:r w:rsidRPr="0073056A">
              <w:rPr>
                <w:rFonts w:ascii="Arial" w:hAnsi="Arial" w:cs="Arial"/>
                <w:sz w:val="18"/>
                <w:szCs w:val="18"/>
              </w:rPr>
              <w:t>Baa3</w:t>
            </w:r>
          </w:p>
        </w:tc>
        <w:tc>
          <w:tcPr>
            <w:tcW w:w="2129" w:type="dxa"/>
          </w:tcPr>
          <w:p w:rsidR="00587618" w:rsidRPr="0073056A" w:rsidRDefault="00587618" w:rsidP="00C50527">
            <w:pPr>
              <w:tabs>
                <w:tab w:val="left" w:pos="284"/>
                <w:tab w:val="left" w:pos="5271"/>
              </w:tabs>
              <w:spacing w:line="276" w:lineRule="auto"/>
              <w:ind w:left="284"/>
              <w:jc w:val="both"/>
              <w:rPr>
                <w:rFonts w:ascii="Arial" w:hAnsi="Arial" w:cs="Arial"/>
                <w:sz w:val="18"/>
                <w:szCs w:val="18"/>
              </w:rPr>
            </w:pPr>
            <w:r w:rsidRPr="0073056A">
              <w:rPr>
                <w:rFonts w:ascii="Arial" w:hAnsi="Arial" w:cs="Arial"/>
                <w:sz w:val="18"/>
                <w:szCs w:val="18"/>
              </w:rPr>
              <w:t>Aa3.mx</w:t>
            </w:r>
          </w:p>
        </w:tc>
        <w:tc>
          <w:tcPr>
            <w:tcW w:w="2129" w:type="dxa"/>
          </w:tcPr>
          <w:p w:rsidR="00587618" w:rsidRPr="0073056A" w:rsidRDefault="00587618" w:rsidP="00C50527">
            <w:pPr>
              <w:tabs>
                <w:tab w:val="left" w:pos="284"/>
                <w:tab w:val="left" w:pos="5271"/>
              </w:tabs>
              <w:spacing w:line="276" w:lineRule="auto"/>
              <w:ind w:left="284"/>
              <w:jc w:val="both"/>
              <w:rPr>
                <w:rFonts w:ascii="Arial" w:hAnsi="Arial" w:cs="Arial"/>
                <w:sz w:val="18"/>
                <w:szCs w:val="18"/>
              </w:rPr>
            </w:pPr>
            <w:r w:rsidRPr="0073056A">
              <w:rPr>
                <w:rFonts w:ascii="Arial" w:hAnsi="Arial" w:cs="Arial"/>
                <w:sz w:val="18"/>
                <w:szCs w:val="18"/>
              </w:rPr>
              <w:t>Estable</w:t>
            </w:r>
          </w:p>
        </w:tc>
      </w:tr>
    </w:tbl>
    <w:p w:rsidR="00587618" w:rsidRPr="0073056A" w:rsidRDefault="00587618" w:rsidP="002132B8">
      <w:pPr>
        <w:tabs>
          <w:tab w:val="left" w:pos="5271"/>
        </w:tabs>
        <w:ind w:left="2694"/>
        <w:jc w:val="both"/>
        <w:rPr>
          <w:rFonts w:ascii="Arial" w:hAnsi="Arial" w:cs="Arial"/>
          <w:sz w:val="18"/>
          <w:szCs w:val="18"/>
        </w:rPr>
      </w:pPr>
      <w:r w:rsidRPr="0073056A">
        <w:rPr>
          <w:rFonts w:ascii="Arial" w:hAnsi="Arial" w:cs="Arial"/>
          <w:sz w:val="18"/>
          <w:szCs w:val="18"/>
        </w:rPr>
        <w:t xml:space="preserve">*Calificaciones al </w:t>
      </w:r>
      <w:r w:rsidR="005718EC">
        <w:rPr>
          <w:rFonts w:ascii="Arial" w:hAnsi="Arial" w:cs="Arial"/>
          <w:sz w:val="18"/>
          <w:szCs w:val="18"/>
        </w:rPr>
        <w:t>22</w:t>
      </w:r>
      <w:r w:rsidRPr="0073056A">
        <w:rPr>
          <w:rFonts w:ascii="Arial" w:hAnsi="Arial" w:cs="Arial"/>
          <w:sz w:val="18"/>
          <w:szCs w:val="18"/>
        </w:rPr>
        <w:t xml:space="preserve"> de </w:t>
      </w:r>
      <w:r w:rsidR="005718EC">
        <w:rPr>
          <w:rFonts w:ascii="Arial" w:hAnsi="Arial" w:cs="Arial"/>
          <w:sz w:val="18"/>
          <w:szCs w:val="18"/>
        </w:rPr>
        <w:t>Diciembre</w:t>
      </w:r>
      <w:r w:rsidRPr="0073056A">
        <w:rPr>
          <w:rFonts w:ascii="Arial" w:hAnsi="Arial" w:cs="Arial"/>
          <w:sz w:val="18"/>
          <w:szCs w:val="18"/>
        </w:rPr>
        <w:t xml:space="preserve"> de 201</w:t>
      </w:r>
      <w:r w:rsidR="005718EC">
        <w:rPr>
          <w:rFonts w:ascii="Arial" w:hAnsi="Arial" w:cs="Arial"/>
          <w:sz w:val="18"/>
          <w:szCs w:val="18"/>
        </w:rPr>
        <w:t>4.</w:t>
      </w:r>
    </w:p>
    <w:p w:rsidR="00587618" w:rsidRPr="0073056A" w:rsidRDefault="00587618" w:rsidP="00C50527">
      <w:pPr>
        <w:tabs>
          <w:tab w:val="left" w:pos="284"/>
          <w:tab w:val="left" w:pos="5271"/>
        </w:tabs>
        <w:ind w:left="284"/>
        <w:jc w:val="both"/>
        <w:rPr>
          <w:rFonts w:ascii="Arial" w:hAnsi="Arial" w:cs="Arial"/>
          <w:sz w:val="18"/>
          <w:szCs w:val="18"/>
        </w:rPr>
      </w:pPr>
    </w:p>
    <w:p w:rsidR="00574266" w:rsidRPr="0073056A" w:rsidRDefault="00574266" w:rsidP="0073056A">
      <w:pPr>
        <w:pStyle w:val="Texto"/>
        <w:spacing w:after="0" w:line="276" w:lineRule="auto"/>
        <w:rPr>
          <w:szCs w:val="18"/>
        </w:rPr>
      </w:pPr>
    </w:p>
    <w:p w:rsidR="00001107" w:rsidRPr="00661A17" w:rsidRDefault="00BD0CF1" w:rsidP="00540418">
      <w:pPr>
        <w:pStyle w:val="Texto"/>
        <w:spacing w:after="0" w:line="240" w:lineRule="exact"/>
        <w:rPr>
          <w:szCs w:val="18"/>
        </w:rPr>
      </w:pPr>
      <w:r>
        <w:rPr>
          <w:noProof/>
          <w:szCs w:val="18"/>
          <w:lang w:val="es-MX" w:eastAsia="es-MX"/>
        </w:rPr>
        <mc:AlternateContent>
          <mc:Choice Requires="wpc">
            <w:drawing>
              <wp:anchor distT="0" distB="0" distL="114300" distR="114300" simplePos="0" relativeHeight="251668480" behindDoc="0" locked="0" layoutInCell="1" allowOverlap="1">
                <wp:simplePos x="0" y="0"/>
                <wp:positionH relativeFrom="column">
                  <wp:posOffset>47625</wp:posOffset>
                </wp:positionH>
                <wp:positionV relativeFrom="paragraph">
                  <wp:posOffset>226695</wp:posOffset>
                </wp:positionV>
                <wp:extent cx="9305290" cy="1177290"/>
                <wp:effectExtent l="0" t="0" r="29210" b="3810"/>
                <wp:wrapNone/>
                <wp:docPr id="12" name="Lienzo 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Rectangle 33"/>
                        <wps:cNvSpPr>
                          <a:spLocks noChangeArrowheads="1"/>
                        </wps:cNvSpPr>
                        <wps:spPr bwMode="auto">
                          <a:xfrm>
                            <a:off x="0" y="0"/>
                            <a:ext cx="929513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4"/>
                        <wps:cNvSpPr>
                          <a:spLocks noChangeArrowheads="1"/>
                        </wps:cNvSpPr>
                        <wps:spPr bwMode="auto">
                          <a:xfrm>
                            <a:off x="30480" y="9525"/>
                            <a:ext cx="726186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4B2" w:rsidRDefault="002964B2">
                              <w:r w:rsidRPr="007B7847">
                                <w:rPr>
                                  <w:rFonts w:ascii="Arial" w:hAnsi="Arial" w:cs="Arial"/>
                                  <w:color w:val="000000"/>
                                  <w:sz w:val="18"/>
                                  <w:szCs w:val="18"/>
                                </w:rPr>
                                <w:t>Bajo protesta de decir verdad declaramos que los Estados Financieros y sus Notas son razonablemente correctos y responsabilidad del emisor</w:t>
                              </w:r>
                            </w:p>
                          </w:txbxContent>
                        </wps:txbx>
                        <wps:bodyPr rot="0" vert="horz" wrap="none" lIns="0" tIns="0" rIns="0" bIns="0" anchor="t" anchorCtr="0">
                          <a:spAutoFit/>
                        </wps:bodyPr>
                      </wps:wsp>
                      <wps:wsp>
                        <wps:cNvPr id="14" name="Rectangle 35"/>
                        <wps:cNvSpPr>
                          <a:spLocks noChangeArrowheads="1"/>
                        </wps:cNvSpPr>
                        <wps:spPr bwMode="auto">
                          <a:xfrm>
                            <a:off x="440690"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4B2" w:rsidRDefault="002964B2"/>
                          </w:txbxContent>
                        </wps:txbx>
                        <wps:bodyPr rot="0" vert="horz" wrap="none" lIns="0" tIns="0" rIns="0" bIns="0" anchor="t" anchorCtr="0">
                          <a:spAutoFit/>
                        </wps:bodyPr>
                      </wps:wsp>
                      <wps:wsp>
                        <wps:cNvPr id="15" name="Rectangle 36"/>
                        <wps:cNvSpPr>
                          <a:spLocks noChangeArrowheads="1"/>
                        </wps:cNvSpPr>
                        <wps:spPr bwMode="auto">
                          <a:xfrm>
                            <a:off x="5216525" y="406400"/>
                            <a:ext cx="8191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4B2" w:rsidRDefault="002964B2"/>
                          </w:txbxContent>
                        </wps:txbx>
                        <wps:bodyPr rot="0" vert="horz" wrap="none" lIns="0" tIns="0" rIns="0" bIns="0" anchor="t" anchorCtr="0">
                          <a:spAutoFit/>
                        </wps:bodyPr>
                      </wps:wsp>
                      <wps:wsp>
                        <wps:cNvPr id="16" name="Rectangle 37"/>
                        <wps:cNvSpPr>
                          <a:spLocks noChangeArrowheads="1"/>
                        </wps:cNvSpPr>
                        <wps:spPr bwMode="auto">
                          <a:xfrm>
                            <a:off x="1311910" y="591185"/>
                            <a:ext cx="1372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4B2" w:rsidRDefault="002964B2">
                              <w:r>
                                <w:rPr>
                                  <w:rFonts w:ascii="Arial" w:hAnsi="Arial" w:cs="Arial"/>
                                  <w:color w:val="000000"/>
                                  <w:sz w:val="18"/>
                                  <w:szCs w:val="18"/>
                                  <w:lang w:val="en-US"/>
                                </w:rPr>
                                <w:t>C.P. Jorge Valdés Aguilera</w:t>
                              </w:r>
                            </w:p>
                          </w:txbxContent>
                        </wps:txbx>
                        <wps:bodyPr rot="0" vert="horz" wrap="none" lIns="0" tIns="0" rIns="0" bIns="0" anchor="t" anchorCtr="0">
                          <a:spAutoFit/>
                        </wps:bodyPr>
                      </wps:wsp>
                      <wps:wsp>
                        <wps:cNvPr id="17" name="Rectangle 38"/>
                        <wps:cNvSpPr>
                          <a:spLocks noChangeArrowheads="1"/>
                        </wps:cNvSpPr>
                        <wps:spPr bwMode="auto">
                          <a:xfrm>
                            <a:off x="5954395" y="591185"/>
                            <a:ext cx="16268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4B2" w:rsidRDefault="002964B2">
                              <w:r>
                                <w:rPr>
                                  <w:rFonts w:ascii="Arial" w:hAnsi="Arial" w:cs="Arial"/>
                                  <w:color w:val="000000"/>
                                  <w:sz w:val="18"/>
                                  <w:szCs w:val="18"/>
                                  <w:lang w:val="en-US"/>
                                </w:rPr>
                                <w:t>C.P. Araceli Hernández Amador</w:t>
                              </w:r>
                            </w:p>
                          </w:txbxContent>
                        </wps:txbx>
                        <wps:bodyPr rot="0" vert="horz" wrap="none" lIns="0" tIns="0" rIns="0" bIns="0" anchor="t" anchorCtr="0">
                          <a:spAutoFit/>
                        </wps:bodyPr>
                      </wps:wsp>
                      <wps:wsp>
                        <wps:cNvPr id="18" name="Rectangle 39"/>
                        <wps:cNvSpPr>
                          <a:spLocks noChangeArrowheads="1"/>
                        </wps:cNvSpPr>
                        <wps:spPr bwMode="auto">
                          <a:xfrm>
                            <a:off x="5216525" y="748030"/>
                            <a:ext cx="331089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4B2" w:rsidRDefault="002964B2"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w:t>
                              </w:r>
                              <w:r>
                                <w:rPr>
                                  <w:rFonts w:ascii="Arial" w:hAnsi="Arial" w:cs="Arial"/>
                                  <w:color w:val="000000"/>
                                  <w:sz w:val="18"/>
                                  <w:szCs w:val="18"/>
                                </w:rPr>
                                <w:t>Contabilidad Gubernamental y Coordinación hacendaria</w:t>
                              </w:r>
                            </w:p>
                          </w:txbxContent>
                        </wps:txbx>
                        <wps:bodyPr rot="0" vert="horz" wrap="square" lIns="0" tIns="0" rIns="0" bIns="0" anchor="t" anchorCtr="0">
                          <a:spAutoFit/>
                        </wps:bodyPr>
                      </wps:wsp>
                      <wps:wsp>
                        <wps:cNvPr id="19" name="Rectangle 41"/>
                        <wps:cNvSpPr>
                          <a:spLocks noChangeArrowheads="1"/>
                        </wps:cNvSpPr>
                        <wps:spPr bwMode="auto">
                          <a:xfrm>
                            <a:off x="1014730" y="748030"/>
                            <a:ext cx="189357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4B2" w:rsidRDefault="002964B2">
                              <w:r w:rsidRPr="007B7847">
                                <w:rPr>
                                  <w:rFonts w:ascii="Arial" w:hAnsi="Arial" w:cs="Arial"/>
                                  <w:color w:val="000000"/>
                                  <w:sz w:val="18"/>
                                  <w:szCs w:val="18"/>
                                </w:rPr>
                                <w:t>Secretario de Planeación y Finanzas.</w:t>
                              </w:r>
                            </w:p>
                          </w:txbxContent>
                        </wps:txbx>
                        <wps:bodyPr rot="0" vert="horz" wrap="none" lIns="0" tIns="0" rIns="0" bIns="0" anchor="t" anchorCtr="0">
                          <a:spAutoFit/>
                        </wps:bodyPr>
                      </wps:wsp>
                      <wps:wsp>
                        <wps:cNvPr id="26" name="Rectangle 42"/>
                        <wps:cNvSpPr>
                          <a:spLocks noChangeArrowheads="1"/>
                        </wps:cNvSpPr>
                        <wps:spPr bwMode="auto">
                          <a:xfrm>
                            <a:off x="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3"/>
                        <wps:cNvSpPr>
                          <a:spLocks noChangeArrowheads="1"/>
                        </wps:cNvSpPr>
                        <wps:spPr bwMode="auto">
                          <a:xfrm>
                            <a:off x="18415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4"/>
                        <wps:cNvSpPr>
                          <a:spLocks noChangeArrowheads="1"/>
                        </wps:cNvSpPr>
                        <wps:spPr bwMode="auto">
                          <a:xfrm>
                            <a:off x="4102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5"/>
                        <wps:cNvSpPr>
                          <a:spLocks noChangeArrowheads="1"/>
                        </wps:cNvSpPr>
                        <wps:spPr bwMode="auto">
                          <a:xfrm>
                            <a:off x="12299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6"/>
                        <wps:cNvSpPr>
                          <a:spLocks noChangeArrowheads="1"/>
                        </wps:cNvSpPr>
                        <wps:spPr bwMode="auto">
                          <a:xfrm>
                            <a:off x="204978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7"/>
                        <wps:cNvSpPr>
                          <a:spLocks noChangeArrowheads="1"/>
                        </wps:cNvSpPr>
                        <wps:spPr bwMode="auto">
                          <a:xfrm>
                            <a:off x="286956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48"/>
                        <wps:cNvSpPr>
                          <a:spLocks noChangeArrowheads="1"/>
                        </wps:cNvSpPr>
                        <wps:spPr bwMode="auto">
                          <a:xfrm>
                            <a:off x="368935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49"/>
                        <wps:cNvSpPr>
                          <a:spLocks noChangeArrowheads="1"/>
                        </wps:cNvSpPr>
                        <wps:spPr bwMode="auto">
                          <a:xfrm>
                            <a:off x="39350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0"/>
                        <wps:cNvSpPr>
                          <a:spLocks noChangeArrowheads="1"/>
                        </wps:cNvSpPr>
                        <wps:spPr bwMode="auto">
                          <a:xfrm>
                            <a:off x="423227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45605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2"/>
                        <wps:cNvSpPr>
                          <a:spLocks noChangeArrowheads="1"/>
                        </wps:cNvSpPr>
                        <wps:spPr bwMode="auto">
                          <a:xfrm>
                            <a:off x="518541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600519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4"/>
                        <wps:cNvSpPr>
                          <a:spLocks noChangeArrowheads="1"/>
                        </wps:cNvSpPr>
                        <wps:spPr bwMode="auto">
                          <a:xfrm>
                            <a:off x="6824980" y="0"/>
                            <a:ext cx="1079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5"/>
                        <wps:cNvSpPr>
                          <a:spLocks noChangeArrowheads="1"/>
                        </wps:cNvSpPr>
                        <wps:spPr bwMode="auto">
                          <a:xfrm>
                            <a:off x="764540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56"/>
                        <wps:cNvSpPr>
                          <a:spLocks noChangeArrowheads="1"/>
                        </wps:cNvSpPr>
                        <wps:spPr bwMode="auto">
                          <a:xfrm>
                            <a:off x="8465185"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7"/>
                        <wps:cNvSpPr>
                          <a:spLocks noChangeArrowheads="1"/>
                        </wps:cNvSpPr>
                        <wps:spPr bwMode="auto">
                          <a:xfrm>
                            <a:off x="9284970" y="0"/>
                            <a:ext cx="1016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58"/>
                        <wps:cNvCnPr>
                          <a:cxnSpLocks noChangeShapeType="1"/>
                        </wps:cNvCnPr>
                        <wps:spPr bwMode="auto">
                          <a:xfrm>
                            <a:off x="410210" y="554355"/>
                            <a:ext cx="32893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59"/>
                        <wps:cNvSpPr>
                          <a:spLocks noChangeArrowheads="1"/>
                        </wps:cNvSpPr>
                        <wps:spPr bwMode="auto">
                          <a:xfrm>
                            <a:off x="410210" y="554355"/>
                            <a:ext cx="32893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60"/>
                        <wps:cNvCnPr>
                          <a:cxnSpLocks noChangeShapeType="1"/>
                        </wps:cNvCnPr>
                        <wps:spPr bwMode="auto">
                          <a:xfrm>
                            <a:off x="5185410" y="554355"/>
                            <a:ext cx="328993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61"/>
                        <wps:cNvSpPr>
                          <a:spLocks noChangeArrowheads="1"/>
                        </wps:cNvSpPr>
                        <wps:spPr bwMode="auto">
                          <a:xfrm>
                            <a:off x="5185410" y="554355"/>
                            <a:ext cx="32899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62"/>
                        <wps:cNvCnPr>
                          <a:cxnSpLocks noChangeShapeType="1"/>
                        </wps:cNvCnPr>
                        <wps:spPr bwMode="auto">
                          <a:xfrm>
                            <a:off x="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7" name="Rectangle 63"/>
                        <wps:cNvSpPr>
                          <a:spLocks noChangeArrowheads="1"/>
                        </wps:cNvSpPr>
                        <wps:spPr bwMode="auto">
                          <a:xfrm>
                            <a:off x="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64"/>
                        <wps:cNvCnPr>
                          <a:cxnSpLocks noChangeShapeType="1"/>
                        </wps:cNvCnPr>
                        <wps:spPr bwMode="auto">
                          <a:xfrm>
                            <a:off x="1841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49" name="Rectangle 65"/>
                        <wps:cNvSpPr>
                          <a:spLocks noChangeArrowheads="1"/>
                        </wps:cNvSpPr>
                        <wps:spPr bwMode="auto">
                          <a:xfrm>
                            <a:off x="18415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6"/>
                        <wps:cNvCnPr>
                          <a:cxnSpLocks noChangeShapeType="1"/>
                        </wps:cNvCnPr>
                        <wps:spPr bwMode="auto">
                          <a:xfrm>
                            <a:off x="4102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1" name="Rectangle 67"/>
                        <wps:cNvSpPr>
                          <a:spLocks noChangeArrowheads="1"/>
                        </wps:cNvSpPr>
                        <wps:spPr bwMode="auto">
                          <a:xfrm>
                            <a:off x="4102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8"/>
                        <wps:cNvCnPr>
                          <a:cxnSpLocks noChangeShapeType="1"/>
                        </wps:cNvCnPr>
                        <wps:spPr bwMode="auto">
                          <a:xfrm>
                            <a:off x="12299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9"/>
                        <wps:cNvSpPr>
                          <a:spLocks noChangeArrowheads="1"/>
                        </wps:cNvSpPr>
                        <wps:spPr bwMode="auto">
                          <a:xfrm>
                            <a:off x="12299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70"/>
                        <wps:cNvCnPr>
                          <a:cxnSpLocks noChangeShapeType="1"/>
                        </wps:cNvCnPr>
                        <wps:spPr bwMode="auto">
                          <a:xfrm>
                            <a:off x="20497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71"/>
                        <wps:cNvSpPr>
                          <a:spLocks noChangeArrowheads="1"/>
                        </wps:cNvSpPr>
                        <wps:spPr bwMode="auto">
                          <a:xfrm>
                            <a:off x="204978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2"/>
                        <wps:cNvCnPr>
                          <a:cxnSpLocks noChangeShapeType="1"/>
                        </wps:cNvCnPr>
                        <wps:spPr bwMode="auto">
                          <a:xfrm>
                            <a:off x="286956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73"/>
                        <wps:cNvSpPr>
                          <a:spLocks noChangeArrowheads="1"/>
                        </wps:cNvSpPr>
                        <wps:spPr bwMode="auto">
                          <a:xfrm>
                            <a:off x="286956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4"/>
                        <wps:cNvCnPr>
                          <a:cxnSpLocks noChangeShapeType="1"/>
                        </wps:cNvCnPr>
                        <wps:spPr bwMode="auto">
                          <a:xfrm>
                            <a:off x="368935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75"/>
                        <wps:cNvSpPr>
                          <a:spLocks noChangeArrowheads="1"/>
                        </wps:cNvSpPr>
                        <wps:spPr bwMode="auto">
                          <a:xfrm>
                            <a:off x="368935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76"/>
                        <wps:cNvCnPr>
                          <a:cxnSpLocks noChangeShapeType="1"/>
                        </wps:cNvCnPr>
                        <wps:spPr bwMode="auto">
                          <a:xfrm>
                            <a:off x="39350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77"/>
                        <wps:cNvSpPr>
                          <a:spLocks noChangeArrowheads="1"/>
                        </wps:cNvSpPr>
                        <wps:spPr bwMode="auto">
                          <a:xfrm>
                            <a:off x="39350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78"/>
                        <wps:cNvCnPr>
                          <a:cxnSpLocks noChangeShapeType="1"/>
                        </wps:cNvCnPr>
                        <wps:spPr bwMode="auto">
                          <a:xfrm>
                            <a:off x="423227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79"/>
                        <wps:cNvSpPr>
                          <a:spLocks noChangeArrowheads="1"/>
                        </wps:cNvSpPr>
                        <wps:spPr bwMode="auto">
                          <a:xfrm>
                            <a:off x="423227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80"/>
                        <wps:cNvCnPr>
                          <a:cxnSpLocks noChangeShapeType="1"/>
                        </wps:cNvCnPr>
                        <wps:spPr bwMode="auto">
                          <a:xfrm>
                            <a:off x="45605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81"/>
                        <wps:cNvSpPr>
                          <a:spLocks noChangeArrowheads="1"/>
                        </wps:cNvSpPr>
                        <wps:spPr bwMode="auto">
                          <a:xfrm>
                            <a:off x="45605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82"/>
                        <wps:cNvCnPr>
                          <a:cxnSpLocks noChangeShapeType="1"/>
                        </wps:cNvCnPr>
                        <wps:spPr bwMode="auto">
                          <a:xfrm>
                            <a:off x="518541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83"/>
                        <wps:cNvSpPr>
                          <a:spLocks noChangeArrowheads="1"/>
                        </wps:cNvSpPr>
                        <wps:spPr bwMode="auto">
                          <a:xfrm>
                            <a:off x="518541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4"/>
                        <wps:cNvCnPr>
                          <a:cxnSpLocks noChangeShapeType="1"/>
                        </wps:cNvCnPr>
                        <wps:spPr bwMode="auto">
                          <a:xfrm>
                            <a:off x="600519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85"/>
                        <wps:cNvSpPr>
                          <a:spLocks noChangeArrowheads="1"/>
                        </wps:cNvSpPr>
                        <wps:spPr bwMode="auto">
                          <a:xfrm>
                            <a:off x="600519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86"/>
                        <wps:cNvCnPr>
                          <a:cxnSpLocks noChangeShapeType="1"/>
                        </wps:cNvCnPr>
                        <wps:spPr bwMode="auto">
                          <a:xfrm>
                            <a:off x="682498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87"/>
                        <wps:cNvSpPr>
                          <a:spLocks noChangeArrowheads="1"/>
                        </wps:cNvSpPr>
                        <wps:spPr bwMode="auto">
                          <a:xfrm>
                            <a:off x="6824980" y="1117600"/>
                            <a:ext cx="1079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88"/>
                        <wps:cNvCnPr>
                          <a:cxnSpLocks noChangeShapeType="1"/>
                        </wps:cNvCnPr>
                        <wps:spPr bwMode="auto">
                          <a:xfrm>
                            <a:off x="764540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89"/>
                        <wps:cNvSpPr>
                          <a:spLocks noChangeArrowheads="1"/>
                        </wps:cNvSpPr>
                        <wps:spPr bwMode="auto">
                          <a:xfrm>
                            <a:off x="764540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90"/>
                        <wps:cNvCnPr>
                          <a:cxnSpLocks noChangeShapeType="1"/>
                        </wps:cNvCnPr>
                        <wps:spPr bwMode="auto">
                          <a:xfrm>
                            <a:off x="8465185"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91"/>
                        <wps:cNvSpPr>
                          <a:spLocks noChangeArrowheads="1"/>
                        </wps:cNvSpPr>
                        <wps:spPr bwMode="auto">
                          <a:xfrm>
                            <a:off x="8465185"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92"/>
                        <wps:cNvCnPr>
                          <a:cxnSpLocks noChangeShapeType="1"/>
                        </wps:cNvCnPr>
                        <wps:spPr bwMode="auto">
                          <a:xfrm>
                            <a:off x="9284970" y="111760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93"/>
                        <wps:cNvSpPr>
                          <a:spLocks noChangeArrowheads="1"/>
                        </wps:cNvSpPr>
                        <wps:spPr bwMode="auto">
                          <a:xfrm>
                            <a:off x="9284970" y="111760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94"/>
                        <wps:cNvCnPr>
                          <a:cxnSpLocks noChangeShapeType="1"/>
                        </wps:cNvCnPr>
                        <wps:spPr bwMode="auto">
                          <a:xfrm>
                            <a:off x="9295130" y="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95"/>
                        <wps:cNvSpPr>
                          <a:spLocks noChangeArrowheads="1"/>
                        </wps:cNvSpPr>
                        <wps:spPr bwMode="auto">
                          <a:xfrm>
                            <a:off x="9295130" y="0"/>
                            <a:ext cx="1016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96"/>
                        <wps:cNvCnPr>
                          <a:cxnSpLocks noChangeShapeType="1"/>
                        </wps:cNvCnPr>
                        <wps:spPr bwMode="auto">
                          <a:xfrm>
                            <a:off x="9295130" y="18478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97"/>
                        <wps:cNvSpPr>
                          <a:spLocks noChangeArrowheads="1"/>
                        </wps:cNvSpPr>
                        <wps:spPr bwMode="auto">
                          <a:xfrm>
                            <a:off x="9295130" y="18478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98"/>
                        <wps:cNvCnPr>
                          <a:cxnSpLocks noChangeShapeType="1"/>
                        </wps:cNvCnPr>
                        <wps:spPr bwMode="auto">
                          <a:xfrm>
                            <a:off x="9295130" y="36957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99"/>
                        <wps:cNvSpPr>
                          <a:spLocks noChangeArrowheads="1"/>
                        </wps:cNvSpPr>
                        <wps:spPr bwMode="auto">
                          <a:xfrm>
                            <a:off x="9295130" y="36957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100"/>
                        <wps:cNvCnPr>
                          <a:cxnSpLocks noChangeShapeType="1"/>
                        </wps:cNvCnPr>
                        <wps:spPr bwMode="auto">
                          <a:xfrm>
                            <a:off x="9295130" y="55435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101"/>
                        <wps:cNvSpPr>
                          <a:spLocks noChangeArrowheads="1"/>
                        </wps:cNvSpPr>
                        <wps:spPr bwMode="auto">
                          <a:xfrm>
                            <a:off x="9295130" y="55435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102"/>
                        <wps:cNvCnPr>
                          <a:cxnSpLocks noChangeShapeType="1"/>
                        </wps:cNvCnPr>
                        <wps:spPr bwMode="auto">
                          <a:xfrm>
                            <a:off x="9295130" y="73914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103"/>
                        <wps:cNvSpPr>
                          <a:spLocks noChangeArrowheads="1"/>
                        </wps:cNvSpPr>
                        <wps:spPr bwMode="auto">
                          <a:xfrm>
                            <a:off x="9295130" y="73914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104"/>
                        <wps:cNvCnPr>
                          <a:cxnSpLocks noChangeShapeType="1"/>
                        </wps:cNvCnPr>
                        <wps:spPr bwMode="auto">
                          <a:xfrm>
                            <a:off x="9295130" y="92392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105"/>
                        <wps:cNvSpPr>
                          <a:spLocks noChangeArrowheads="1"/>
                        </wps:cNvSpPr>
                        <wps:spPr bwMode="auto">
                          <a:xfrm>
                            <a:off x="9295130" y="923925"/>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106"/>
                        <wps:cNvCnPr>
                          <a:cxnSpLocks noChangeShapeType="1"/>
                        </wps:cNvCnPr>
                        <wps:spPr bwMode="auto">
                          <a:xfrm>
                            <a:off x="9295130" y="1108710"/>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107"/>
                        <wps:cNvSpPr>
                          <a:spLocks noChangeArrowheads="1"/>
                        </wps:cNvSpPr>
                        <wps:spPr bwMode="auto">
                          <a:xfrm>
                            <a:off x="9295130" y="1108710"/>
                            <a:ext cx="10160" cy="889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2" o:spid="_x0000_s1034" editas="canvas" style="position:absolute;left:0;text-align:left;margin-left:3.75pt;margin-top:17.85pt;width:732.7pt;height:92.7pt;z-index:251668480;mso-position-horizontal-relative:text;mso-position-vertical-relative:text" coordsize="93052,11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EDrGgsAAAPxAAAOAAAAZHJzL2Uyb0RvYy54bWzsXW1vo0gS/n7S/QfE94xp3tsaZ5W1x6eT&#10;5vZGN3s/gNg4RoeBBRJndrX//aq7DW7iJkwmcWdDKlIS/IZ5qaqnqp6q6o8/3e9S4y4uqyTPZib5&#10;YJlGnK3ydZLdzMz//rq8CE2jqqNsHaV5Fs/Mb3Fl/nT597993BfT2M63ebqOSwN2klXTfTEzt3Vd&#10;TCeTarWNd1H1IS/iDF7c5OUuquFheTNZl9Ee9r5LJ7Zl+ZN9Xq6LMl/FVQXPLsSL5iXf/2YTr+p/&#10;bzZVXBvpzIRjq/nfkv+9Zn8nlx+j6U0ZFdtkdTiM6AeOYhclGXxpu6tFVEfGbZmc7GqXrMq8yjf1&#10;h1W+m+SbTbKK+TnA2RDrwdnMo+wuqvjJrODqNAcIWy+43+sbdtxZvkzSFK7GBPY+Zc+x/3u4PzE8&#10;uS/g7lRFe5+q533/121UxPy0qunql7svpZGsZ2ZgGlm0Axn5D9y1KLtJY8Nx2A1i3w5v+1p8Kdmh&#10;VsXnfPW/ysjy+RbeFl+VZb7fxtEajoqw98MpSB9gDyr4qHG9/1e+ht1Ht3XO79X9ptyxHcJdMO65&#10;SHxrRSK+r40VPElt6hEHJGcFrxFCAt/iQjOJps3Hi7Kq/xHnO4NtzMwSjp7vPrr7XNXscKJp8xZ+&#10;+HmarNnF5g/Km+t5Whp3Ecjnkv/wM4CzlN+WZuzNx3sUTcUzcJTwHew1drxc3v6gxHatn216sfTD&#10;4MJdut4FDazwwiL0Z+pbLnUXyz/ZARJ3uk3W6zj7nGRxI/vE/b5be9BCIbVc+o09XC3P9vi5d46+&#10;kk/S4j+qk9wlNZiCNNnNzLB9UzRld/ZTtoYLGU3rKEnF9qR7+PwqwzVo/vOrwuWA3XohQtf5+huI&#10;QZnDTYIbCkYLNrZ5+btp7MEAzMzqt9uojE0j/WcGokSJ6zKLwR+4XmDDg1J+5Vp+JcpWsKuZWZuG&#10;2JzXwsrcFmVys4VvIvzCZPkViN8m4YLBRFMc1UFoQcc0KRtxFNrmatQ2x3JDuKKgVVxo+O1tlC6w&#10;fRL68CpTOjsImQIKRfpBnWs1p1Gc9glQzkdUyaKfwk+he+Ha/qcL11osLq6Wc/fCX5LAWziL+XxB&#10;uqrE9Pr5qsREvV+D+syEpBLCvMC5cZVA68Bs8IB1qO+v7zkM0UYJBu1FBh5NYy1aS9FaCdgQFgI2&#10;+qwDv9EFswjL17cIrsIieM3F0IC/YG59ChcLdB62XIGzQnYZEoeEEk+YBMd2bNhGkzDkOaBJeI7D&#10;0JoEwuHniNaP+BAjswmgcCc+ua/RJng28ZlPiUYhbgJfyeVGP4H7+x1X6dxRxNEo8FjzPRoFX2EU&#10;Ao1GgTgEfAHhKXiUkJC7AkdPgTiBHQbwOoYPT8gyoK/wMr6C3WjCe4sfVPm7sLkYGuIHj3quQ4Wv&#10;oDQLvg0ZMTQLT0s+oll4GbPQZrLfm1kAAugkhGhzLDrMghRCBJBzFLnEo7fgOMQKWd6BeQuuTW1I&#10;PGJmATML56QijkFEm3IfNAtddgLkVTATsCFYCdh4W/lGemoY3Dam0mAYiEXcgFF7oPcqw0BC6njo&#10;LzyRrER/4WX8hTbzPmgYxpVytBXZBbeNqTSYBWEQuA9wdBLAVjR8pO88k3nopKs63PjiajFfLA7e&#10;R+dtWACABQBSWdSTqojU1Ta2Ilx32yBFg56R0CVej7IFLIxn/jgqGy8Qw2qbg297qMPp49ONv2i1&#10;ja0Igt3W9degbC6x7EPGHJHtWF6qtKOobG9c2VSBZetOa1A2YtuUHhLRqG2obaMuJGUJlIf5XVdn&#10;iYgNJc3BoZQUtQ21bdzaRhTaprP2wg596vmCZEVtQ20bt7bZCm3TWdLg+IyD6EmSYEay20WHcdvb&#10;jtug2e/Uk9RZKeAwXcO4DRsA30MDoKNo9wGkgcoXVtKsIUviQhOPHaAn+bDlHXOSUIY1tnZb4IxP&#10;sM3TWezier7Fi1mAVMO4DeO2ccdtihoST2cNiQc9KUC58dIy1DbUtnFrm6KSxNNZSQIjWTyCcRvG&#10;be8iblOUkng6S0n80HZpH9+GhVuYk2waEg4DlN70mCRHUUvi6awlCXzXY6NQWJMCepLoSY7ak2Tz&#10;1h7Wkng6a0lC12ehG2rbgzGcmJMcYU4Smu1OtU1nLQm1QyjdQmxDBkAeqznSgZvQw3bQNj5u1ZPL&#10;SOaZmGy7us++Phhuy5t3fv1WwNzazmxb8RFG1X3XbFup/t+DKRnChT22tzk21JkwL5P13HA3EwYm&#10;9szaTGFaLB9l2jPfth2tySZrsqGw1g9PhC3z28Pg174hsH/R4Z3tNejthhUDKfvH1LIJBOzu6psI&#10;C81fp3Cgs/ziKTIasokNz5rS0Gmv7HRh9k8oxi5M7MJ82S5MaAKTUUGMHjkUYJwfFWSaqg8WoCYK&#10;YeGFZjq/SVhQVC74OisXniSkiAtiRQmshX3btbDQQdXBBbl44fy4IEJyabWLY6TAGvK/rzP/xeOE&#10;/ukYGCfojBMUdL+vk+5/RDqlMS3NqhL9geyPL9TSL4kYIWCE8MIRQsv387yRL1P950cCaUgLwsHZ&#10;13x5k/GBgiGH/lB9fQRDIkqstigFMQGjgzFUpbCOUMGTC0yQKfLzY4KUp0VMQExQrOQInS0nVIKv&#10;k1keElGME07WIMWM0dvOGEF/SwcT9PLL8sgrBAUEBRUoKPhlXye/PCijiAqICiNb5hc6Q2RUgGK7&#10;Y2B+/khBHs2GqICooEIFBb0c6KSXB2UUUQFRYWyo0GWXA73ssjxCEFEBUUGFCgqOOdDJMQ/KKKIC&#10;osLYUKHLNAd6mWZ51CWiAqKCChUUVDMMkDtGtF8L0UdTPWiiuSrLfM9aSKoHXTTiA9/dRTMoo4gK&#10;iAojQwW27JnENQd6uWZ5JCuiAqKCAhWgGeGEbA50ks2DMoqogKgwNlToss2BXrZZHh2MqICooEIF&#10;Bdsc6GSbB2UUUQFRYWyo0GWbYUjgMTY/P9ssj7hGVEBUUKGCgm0OdbLNgzKKqICoMDZU6LLNoV62&#10;WR4fgKiAqKBCBQXbHOpkmwdlFFEBUWFsqNBlm0O9bLO8ZACiAqKCChUUbDOMBj5GtOdmmwdlFFEB&#10;UWFkqMCmAUtsc6iXbZaXtkBUQFRQoAL0JpywzaFOtnlQRnHeBaLC2FChyzaHetlmeQkWRAVEBRUq&#10;KNjmUCfbPCijGCsgKowNFbpssxgIr212trxUEKICooIKFRRsM9XJNg/KKKICosLYUKHLNlO9bLO8&#10;pBWiAqKCChUUbDPVyTYPyiiiAqLC2FChyzZTvWwztalHHDG3ntfE4noKlx8j4k63yXodZ8skfccL&#10;7EBXwgmjQHXyzI9IJyIBIsHIkACaEmSGmeplmGVdg8H1gSgoQThAOLj7UhrJemZCO8IpHOgkmIdE&#10;VMKEc662hmvsxKWRJjuQCL4gKSs8i6Z96+C2vhRbEACWjuUWpfnfv8qsUeY1W6DXuItL2Njm5e+m&#10;sS+jYmZWv91GZWwa6TtYmxlaEjqYoJdflhXO8aknhrQiJiAmtJigoJepTnp5SEQREzBOGFuc0GWX&#10;iaW3mVnWONXSzLgO53vPG0HoeBIogB3W2KAwJKOICogKY0OFLrtMLN308pFICBxYyg7ZhPmC/Gli&#10;qNCGCgp2mVh66eXHZRRRAVFhbKjQZZeJ9Xr0MrUdanP2EBNIiAotKig4ZmK9FsmsklFEBUSFkaEC&#10;NCTIrAKxXpFqJlYYEAwWMFgoqunqlwYWoBlBkUJ6NbJZJaSIC4gL+nBhsi9WU/jlzPkN8ODbZLWI&#10;6kh+DNv7Yhrb+TZP13F5+X8AAAD//wMAUEsDBBQABgAIAAAAIQCRkp+24QAAAAkBAAAPAAAAZHJz&#10;L2Rvd25yZXYueG1sTI9PT4NAFMTvJn6HzTPxZhdQpCKPxjTxoKYm/aOJty08gZR9S9iFUj+925Me&#10;JzOZ+U22mHQrRuptYxghnAUgiAtTNlwh7LbPN3MQ1ikuVWuYEE5kYZFfXmQqLc2R1zRuXCV8CdtU&#10;IdTOdamUtqhJKzszHbH3vk2vlfOyr2TZq6Mv162MguBeatWwX6hVR8uaisNm0AhrM66+lqcX+nmb&#10;V6/D50csD+8x4vXV9PQIwtHk/sJwxvfokHumvRm4tKJFSGIfRLiNExBn+y6JHkDsEaIoDEHmmfz/&#10;IP8FAAD//wMAUEsBAi0AFAAGAAgAAAAhALaDOJL+AAAA4QEAABMAAAAAAAAAAAAAAAAAAAAAAFtD&#10;b250ZW50X1R5cGVzXS54bWxQSwECLQAUAAYACAAAACEAOP0h/9YAAACUAQAACwAAAAAAAAAAAAAA&#10;AAAvAQAAX3JlbHMvLnJlbHNQSwECLQAUAAYACAAAACEAtCxA6xoLAAAD8QAADgAAAAAAAAAAAAAA&#10;AAAuAgAAZHJzL2Uyb0RvYy54bWxQSwECLQAUAAYACAAAACEAkZKftuEAAAAJAQAADwAAAAAAAAAA&#10;AAAAAAB0DQAAZHJzL2Rvd25yZXYueG1sUEsFBgAAAAAEAAQA8wAAAIIOAAAAAA==&#10;">
                <v:shape id="_x0000_s1035" type="#_x0000_t75" style="position:absolute;width:93052;height:11772;visibility:visible;mso-wrap-style:square">
                  <v:fill o:detectmouseclick="t"/>
                  <v:path o:connecttype="none"/>
                </v:shape>
                <v:rect id="Rectangle 33" o:spid="_x0000_s1036" style="position:absolute;width:92951;height:11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rect id="Rectangle 34" o:spid="_x0000_s1037" style="position:absolute;left:304;top:95;width:72619;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2964B2" w:rsidRDefault="002964B2">
                        <w:r w:rsidRPr="007B7847">
                          <w:rPr>
                            <w:rFonts w:ascii="Arial" w:hAnsi="Arial" w:cs="Arial"/>
                            <w:color w:val="000000"/>
                            <w:sz w:val="18"/>
                            <w:szCs w:val="18"/>
                          </w:rPr>
                          <w:t>Bajo protesta de decir verdad declaramos que los Estados Financieros y sus Notas son razonablemente correctos y responsabilidad del emisor</w:t>
                        </w:r>
                      </w:p>
                    </w:txbxContent>
                  </v:textbox>
                </v:rect>
                <v:rect id="Rectangle 35" o:spid="_x0000_s1038" style="position:absolute;left:4406;top:4064;width:82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2964B2" w:rsidRDefault="002964B2"/>
                    </w:txbxContent>
                  </v:textbox>
                </v:rect>
                <v:rect id="Rectangle 36" o:spid="_x0000_s1039" style="position:absolute;left:52165;top:4064;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2964B2" w:rsidRDefault="002964B2"/>
                    </w:txbxContent>
                  </v:textbox>
                </v:rect>
                <v:rect id="Rectangle 37" o:spid="_x0000_s1040" style="position:absolute;left:13119;top:5911;width:1372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2964B2" w:rsidRDefault="002964B2">
                        <w:r>
                          <w:rPr>
                            <w:rFonts w:ascii="Arial" w:hAnsi="Arial" w:cs="Arial"/>
                            <w:color w:val="000000"/>
                            <w:sz w:val="18"/>
                            <w:szCs w:val="18"/>
                            <w:lang w:val="en-US"/>
                          </w:rPr>
                          <w:t>C.P. Jorge Valdés Aguilera</w:t>
                        </w:r>
                      </w:p>
                    </w:txbxContent>
                  </v:textbox>
                </v:rect>
                <v:rect id="Rectangle 38" o:spid="_x0000_s1041" style="position:absolute;left:59543;top:5911;width:16269;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2964B2" w:rsidRDefault="002964B2">
                        <w:r>
                          <w:rPr>
                            <w:rFonts w:ascii="Arial" w:hAnsi="Arial" w:cs="Arial"/>
                            <w:color w:val="000000"/>
                            <w:sz w:val="18"/>
                            <w:szCs w:val="18"/>
                            <w:lang w:val="en-US"/>
                          </w:rPr>
                          <w:t>C.P. Araceli Hernández Amador</w:t>
                        </w:r>
                      </w:p>
                    </w:txbxContent>
                  </v:textbox>
                </v:rect>
                <v:rect id="Rectangle 39" o:spid="_x0000_s1042" style="position:absolute;left:52165;top:7480;width:33109;height:4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2964B2" w:rsidRDefault="002964B2" w:rsidP="007B7847">
                        <w:pPr>
                          <w:jc w:val="center"/>
                        </w:pPr>
                        <w:r w:rsidRPr="007B7847">
                          <w:rPr>
                            <w:rFonts w:ascii="Arial" w:hAnsi="Arial" w:cs="Arial"/>
                            <w:color w:val="000000"/>
                            <w:sz w:val="18"/>
                            <w:szCs w:val="18"/>
                          </w:rPr>
                          <w:t>Direc</w:t>
                        </w:r>
                        <w:r>
                          <w:rPr>
                            <w:rFonts w:ascii="Arial" w:hAnsi="Arial" w:cs="Arial"/>
                            <w:color w:val="000000"/>
                            <w:sz w:val="18"/>
                            <w:szCs w:val="18"/>
                          </w:rPr>
                          <w:t>tora</w:t>
                        </w:r>
                        <w:r w:rsidRPr="007B7847">
                          <w:rPr>
                            <w:rFonts w:ascii="Arial" w:hAnsi="Arial" w:cs="Arial"/>
                            <w:color w:val="000000"/>
                            <w:sz w:val="18"/>
                            <w:szCs w:val="18"/>
                          </w:rPr>
                          <w:t xml:space="preserve"> de </w:t>
                        </w:r>
                        <w:r>
                          <w:rPr>
                            <w:rFonts w:ascii="Arial" w:hAnsi="Arial" w:cs="Arial"/>
                            <w:color w:val="000000"/>
                            <w:sz w:val="18"/>
                            <w:szCs w:val="18"/>
                          </w:rPr>
                          <w:t>Contabilidad Gubernamental y Coordinación hacendaria</w:t>
                        </w:r>
                      </w:p>
                    </w:txbxContent>
                  </v:textbox>
                </v:rect>
                <v:rect id="Rectangle 41" o:spid="_x0000_s1043" style="position:absolute;left:10147;top:7480;width:18936;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2964B2" w:rsidRDefault="002964B2">
                        <w:r w:rsidRPr="007B7847">
                          <w:rPr>
                            <w:rFonts w:ascii="Arial" w:hAnsi="Arial" w:cs="Arial"/>
                            <w:color w:val="000000"/>
                            <w:sz w:val="18"/>
                            <w:szCs w:val="18"/>
                          </w:rPr>
                          <w:t>Secretario de Planeación y Finanzas.</w:t>
                        </w:r>
                      </w:p>
                    </w:txbxContent>
                  </v:textbox>
                </v:rect>
                <v:rect id="Rectangle 42" o:spid="_x0000_s1044" style="position:absolute;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b/RMMA&#10;AADbAAAADwAAAGRycy9kb3ducmV2LnhtbESPQWsCMRSE7wX/Q3iCt5rVw7asRlHBIggFbRWPj81z&#10;E9y8LJtUd/+9KRR6HGbmG2a+7Fwt7tQG61nBZJyBIC69tlwp+P7avr6DCBFZY+2ZFPQUYLkYvMyx&#10;0P7BB7ofYyUShEOBCkyMTSFlKA05DGPfECfv6luHMcm2krrFR4K7Wk6zLJcOLacFgw1tDJW3449T&#10;sO/P9pTrCZ4u58/evH2srcsOSo2G3WoGIlIX/8N/7Z1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b/RMMAAADbAAAADwAAAAAAAAAAAAAAAACYAgAAZHJzL2Rv&#10;d25yZXYueG1sUEsFBgAAAAAEAAQA9QAAAIgDAAAAAA==&#10;" fillcolor="#dadcdd" stroked="f"/>
                <v:rect id="Rectangle 43" o:spid="_x0000_s1045" style="position:absolute;left:1841;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a38MA&#10;AADbAAAADwAAAGRycy9kb3ducmV2LnhtbESPT2sCMRTE74LfITzBm2b1oGU1igotBaHgXzw+Ns9N&#10;cPOybFLd/fZNodDjMDO/YZbr1lXiSU2wnhVMxhkI4sJry6WC8+l99AYiRGSNlWdS0FGA9arfW2Ku&#10;/YsP9DzGUiQIhxwVmBjrXMpQGHIYxr4mTt7dNw5jkk0pdYOvBHeVnGbZTDq0nBYM1rQzVDyO307B&#10;vrvay0xP8HK7fnVm/rG1LjsoNRy0mwWISG38D/+1P7WC6Rx+v6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pa38MAAADbAAAADwAAAAAAAAAAAAAAAACYAgAAZHJzL2Rv&#10;d25yZXYueG1sUEsFBgAAAAAEAAQA9QAAAIgDAAAAAA==&#10;" fillcolor="#dadcdd" stroked="f"/>
                <v:rect id="Rectangle 44" o:spid="_x0000_s1046" style="position:absolute;left:4102;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OrcEA&#10;AADbAAAADwAAAGRycy9kb3ducmV2LnhtbERPz2vCMBS+C/sfwhvspqkeqnRG2QbKYDBQ17Ljo3lr&#10;wpqX0mS1/e+Xg+Dx4/u93Y+uFQP1wXpWsFxkIIhrry03Cr4uh/kGRIjIGlvPpGCiAPvdw2yLhfZX&#10;PtFwjo1IIRwKVGBi7AopQ23IYVj4jjhxP753GBPsG6l7vKZw18pVluXSoeXUYLCjN0P17/nPKfiY&#10;Klvmeonld/U5mfXx1brspNTT4/jyDCLSGO/im/tdK1ilselL+g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1zq3BAAAA2wAAAA8AAAAAAAAAAAAAAAAAmAIAAGRycy9kb3du&#10;cmV2LnhtbFBLBQYAAAAABAAEAPUAAACGAwAAAAA=&#10;" fillcolor="#dadcdd" stroked="f"/>
                <v:rect id="Rectangle 45" o:spid="_x0000_s1047" style="position:absolute;left:1229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rNsMA&#10;AADbAAAADwAAAGRycy9kb3ducmV2LnhtbESPQWsCMRSE7wX/Q3hCbzWrB7WrUapgKRQEbZUeH5vn&#10;JnTzsmyi7v57Iwgeh5n5hpkvW1eJCzXBelYwHGQgiAuvLZcKfn82b1MQISJrrDyTgo4CLBe9lznm&#10;2l95R5d9LEWCcMhRgYmxzqUMhSGHYeBr4uSdfOMwJtmUUjd4TXBXyVGWjaVDy2nBYE1rQ8X//uwU&#10;fHdHexjrIR7+jtvOTD5X1mU7pV777ccMRKQ2PsOP9pdWMHq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lrNsMAAADbAAAADwAAAAAAAAAAAAAAAACYAgAAZHJzL2Rv&#10;d25yZXYueG1sUEsFBgAAAAAEAAQA9QAAAIgDAAAAAA==&#10;" fillcolor="#dadcdd" stroked="f"/>
                <v:rect id="Rectangle 46" o:spid="_x0000_s1048" style="position:absolute;left:20497;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UdsEA&#10;AADbAAAADwAAAGRycy9kb3ducmV2LnhtbERPXWvCMBR9F/Yfwh34pqkO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aVHbBAAAA2wAAAA8AAAAAAAAAAAAAAAAAmAIAAGRycy9kb3du&#10;cmV2LnhtbFBLBQYAAAAABAAEAPUAAACGAwAAAAA=&#10;" fillcolor="#dadcdd" stroked="f"/>
                <v:rect id="Rectangle 47" o:spid="_x0000_s1049" style="position:absolute;left:2869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x7cQA&#10;AADbAAAADwAAAGRycy9kb3ducmV2LnhtbESPQWsCMRSE7wX/Q3hCbzW7F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8e3EAAAA2wAAAA8AAAAAAAAAAAAAAAAAmAIAAGRycy9k&#10;b3ducmV2LnhtbFBLBQYAAAAABAAEAPUAAACJAwAAAAA=&#10;" fillcolor="#dadcdd" stroked="f"/>
                <v:rect id="Rectangle 48" o:spid="_x0000_s1050" style="position:absolute;left:36893;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RvmsMA&#10;AADbAAAADwAAAGRycy9kb3ducmV2LnhtbESP3WoCMRSE7wu+QzhC72pWBSurUVSoFAoFf/HysDlu&#10;gpuTZZPq7ts3hYKXw8x8w8yXravEnZpgPSsYDjIQxIXXlksFx8PH2xREiMgaK8+koKMAy0XvZY65&#10;9g/e0X0fS5EgHHJUYGKscylDYchhGPiaOHlX3ziMSTal1A0+EtxVcpRlE+nQclowWNPGUHHb/zgF&#10;X93ZniZ6iKfL+bsz79u1ddlOqdd+u5qBiNTGZ/i//akVjEfw9yX9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RvmsMAAADbAAAADwAAAAAAAAAAAAAAAACYAgAAZHJzL2Rv&#10;d25yZXYueG1sUEsFBgAAAAAEAAQA9QAAAIgDAAAAAA==&#10;" fillcolor="#dadcdd" stroked="f"/>
                <v:rect id="Rectangle 49" o:spid="_x0000_s1051" style="position:absolute;left:39350;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AcQA&#10;AADbAAAADwAAAGRycy9kb3ducmV2LnhtbESPUWvCMBSF3wX/Q7jC3jR1BZ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IygHEAAAA2wAAAA8AAAAAAAAAAAAAAAAAmAIAAGRycy9k&#10;b3ducmV2LnhtbFBLBQYAAAAABAAEAPUAAACJAwAAAAA=&#10;" fillcolor="#dadcdd" stroked="f"/>
                <v:rect id="Rectangle 50" o:spid="_x0000_s1052" style="position:absolute;left:42322;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FSdcQA&#10;AADbAAAADwAAAGRycy9kb3ducmV2LnhtbESP3WoCMRSE7wt9h3AKvatZa1F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hUnXEAAAA2wAAAA8AAAAAAAAAAAAAAAAAmAIAAGRycy9k&#10;b3ducmV2LnhtbFBLBQYAAAAABAAEAPUAAACJAwAAAAA=&#10;" fillcolor="#dadcdd" stroked="f"/>
                <v:rect id="Rectangle 51" o:spid="_x0000_s1053" style="position:absolute;left:45605;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337sQA&#10;AADbAAAADwAAAGRycy9kb3ducmV2LnhtbESP3WoCMRSE7wt9h3AKvatZK1VZjdIWFEEo+IuXh81x&#10;E9ycLJtUd9++EQpeDjPzDTOdt64SV2qC9ayg38tAEBdeWy4V7HeLtzGIEJE1Vp5JQUcB5rPnpynm&#10;2t94Q9dtLEWCcMhRgYmxzqUMhSGHoedr4uSdfeMwJtmUUjd4S3BXyfcsG0qHltOCwZq+DRWX7a9T&#10;sO6O9jDUfTycjj+dGS2/rMs2Sr2+tJ8TEJHa+Aj/t1daweAD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t9+7EAAAA2wAAAA8AAAAAAAAAAAAAAAAAmAIAAGRycy9k&#10;b3ducmV2LnhtbFBLBQYAAAAABAAEAPUAAACJAwAAAAA=&#10;" fillcolor="#dadcdd" stroked="f"/>
                <v:rect id="Rectangle 52" o:spid="_x0000_s1054" style="position:absolute;left:518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pmcQA&#10;AADbAAAADwAAAGRycy9kb3ducmV2LnhtbESPQWsCMRSE7wX/Q3hCbzVrha2sRtFCpVAQtCoeH5vn&#10;Jrh5WTap7v77Rij0OMzMN8x82bla3KgN1rOC8SgDQVx6bblScPj+eJmCCBFZY+2ZFPQUYLkYPM2x&#10;0P7OO7rtYyUShEOBCkyMTSFlKA05DCPfECfv4luHMcm2krrFe4K7Wr5mWS4dWk4LBht6N1Re9z9O&#10;wVd/ssdcj/F4Pm1787ZZW5ftlHoedqsZiEhd/A//tT+1gkkO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ZnEAAAA2wAAAA8AAAAAAAAAAAAAAAAAmAIAAGRycy9k&#10;b3ducmV2LnhtbFBLBQYAAAAABAAEAPUAAACJAwAAAAA=&#10;" fillcolor="#dadcdd" stroked="f"/>
                <v:rect id="Rectangle 53" o:spid="_x0000_s1055" style="position:absolute;left:600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AsMA&#10;AADbAAAADwAAAGRycy9kb3ducmV2LnhtbESP3WoCMRSE7wu+QzhC72rWF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MAsMAAADbAAAADwAAAAAAAAAAAAAAAACYAgAAZHJzL2Rv&#10;d25yZXYueG1sUEsFBgAAAAAEAAQA9QAAAIgDAAAAAA==&#10;" fillcolor="#dadcdd" stroked="f"/>
                <v:rect id="Rectangle 54" o:spid="_x0000_s1056" style="position:absolute;left:68249;width:10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xYcMEA&#10;AADbAAAADwAAAGRycy9kb3ducmV2LnhtbERPXWvCMBR9F/Yfwh34pqkOdHRG2QSHIAjWKXu8NHdN&#10;WHNTmqjtvzcPgo+H871Yda4WV2qD9axgMs5AEJdeW64U/Bw3o3cQISJrrD2Tgp4CrJYvgwXm2t/4&#10;QNciViKFcMhRgYmxyaUMpSGHYewb4sT9+dZhTLCtpG7xlsJdLadZNpMOLacGgw2tDZX/xcUp2PVn&#10;e5rpCZ5+z/vezL+/rMsOSg1fu88PEJG6+BQ/3Fu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sWHDBAAAA2wAAAA8AAAAAAAAAAAAAAAAAmAIAAGRycy9kb3du&#10;cmV2LnhtbFBLBQYAAAAABAAEAPUAAACGAwAAAAA=&#10;" fillcolor="#dadcdd" stroked="f"/>
                <v:rect id="Rectangle 55" o:spid="_x0000_s1057" style="position:absolute;left:76454;width:101;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D968QA&#10;AADbAAAADwAAAGRycy9kb3ducmV2LnhtbESPQWsCMRSE7wX/Q3hCbzVrB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vEAAAA2wAAAA8AAAAAAAAAAAAAAAAAmAIAAGRycy9k&#10;b3ducmV2LnhtbFBLBQYAAAAABAAEAPUAAACJAwAAAAA=&#10;" fillcolor="#dadcdd" stroked="f"/>
                <v:rect id="Rectangle 56" o:spid="_x0000_s1058" style="position:absolute;left:84651;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nC8EA&#10;AADbAAAADwAAAGRycy9kb3ducmV2LnhtbERPXWvCMBR9F/Yfwh34pqkydHRG2QSHIAjWKXu8NHdN&#10;WHNTmqjtvzcPgo+H871Yda4WV2qD9axgMs5AEJdeW64U/Bw3o3cQISJrrD2Tgp4CrJYvgwXm2t/4&#10;QNciViKFcMhRgYmxyaUMpSGHYewb4sT9+dZhTLCtpG7xlsJdLadZNpMOLacGgw2tDZX/xcUp2PVn&#10;e5rpCZ5+z/vezL+/rMsOSg1fu88PEJG6+BQ/3Fut4C2tT1/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cJwvBAAAA2wAAAA8AAAAAAAAAAAAAAAAAmAIAAGRycy9kb3du&#10;cmV2LnhtbFBLBQYAAAAABAAEAPUAAACGAwAAAAA=&#10;" fillcolor="#dadcdd" stroked="f"/>
                <v:rect id="Rectangle 57" o:spid="_x0000_s1059" style="position:absolute;left:92849;width:10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CCkMQA&#10;AADbAAAADwAAAGRycy9kb3ducmV2LnhtbESPQWsCMRSE7wX/Q3hCbzW7Ray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QgpDEAAAA2wAAAA8AAAAAAAAAAAAAAAAAmAIAAGRycy9k&#10;b3ducmV2LnhtbFBLBQYAAAAABAAEAPUAAACJAwAAAAA=&#10;" fillcolor="#dadcdd" stroked="f"/>
                <v:line id="Line 58" o:spid="_x0000_s1060" style="position:absolute;visibility:visible;mso-wrap-style:square" from="4102,5543" to="36995,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qZ2cQAAADbAAAADwAAAGRycy9kb3ducmV2LnhtbESPQWvCQBSE74X+h+UJvdWNUm2MWaWU&#10;Fu3NRgMeH9lnsph9G7Jbjf/eLRR6HGbmGyZfD7YVF+q9caxgMk5AEFdOG64VHPafzykIH5A1to5J&#10;wY08rFePDzlm2l35my5FqEWEsM9QQRNCl0npq4Ys+rHriKN3cr3FEGVfS93jNcJtK6dJMpcWDceF&#10;Bjt6b6g6Fz9WgdnNN7Ov13JRyo9NmBzTc2rsQamn0fC2BBFoCP/hv/ZWK3iZwu+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qpnZxAAAANsAAAAPAAAAAAAAAAAA&#10;AAAAAKECAABkcnMvZG93bnJldi54bWxQSwUGAAAAAAQABAD5AAAAkgMAAAAA&#10;" strokeweight="0"/>
                <v:rect id="Rectangle 59" o:spid="_x0000_s1061" style="position:absolute;left:4102;top:5543;width:3289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60" o:spid="_x0000_s1062" style="position:absolute;visibility:visible;mso-wrap-style:square" from="51854,5543" to="84753,5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NsQAAADbAAAADwAAAGRycy9kb3ducmV2LnhtbESPQWvCQBSE74X+h+UJvdWNojZNs0qR&#10;ivZmUwM9PrLPZDH7NmRXjf/eLRR6HGbmGyZfDbYVF+q9caxgMk5AEFdOG64VHL43zykIH5A1to5J&#10;wY08rJaPDzlm2l35iy5FqEWEsM9QQRNCl0npq4Ys+rHriKN3dL3FEGVfS93jNcJtK6dJspAWDceF&#10;BjtaN1SdirNVYPaL7fzzpXwt5cc2TH7SU2rsQamn0fD+BiLQEP7Df+2dVjCbwe+X+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D6Q2xAAAANsAAAAPAAAAAAAAAAAA&#10;AAAAAKECAABkcnMvZG93bnJldi54bWxQSwUGAAAAAAQABAD5AAAAkgMAAAAA&#10;" strokeweight="0"/>
                <v:rect id="Rectangle 61" o:spid="_x0000_s1063" style="position:absolute;left:51854;top:5543;width:3289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i58UA&#10;AADbAAAADwAAAGRycy9kb3ducmV2LnhtbESPQWsCMRSE74L/ITzBm5utqNitUVQQvAjV9lBvz83r&#10;7uLmZU2ibvvrTUHocZiZb5jZojW1uJHzlWUFL0kKgji3uuJCwefHZjAF4QOyxtoyKfghD4t5tzPD&#10;TNs77+l2CIWIEPYZKihDaDIpfV6SQZ/Yhjh639YZDFG6QmqH9wg3tRym6UQarDgulNjQuqT8fLga&#10;BavX6eryPuLd7/50pOPX6TweulSpfq9dvoEI1Ib/8LO91QpGY/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6LnxQAAANsAAAAPAAAAAAAAAAAAAAAAAJgCAABkcnMv&#10;ZG93bnJldi54bWxQSwUGAAAAAAQABAD1AAAAigMAAAAA&#10;" fillcolor="black" stroked="f"/>
                <v:line id="Line 62" o:spid="_x0000_s1064" style="position:absolute;visibility:visible;mso-wrap-style:square" from="0,11176" to="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V5icUAAADbAAAADwAAAGRycy9kb3ducmV2LnhtbESPQWvCQBSE7wX/w/KEXqRuYks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1V5icUAAADbAAAADwAAAAAAAAAA&#10;AAAAAAChAgAAZHJzL2Rvd25yZXYueG1sUEsFBgAAAAAEAAQA+QAAAJMDAAAAAA==&#10;" strokecolor="#dadcdd" strokeweight="0"/>
                <v:rect id="Rectangle 63" o:spid="_x0000_s1065" style="position:absolute;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8MA&#10;AADbAAAADwAAAGRycy9kb3ducmV2LnhtbESP3WoCMRSE7wu+QzhC72rWUlR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8MAAADbAAAADwAAAAAAAAAAAAAAAACYAgAAZHJzL2Rv&#10;d25yZXYueG1sUEsFBgAAAAAEAAQA9QAAAIgDAAAAAA==&#10;" fillcolor="#dadcdd" stroked="f"/>
                <v:line id="Line 64" o:spid="_x0000_s1066" style="position:absolute;visibility:visible;mso-wrap-style:square" from="1841,11176" to="184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ZIYMIAAADbAAAADwAAAGRycy9kb3ducmV2LnhtbERPTWvCQBC9F/oflin0EsxGW0R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ZIYMIAAADbAAAADwAAAAAAAAAAAAAA&#10;AAChAgAAZHJzL2Rvd25yZXYueG1sUEsFBgAAAAAEAAQA+QAAAJADAAAAAA==&#10;" strokecolor="#dadcdd" strokeweight="0"/>
                <v:rect id="Rectangle 65" o:spid="_x0000_s1067" style="position:absolute;left:1841;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OlsQA&#10;AADbAAAADwAAAGRycy9kb3ducmV2LnhtbESPQWsCMRSE7wX/Q3hCbzVrE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mjpbEAAAA2wAAAA8AAAAAAAAAAAAAAAAAmAIAAGRycy9k&#10;b3ducmV2LnhtbFBLBQYAAAAABAAEAPUAAACJAwAAAAA=&#10;" fillcolor="#dadcdd" stroked="f"/>
                <v:line id="Line 66" o:spid="_x0000_s1068" style="position:absolute;visibility:visible;mso-wrap-style:square" from="4102,11176" to="410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nSu8IAAADbAAAADwAAAGRycy9kb3ducmV2LnhtbERPTWvCQBC9F/oflin0EsxGS0ViVikp&#10;hR56qFHxOmbHJJqdDdmtif/ePRQ8Pt53th5NK67Uu8aygmmcgCAurW64UrDbfk0WIJxH1thaJgU3&#10;crBePT9lmGo78Iauha9ECGGXooLa+y6V0pU1GXSx7YgDd7K9QR9gX0nd4xDCTStnSTKXBhsODTV2&#10;lNdUXoo/oyA6LKI33BfnfFrNcjr//hw/N06p15fxYwnC0+gf4n/3t1bw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nSu8IAAADbAAAADwAAAAAAAAAAAAAA&#10;AAChAgAAZHJzL2Rvd25yZXYueG1sUEsFBgAAAAAEAAQA+QAAAJADAAAAAA==&#10;" strokecolor="#dadcdd" strokeweight="0"/>
                <v:rect id="Rectangle 67" o:spid="_x0000_s1069" style="position:absolute;left:4102;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kUTcQA&#10;AADbAAAADwAAAGRycy9kb3ducmV2LnhtbESPQWsCMRSE7wX/Q3hCbzW7Ba2sRtGCUigUtCoeH5vn&#10;Jrh5WTZRd/99Uyj0OMzMN8x82bla3KkN1rOCfJSBIC69tlwpOHxvXqYgQkTWWHsmBT0FWC4GT3Ms&#10;tH/wju77WIkE4VCgAhNjU0gZSkMOw8g3xMm7+NZhTLKtpG7xkeCulq9ZNpEOLacFgw29Gyqv+5tT&#10;8Nmf7HGiczyeT1+9eduurct2Sj0Pu9UMRKQu/of/2h9awTiH3y/p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FE3EAAAA2wAAAA8AAAAAAAAAAAAAAAAAmAIAAGRycy9k&#10;b3ducmV2LnhtbFBLBQYAAAAABAAEAPUAAACJAwAAAAA=&#10;" fillcolor="#dadcdd" stroked="f"/>
                <v:line id="Line 68" o:spid="_x0000_s1070" style="position:absolute;visibility:visible;mso-wrap-style:square" from="12299,11176" to="1230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69" o:spid="_x0000_s1071" style="position:absolute;left:1229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70" o:spid="_x0000_s1072" style="position:absolute;visibility:visible;mso-wrap-style:square" from="20497,11176" to="20504,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71" o:spid="_x0000_s1073" style="position:absolute;left:20497;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72" o:spid="_x0000_s1074" style="position:absolute;visibility:visible;mso-wrap-style:square" from="28695,11176" to="2870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73" o:spid="_x0000_s1075" style="position:absolute;left:2869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74" o:spid="_x0000_s1076" style="position:absolute;visibility:visible;mso-wrap-style:square" from="36893,11176" to="3689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75" o:spid="_x0000_s1077" style="position:absolute;left:36893;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76" o:spid="_x0000_s1078" style="position:absolute;visibility:visible;mso-wrap-style:square" from="39350,11176" to="39357,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77" o:spid="_x0000_s1079" style="position:absolute;left:39350;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78" o:spid="_x0000_s1080" style="position:absolute;visibility:visible;mso-wrap-style:square" from="42322,11176" to="42329,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79" o:spid="_x0000_s1081" style="position:absolute;left:42322;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80" o:spid="_x0000_s1082" style="position:absolute;visibility:visible;mso-wrap-style:square" from="45605,11176" to="45612,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81" o:spid="_x0000_s1083" style="position:absolute;left:45605;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82" o:spid="_x0000_s1084" style="position:absolute;visibility:visible;mso-wrap-style:square" from="51854,11176" to="518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83" o:spid="_x0000_s1085" style="position:absolute;left:518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84" o:spid="_x0000_s1086" style="position:absolute;visibility:visible;mso-wrap-style:square" from="60051,11176" to="600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85" o:spid="_x0000_s1087" style="position:absolute;left:600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86" o:spid="_x0000_s1088" style="position:absolute;visibility:visible;mso-wrap-style:square" from="68249,11176" to="682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87" o:spid="_x0000_s1089" style="position:absolute;left:68249;top:11176;width:10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88" o:spid="_x0000_s1090" style="position:absolute;visibility:visible;mso-wrap-style:square" from="76454,11176" to="76460,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89" o:spid="_x0000_s1091" style="position:absolute;left:76454;top:11176;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90" o:spid="_x0000_s1092" style="position:absolute;visibility:visible;mso-wrap-style:square" from="84651,11176" to="84658,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91" o:spid="_x0000_s1093" style="position:absolute;left:84651;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92" o:spid="_x0000_s1094" style="position:absolute;visibility:visible;mso-wrap-style:square" from="92849,11176" to="92856,1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93" o:spid="_x0000_s1095" style="position:absolute;left:92849;top:11176;width:102;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94" o:spid="_x0000_s1096" style="position:absolute;visibility:visible;mso-wrap-style:square" from="92951,0" to="929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95" o:spid="_x0000_s1097" style="position:absolute;left:92951;width:10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96" o:spid="_x0000_s1098" style="position:absolute;visibility:visible;mso-wrap-style:square" from="92951,1847" to="92957,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97" o:spid="_x0000_s1099" style="position:absolute;left:92951;top:184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v:line id="Line 98" o:spid="_x0000_s1100" style="position:absolute;visibility:visible;mso-wrap-style:square" from="92951,3695" to="92957,3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FEMQAAADbAAAADwAAAGRycy9kb3ducmV2LnhtbESPQWvCQBSE74L/YXlCL6IbUyghuopE&#10;Cj14qLHF6zP7TKLZtyG71fjvXaHgcZiZb5jFqjeNuFLnassKZtMIBHFhdc2lgp/95yQB4TyyxsYy&#10;KbiTg9VyOFhgqu2Nd3TNfSkChF2KCirv21RKV1Rk0E1tSxy8k+0M+iC7UuoObwFuGhlH0Yc0WHNY&#10;qLClrKLikv8ZBeNDMn7H3/yczco4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8UQxAAAANsAAAAPAAAAAAAAAAAA&#10;AAAAAKECAABkcnMvZG93bnJldi54bWxQSwUGAAAAAAQABAD5AAAAkgMAAAAA&#10;" strokecolor="#dadcdd" strokeweight="0"/>
                <v:rect id="Rectangle 99" o:spid="_x0000_s1101" style="position:absolute;left:92951;top:3695;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5sMA&#10;AADbAAAADwAAAGRycy9kb3ducmV2LnhtbESP3WoCMRSE7wu+QzhC72rWC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5sMAAADbAAAADwAAAAAAAAAAAAAAAACYAgAAZHJzL2Rv&#10;d25yZXYueG1sUEsFBgAAAAAEAAQA9QAAAIgDAAAAAA==&#10;" fillcolor="#dadcdd" stroked="f"/>
                <v:line id="Line 100" o:spid="_x0000_s1102" style="position:absolute;visibility:visible;mso-wrap-style:square" from="92951,5543" to="92957,55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4/8UAAADbAAAADwAAAGRycy9kb3ducmV2LnhtbESPQWvCQBSE7wX/w/KEXqRukhY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4/8UAAADbAAAADwAAAAAAAAAA&#10;AAAAAAChAgAAZHJzL2Rvd25yZXYueG1sUEsFBgAAAAAEAAQA+QAAAJMDAAAAAA==&#10;" strokecolor="#dadcdd" strokeweight="0"/>
                <v:rect id="Rectangle 101" o:spid="_x0000_s1103" style="position:absolute;left:92951;top:5543;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CcMA&#10;AADbAAAADwAAAGRycy9kb3ducmV2LnhtbESP3WoCMRSE7wu+QzhC72rWg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CcMAAADbAAAADwAAAAAAAAAAAAAAAACYAgAAZHJzL2Rv&#10;d25yZXYueG1sUEsFBgAAAAAEAAQA9QAAAIgDAAAAAA==&#10;" fillcolor="#dadcdd" stroked="f"/>
                <v:line id="Line 102" o:spid="_x0000_s1104" style="position:absolute;visibility:visible;mso-wrap-style:square" from="92951,7391" to="92957,7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DE8QAAADbAAAADwAAAGRycy9kb3ducmV2LnhtbESPQYvCMBSE7wv7H8Jb8CKaqiClGmWp&#10;CB48aHXZ67N5tnWbl9JErf/eCMIeh5n5hpkvO1OLG7WusqxgNIxAEOdWV1woOB7WgxiE88gaa8uk&#10;4EEOlovPjzkm2t55T7fMFyJA2CWooPS+SaR0eUkG3dA2xME729agD7ItpG7xHuCmluMomkqDFYeF&#10;EhtKS8r/sqtR0P+N+xP8yS7pqBindNltT6u9U6r31X3PQHjq/H/43d5oBfEU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MMTxAAAANsAAAAPAAAAAAAAAAAA&#10;AAAAAKECAABkcnMvZG93bnJldi54bWxQSwUGAAAAAAQABAD5AAAAkgMAAAAA&#10;" strokecolor="#dadcdd" strokeweight="0"/>
                <v:rect id="Rectangle 103" o:spid="_x0000_s1105" style="position:absolute;left:92951;top:7391;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5cQA&#10;AADbAAAADwAAAGRycy9kb3ducmV2LnhtbESPQWsCMRSE74X+h/CE3mp2e1DZGhctVApCQa3S42Pz&#10;ugluXpZN1N1/bwqCx2FmvmHmZe8acaEuWM8K8nEGgrjy2nKt4Gf/+ToDESKyxsYzKRgoQLl4fppj&#10;of2Vt3TZxVokCIcCFZgY20LKUBlyGMa+JU7en+8cxiS7WuoOrwnuGvmWZRPp0HJaMNjSh6HqtDs7&#10;BZvhaA8TnePh9/g9mOl6ZV22Vepl1C/fQUTq4yN8b39pBbMp/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BeXEAAAA2wAAAA8AAAAAAAAAAAAAAAAAmAIAAGRycy9k&#10;b3ducmV2LnhtbFBLBQYAAAAABAAEAPUAAACJAwAAAAA=&#10;" fillcolor="#dadcdd" stroked="f"/>
                <v:line id="Line 104" o:spid="_x0000_s1106" style="position:absolute;visibility:visible;mso-wrap-style:square" from="92951,9239" to="92957,9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sEAAADbAAAADwAAAGRycy9kb3ducmV2LnhtbERPTYvCMBC9C/6HMIIXsakKUqpRli4L&#10;Hjys1WWvYzO2dZtJaaJ2/705CB4f73u97U0j7tS52rKCWRSDIC6srrlUcDp+TRMQziNrbCyTgn9y&#10;sN0MB2tMtX3wge65L0UIYZeigsr7NpXSFRUZdJFtiQN3sZ1BH2BXSt3hI4SbRs7jeCkN1hwaKmwp&#10;q6j4y29GweQ3mSzwJ79ms3Ke0fV7f/48OKXGo/5jBcJT79/il3unFSR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L6wQAAANsAAAAPAAAAAAAAAAAAAAAA&#10;AKECAABkcnMvZG93bnJldi54bWxQSwUGAAAAAAQABAD5AAAAjwMAAAAA&#10;" strokecolor="#dadcdd" strokeweight="0"/>
                <v:rect id="Rectangle 105" o:spid="_x0000_s1107" style="position:absolute;left:92951;top:9239;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line id="Line 106" o:spid="_x0000_s1108" style="position:absolute;visibility:visible;mso-wrap-style:square" from="92951,11087" to="92957,11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oIcMAAADbAAAADwAAAGRycy9kb3ducmV2LnhtbERPTWvCQBC9C/0PyxR6Cc1GBUnTrFJS&#10;Cj140GjpdZqdJrHZ2ZDdmvjv3YPg8fG+881kOnGmwbWWFczjBARxZXXLtYLj4eM5BeE8ssbOMim4&#10;kIPN+mGWY6btyHs6l74WIYRdhgoa7/tMSlc1ZNDFticO3K8dDPoAh1rqAccQbjq5SJKVNNhyaGiw&#10;p6Kh6q/8Nwqi7zRa4ld5Kub1oqDTbvvzvndKPT1Ob68gPE3+Lr65P7WCl7A+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QaCHDAAAA2wAAAA8AAAAAAAAAAAAA&#10;AAAAoQIAAGRycy9kb3ducmV2LnhtbFBLBQYAAAAABAAEAPkAAACRAwAAAAA=&#10;" strokecolor="#dadcdd" strokeweight="0"/>
                <v:rect id="Rectangle 107" o:spid="_x0000_s1109" style="position:absolute;left:92951;top:11087;width:101;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18QA&#10;AADbAAAADwAAAGRycy9kb3ducmV2LnhtbESPQWsCMRSE7wX/Q3iCt5rdHmxdjaIFpVAoaFU8PjbP&#10;TXDzsmyi7v77plDocZiZb5j5snO1uFMbrGcF+TgDQVx6bblScPjePL+BCBFZY+2ZFPQUYLkYPM2x&#10;0P7BO7rvYyUShEOBCkyMTSFlKA05DGPfECfv4luHMcm2krrFR4K7Wr5k2UQ6tJwWDDb0bqi87m9O&#10;wWd/sseJzvF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rtfEAAAA2wAAAA8AAAAAAAAAAAAAAAAAmAIAAGRycy9k&#10;b3ducmV2LnhtbFBLBQYAAAAABAAEAPUAAACJAwAAAAA=&#10;" fillcolor="#dadcdd" stroked="f"/>
              </v:group>
            </w:pict>
          </mc:Fallback>
        </mc:AlternateContent>
      </w:r>
    </w:p>
    <w:p w:rsidR="00001107" w:rsidRPr="00661A17" w:rsidRDefault="008E4190" w:rsidP="00540418">
      <w:pPr>
        <w:pStyle w:val="Texto"/>
        <w:spacing w:after="0" w:line="240" w:lineRule="exact"/>
        <w:rPr>
          <w:szCs w:val="18"/>
        </w:rPr>
      </w:pPr>
      <w:r>
        <w:rPr>
          <w:szCs w:val="18"/>
        </w:rPr>
        <w:tab/>
      </w:r>
      <w:r>
        <w:rPr>
          <w:szCs w:val="18"/>
        </w:rPr>
        <w:tab/>
        <w:t xml:space="preserve"> </w:t>
      </w:r>
      <w:bookmarkStart w:id="1" w:name="_GoBack"/>
      <w:bookmarkEnd w:id="1"/>
    </w:p>
    <w:sectPr w:rsidR="00001107" w:rsidRPr="00661A17" w:rsidSect="008E3652">
      <w:headerReference w:type="even" r:id="rId43"/>
      <w:headerReference w:type="default" r:id="rId44"/>
      <w:footerReference w:type="even" r:id="rId45"/>
      <w:footerReference w:type="default" r:id="rId4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3F0" w:rsidRDefault="002C73F0" w:rsidP="00EA5418">
      <w:pPr>
        <w:spacing w:after="0" w:line="240" w:lineRule="auto"/>
      </w:pPr>
      <w:r>
        <w:separator/>
      </w:r>
    </w:p>
  </w:endnote>
  <w:endnote w:type="continuationSeparator" w:id="0">
    <w:p w:rsidR="002C73F0" w:rsidRDefault="002C73F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B2" w:rsidRPr="004E3EA4" w:rsidRDefault="00BD0CF1"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68E8A97"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PD2GAIAAC0EAAAOAAAAZHJzL2Uyb0RvYy54bWysU02P2jAQvVfqf7B8hyQQKESEVZVAL9su&#10;0ra9G9shVh3bsg0BVf3vHTssW9pLVfXirxk/v5n3vHo4dxKduHVCqxJn4xQjrqhmQh1K/OXzdrTA&#10;yHmiGJFa8RJfuMMP67dvVr0p+ES3WjJuEYAoV/SmxK33pkgSR1veETfWhisINtp2xMPWHhJmSQ/o&#10;nUwmaTpPem2ZsZpy5+C0HoJ4HfGbhlP/1DSOeyRLDNx8HG0c92FM1itSHCwxraBXGuQfWHREKHj0&#10;BlUTT9DRij+gOkGtdrrxY6q7RDeNoDzWANVk6W/VPLfE8FgLNMeZW5vc/4Oln047iwQr8RQjRTqQ&#10;KJugCrSiXltkwxSa1BtXQG6ldjaUSc/q2Txq+s1BLLkLho0zALrvP2oGeOQIEOHSubEdaqQwX+GR&#10;eAL1o3MU43ITg589onCYpeliukhBNArBbD7LolrJgBPwjHX+A9cdCosSS6FCs0hBTo/OB16vKeFY&#10;6a2QMgouFeoBc5nO0njDaSlYiIY8Zw/7Slp0IuCZ5aQOSQPaXZrVR8UiWssJ21zXngg5rOF1qQIe&#10;FAR8rqvBFN+X6XKz2CzyUT6Zb0Z5Wtej99sqH8232btZPa2rqs5+BGpZXrSCMa4CuxeDZvnfGeD6&#10;VQZr3Sx660Nyjx4bBmRf5kg6ahvkHCyw1+yys6EbQWbwZEy+/p9g+l/3Mev1l69/AgAA//8DAFBL&#10;AwQUAAYACAAAACEAWLuXGeIAAAALAQAADwAAAGRycy9kb3ducmV2LnhtbEyPy07DMBBF90j8gzVI&#10;7Fo7JH0Q4lQIBEgIIdFWZevGQxyIx1HsNoGvx13Bbh5Hd84Uq9G27Ii9bxxJSKYCGFLldEO1hO3m&#10;YbIE5oMirVpHKOEbPazK87NC5doN9IbHdahZDCGfKwkmhC7n3FcGrfJT1yHF3YfrrQqx7WuuezXE&#10;cNvyKyHm3KqG4gWjOrwzWH2tD1bC7nmxS1/xPnl6ecxmP8N2/Hz3RsrLi/H2BljAMfzBcNKP6lBG&#10;p707kPaslTBJRJpENlazObATkS2za2D7OEkF8LLg/38ofwEAAP//AwBQSwECLQAUAAYACAAAACEA&#10;toM4kv4AAADhAQAAEwAAAAAAAAAAAAAAAAAAAAAAW0NvbnRlbnRfVHlwZXNdLnhtbFBLAQItABQA&#10;BgAIAAAAIQA4/SH/1gAAAJQBAAALAAAAAAAAAAAAAAAAAC8BAABfcmVscy8ucmVsc1BLAQItABQA&#10;BgAIAAAAIQAMKPD2GAIAAC0EAAAOAAAAAAAAAAAAAAAAAC4CAABkcnMvZTJvRG9jLnhtbFBLAQIt&#10;ABQABgAIAAAAIQBYu5cZ4gAAAAsBAAAPAAAAAAAAAAAAAAAAAHIEAABkcnMvZG93bnJldi54bWxQ&#10;SwUGAAAAAAQABADzAAAAgQUAAAAA&#10;" strokecolor="#92d050" strokeweight="1.5pt">
              <o:lock v:ext="edit" shapetype="f"/>
            </v:line>
          </w:pict>
        </mc:Fallback>
      </mc:AlternateContent>
    </w:r>
    <w:r w:rsidR="002964B2"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2964B2" w:rsidRPr="004E3EA4">
          <w:rPr>
            <w:rFonts w:ascii="Arial" w:hAnsi="Arial" w:cs="Arial"/>
            <w:sz w:val="20"/>
          </w:rPr>
          <w:fldChar w:fldCharType="begin"/>
        </w:r>
        <w:r w:rsidR="002964B2" w:rsidRPr="004E3EA4">
          <w:rPr>
            <w:rFonts w:ascii="Arial" w:hAnsi="Arial" w:cs="Arial"/>
            <w:sz w:val="20"/>
          </w:rPr>
          <w:instrText>PAGE   \* MERGEFORMAT</w:instrText>
        </w:r>
        <w:r w:rsidR="002964B2" w:rsidRPr="004E3EA4">
          <w:rPr>
            <w:rFonts w:ascii="Arial" w:hAnsi="Arial" w:cs="Arial"/>
            <w:sz w:val="20"/>
          </w:rPr>
          <w:fldChar w:fldCharType="separate"/>
        </w:r>
        <w:r w:rsidR="008E4190" w:rsidRPr="008E4190">
          <w:rPr>
            <w:rFonts w:ascii="Arial" w:hAnsi="Arial" w:cs="Arial"/>
            <w:noProof/>
            <w:sz w:val="20"/>
            <w:lang w:val="es-ES"/>
          </w:rPr>
          <w:t>28</w:t>
        </w:r>
        <w:r w:rsidR="002964B2" w:rsidRPr="004E3EA4">
          <w:rPr>
            <w:rFonts w:ascii="Arial" w:hAnsi="Arial" w:cs="Arial"/>
            <w:sz w:val="20"/>
          </w:rPr>
          <w:fldChar w:fldCharType="end"/>
        </w:r>
      </w:sdtContent>
    </w:sdt>
  </w:p>
  <w:p w:rsidR="002964B2" w:rsidRDefault="002964B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B2" w:rsidRPr="003527CD" w:rsidRDefault="00BD0CF1"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0C287F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7Z2GAIAACwEAAAOAAAAZHJzL2Uyb0RvYy54bWysU8GO2yAQvVfqPyDuie3ESRMrzqqyk162&#10;3Ujb9k4Ax6gYEJA4UdV/74Cz2aa9VFUvMMwMjzfzhtXDuZPoxK0TWpU4G6cYcUU1E+pQ4i+ft6MF&#10;Rs4TxYjUipf4wh1+WL99s+pNwSe61ZJxiwBEuaI3JW69N0WSONryjrixNlxBsNG2Ix6O9pAwS3pA&#10;72QySdN50mvLjNWUOwfeegjidcRvGk79U9M47pEsMXDzcbVx3Yc1Wa9IcbDEtIJeaZB/YNERoeDR&#10;G1RNPEFHK/6A6gS12unGj6nuEt00gvJYA1STpb9V89wSw2Mt0Bxnbm1y/w+WfjrtLBIMtMNIkQ4k&#10;mqIKpKJeW2TDFnrUG1dAaqV2NlRJz+rZPGr6zUEsuQuGgzOAue8/agZw5AgQ4dK5sR1qpDBfw2PB&#10;A+Wjc9TictOCnz2i4MzSdJHn0xlGFILZfJZFsZIBJ9w21vkPXHcoGCWWQoVekYKcHp0PvF5Tglvp&#10;rZAy6i0V6gFzmc7SeMNpKViIhjxnD/tKWnQiMDLLSR2SBrS7NKuPikW0lhO2udqeCDnY8LpUAQ8K&#10;Aj5Xa5iJ78t0uVlsFvkon8w3ozyt69H7bZWP5tvs3aye1lVVZz8CtSwvWsEYV4Hdy3xm+d/pf/0p&#10;w2TdJvTWh+QePTYMyL7skXTUNsg5jMBes8vOhm4EmWEkY/L1+4SZ//Ucs14/+fonAAAA//8DAFBL&#10;AwQUAAYACAAAACEANDfW9uEAAAAKAQAADwAAAGRycy9kb3ducmV2LnhtbEyPwUrDQBCG74LvsIzg&#10;rd0kJm2J2RRRVJAi2JZ63WbHbDQ7G7LbJvr0bk56+4f5+OebYj2alp2xd40lAfE8AoZUWdVQLWC/&#10;e5ytgDkvScnWEgr4Rgfr8vKikLmyA73heetrFkrI5VKA9r7LOXeVRiPd3HZIYfdheyN9GPuaq14O&#10;ody0PImiBTeyoXBByw7vNVZf25MRcHhZHm5e8SF+3jyl2c+wHz/fnRbi+mq8uwXmcfR/MEz6QR3K&#10;4HS0J1KOtQJmcZxkgZ1SCmwi0mW2AHYMKQFeFvz/C+UvAAAA//8DAFBLAQItABQABgAIAAAAIQC2&#10;gziS/gAAAOEBAAATAAAAAAAAAAAAAAAAAAAAAABbQ29udGVudF9UeXBlc10ueG1sUEsBAi0AFAAG&#10;AAgAAAAhADj9If/WAAAAlAEAAAsAAAAAAAAAAAAAAAAALwEAAF9yZWxzLy5yZWxzUEsBAi0AFAAG&#10;AAgAAAAhADnXtnYYAgAALAQAAA4AAAAAAAAAAAAAAAAALgIAAGRycy9lMm9Eb2MueG1sUEsBAi0A&#10;FAAGAAgAAAAhADQ31vbhAAAACgEAAA8AAAAAAAAAAAAAAAAAcgQAAGRycy9kb3ducmV2LnhtbFBL&#10;BQYAAAAABAAEAPMAAACABQAAAAA=&#10;" strokecolor="#92d050"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002964B2" w:rsidRPr="003527CD">
          <w:rPr>
            <w:rFonts w:ascii="Arial" w:hAnsi="Arial" w:cs="Arial"/>
          </w:rPr>
          <w:t xml:space="preserve">Contable / </w:t>
        </w:r>
        <w:r w:rsidR="002964B2" w:rsidRPr="003527CD">
          <w:rPr>
            <w:rFonts w:ascii="Arial" w:hAnsi="Arial" w:cs="Arial"/>
          </w:rPr>
          <w:fldChar w:fldCharType="begin"/>
        </w:r>
        <w:r w:rsidR="002964B2" w:rsidRPr="003527CD">
          <w:rPr>
            <w:rFonts w:ascii="Arial" w:hAnsi="Arial" w:cs="Arial"/>
          </w:rPr>
          <w:instrText>PAGE   \* MERGEFORMAT</w:instrText>
        </w:r>
        <w:r w:rsidR="002964B2" w:rsidRPr="003527CD">
          <w:rPr>
            <w:rFonts w:ascii="Arial" w:hAnsi="Arial" w:cs="Arial"/>
          </w:rPr>
          <w:fldChar w:fldCharType="separate"/>
        </w:r>
        <w:r w:rsidR="008E4190" w:rsidRPr="008E4190">
          <w:rPr>
            <w:rFonts w:ascii="Arial" w:hAnsi="Arial" w:cs="Arial"/>
            <w:noProof/>
            <w:lang w:val="es-ES"/>
          </w:rPr>
          <w:t>27</w:t>
        </w:r>
        <w:r w:rsidR="002964B2" w:rsidRPr="003527CD">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3F0" w:rsidRDefault="002C73F0" w:rsidP="00EA5418">
      <w:pPr>
        <w:spacing w:after="0" w:line="240" w:lineRule="auto"/>
      </w:pPr>
      <w:r>
        <w:separator/>
      </w:r>
    </w:p>
  </w:footnote>
  <w:footnote w:type="continuationSeparator" w:id="0">
    <w:p w:rsidR="002C73F0" w:rsidRDefault="002C73F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B2" w:rsidRDefault="00BD0CF1">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4B2" w:rsidRDefault="002964B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964B2" w:rsidRDefault="002964B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964B2" w:rsidRPr="00275FC6" w:rsidRDefault="002964B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64B2" w:rsidRDefault="002964B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2964B2" w:rsidRDefault="002964B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964B2" w:rsidRPr="00275FC6" w:rsidRDefault="002964B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110" style="position:absolute;margin-left:155pt;margin-top:-21.85pt;width:325.95pt;height:39.2pt;z-index:251665408;mso-position-horizontal-relative:text;mso-position-vertical-relative:text;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1111"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964B2" w:rsidRDefault="002964B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964B2" w:rsidRDefault="002964B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964B2" w:rsidRPr="00275FC6" w:rsidRDefault="002964B2" w:rsidP="00040466">
                      <w:pPr>
                        <w:jc w:val="right"/>
                        <w:rPr>
                          <w:rFonts w:ascii="Soberana Titular" w:hAnsi="Soberana Titular" w:cs="Arial"/>
                          <w:color w:val="808080" w:themeColor="background1" w:themeShade="80"/>
                          <w:sz w:val="20"/>
                          <w:szCs w:val="20"/>
                        </w:rPr>
                      </w:pPr>
                    </w:p>
                  </w:txbxContent>
                </v:textbox>
              </v:shape>
              <v:group id="9 Grupo" o:spid="_x0000_s111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11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11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964B2" w:rsidRDefault="002964B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2964B2" w:rsidRDefault="002964B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964B2" w:rsidRPr="00275FC6" w:rsidRDefault="002964B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92D05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46E350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DmGAIAACwEAAAOAAAAZHJzL2Uyb0RvYy54bWysU02P2jAQvVfqf7B8hyRsoBARVlUCvWy7&#10;SNvu3dgOserYlm0IqOp/79hh2dK9VFUv/prx85t5z8v7UyfRkVsntCpxNk4x4opqJtS+xN++bkZz&#10;jJwnihGpFS/xmTt8v3r/btmbgk90qyXjFgGIckVvStx6b4okcbTlHXFjbbiCYKNtRzxs7T5hlvSA&#10;3slkkqazpNeWGaspdw5O6yGIVxG/aTj1j03juEeyxMDNx9HGcRfGZLUkxd4S0wp6oUH+gUVHhIJH&#10;r1A18QQdrHgD1QlqtdONH1PdJbppBOWxBqgmS/+o5qklhsdaoDnOXNvk/h8s/XLcWiRYiacYKdKB&#10;RDmqQCrqtUU2TKFHvXEFpFZqa0OV9KSezIOm3x3Ekptg2DgDmLv+s2YARw4AES6dGtuhRgrzDEaJ&#10;J1A+OkUtzlct+MkjCodZms7v5iloRiGYzaZZFCsZcAKesc5/4rpDYVFiKVToFSnI8cH5wOs1JRwr&#10;vRFSRr2lQj1gLtJpGm84LQUL0ZDn7H5XSYuOBCyzmNQhaUC7SbP6oFhEazlh68vaEyGHNbwuVcCD&#10;goDPZTV44sciXazn63k+yiez9ShP63r0cVPlo9km+zCt7+qqqrOfgVqWF61gjKvA7sWfWf53+l9+&#10;yuCsq0OvfUhu0WPDgOzLHElHbYOcgwV2mp23NnQjyAyWjMmX7xM8//s+Zr1+8tUvAAAA//8DAFBL&#10;AwQUAAYACAAAACEAqvD2+uIAAAALAQAADwAAAGRycy9kb3ducmV2LnhtbEyPy07DMBBF90j8gzVI&#10;7Fo7bUJRiFMhECChCqkPla0bD3EgHkex2wS+HncFy7lzdOdMsRxty07Y+8aRhGQqgCFVTjdUS9ht&#10;nya3wHxQpFXrCCV8o4dleXlRqFy7gdZ42oSaxRLyuZJgQuhyzn1l0Co/dR1S3H243qoQx77muldD&#10;LLctnwlxw61qKF4wqsMHg9XX5mgl7F8X+/kbPiYvq+c0+xl24+e7N1JeX433d8ACjuEPhrN+VIcy&#10;Oh3ckbRnrYRJkmRZZCVkIgV2JtLFLCaHmMwF8LLg/38ofwEAAP//AwBQSwECLQAUAAYACAAAACEA&#10;toM4kv4AAADhAQAAEwAAAAAAAAAAAAAAAAAAAAAAW0NvbnRlbnRfVHlwZXNdLnhtbFBLAQItABQA&#10;BgAIAAAAIQA4/SH/1gAAAJQBAAALAAAAAAAAAAAAAAAAAC8BAABfcmVscy8ucmVsc1BLAQItABQA&#10;BgAIAAAAIQCqyADmGAIAACwEAAAOAAAAAAAAAAAAAAAAAC4CAABkcnMvZTJvRG9jLnhtbFBLAQIt&#10;ABQABgAIAAAAIQCq8Pb64gAAAAsBAAAPAAAAAAAAAAAAAAAAAHIEAABkcnMvZG93bnJldi54bWxQ&#10;SwUGAAAAAAQABADzAAAAgQUAAAAA&#10;" strokecolor="#92d050"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4B2" w:rsidRPr="003527CD" w:rsidRDefault="00BD0CF1"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19050" t="19050" r="31115" b="21590"/>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381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margin">
                <wp14:pctWidth>0</wp14:pctWidth>
              </wp14:sizeRelH>
              <wp14:sizeRelV relativeFrom="page">
                <wp14:pctHeight>0</wp14:pctHeight>
              </wp14:sizeRelV>
            </wp:anchor>
          </w:drawing>
        </mc:Choice>
        <mc:Fallback>
          <w:pict>
            <v:line w14:anchorId="79B470B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tAIAALUFAAAOAAAAZHJzL2Uyb0RvYy54bWysVE1v2zAMvQ/YfxB8d23HTuIEdYrWdnbZ&#10;R4Hu46xIcixMlgxJqVMM+++j5MRtusswNAdHIqWnR/KR1zfHTqBHpg1XsgiSqzhATBJFudwXwbev&#10;2zAPkLFYUiyUZEXwxExws3n/7nro12ymWiUo0whApFkPfRG01vbrKDKkZR02V6pnEpyN0h22sNX7&#10;iGo8AHonolkcL6JBadprRZgxYK1GZ7Dx+E3DiP3SNIZZJIoAuFn/1f67c99oc43Xe437lpMTDfwf&#10;LDrMJTw6QVXYYnTQ/C+ojhOtjGrsFVFdpJqGE+ZjgGiS+FU0Dy3umY8FkmP6KU3m7WDJ58d7jTgt&#10;gixAEndQogSVUCpilUba/bkcDb1Zw9FS3msXJTnKh/6jIj8N+KILp9uYHjB3wydFAQ4fAMJdOja6&#10;Q43g/Xd4w1sgfHT0tXiaasGOFhEwJnGcZ1k6DxABZ7KYJ75Y0Yjj8Hpt7AemOuQWRSC4dLnCa/z4&#10;0VjH6/mIM0u15UL4eguJhiJIc3jD3zBKcOq87pzR+10pNHrEIJnVrIrn54cvjml1kNSjtQzT+rS2&#10;mItxDa8L6fCYV+FICXZHC0tvh0C9Qn6t4lWd13kWZrNFHWZxVYW32zILF9tkOa/Sqiyr5LcjmmTr&#10;llPKpON6VmuS/ZsaTn0z6mzS65SV6BLdpw/IXjK93c7jZZbm4XI5T8MsrePwLt+W4W2ZLBbL+q68&#10;q18xrX305m3ITql0rNTBMv3Q0gFR7uo/y9MVDBvKobvTPF7Eq2WAsNjDWCJWB0gr+4Pb1veUU5vD&#10;8GOGTdXGhDBpU+8Shw70O6pgHsNvHBVghoEymk8mLPoWvzoI1Z+wfSontmNiz5pwu6mqp1w9px5Q&#10;znrxTeb6auzFnaJP9/rcfDAb/KXTHHPD5+Ue1i+n7eYPAAAA//8DAFBLAwQUAAYACAAAACEA0j+x&#10;JuMAAAALAQAADwAAAGRycy9kb3ducmV2LnhtbEyPXUvDMBSG7wX/QziCd1uaOuqoPR1+MEFhwqri&#10;bdbEttqclCTdqr9+2ZVeHs7D+z5vsZpMz/ba+c4SgpgnwDTVVnXUILy9rmdLYD5IUrK3pBF+tIdV&#10;eX5WyFzZA231vgoNiyHkc4nQhjDknPu61Ub6uR00xd+ndUaGeLqGKycPMdz0PE2SjBvZUWxo5aDv&#10;W11/V6NByLx7XG+eP17Sza+ttu/26258ekC8vJhub4AFPYU/GE76UR3K6LSzIynPeoSZEKmILEK6&#10;XAA7EYvrLM7bIVyJBHhZ8P8byiMAAAD//wMAUEsBAi0AFAAGAAgAAAAhALaDOJL+AAAA4QEAABMA&#10;AAAAAAAAAAAAAAAAAAAAAFtDb250ZW50X1R5cGVzXS54bWxQSwECLQAUAAYACAAAACEAOP0h/9YA&#10;AACUAQAACwAAAAAAAAAAAAAAAAAvAQAAX3JlbHMvLnJlbHNQSwECLQAUAAYACAAAACEA771vvrQC&#10;AAC1BQAADgAAAAAAAAAAAAAAAAAuAgAAZHJzL2Uyb0RvYy54bWxQSwECLQAUAAYACAAAACEA0j+x&#10;JuMAAAALAQAADwAAAAAAAAAAAAAAAAAOBQAAZHJzL2Rvd25yZXYueG1sUEsFBgAAAAAEAAQA8wAA&#10;AB4GAAAAAA==&#10;" strokecolor="#92d050" strokeweight="3pt">
              <v:shadow color="#4e6128 [1606]" opacity=".5" offset="1pt"/>
              <o:lock v:ext="edit" shapetype="f"/>
            </v:line>
          </w:pict>
        </mc:Fallback>
      </mc:AlternateContent>
    </w:r>
    <w:r w:rsidR="002964B2" w:rsidRPr="003527CD">
      <w:rPr>
        <w:rFonts w:ascii="Arial" w:hAnsi="Arial" w:cs="Arial"/>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2567831"/>
    <w:multiLevelType w:val="hybridMultilevel"/>
    <w:tmpl w:val="2CB8EAD8"/>
    <w:lvl w:ilvl="0" w:tplc="C948776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53D1"/>
    <w:rsid w:val="00007E03"/>
    <w:rsid w:val="000166E2"/>
    <w:rsid w:val="00017F54"/>
    <w:rsid w:val="00040466"/>
    <w:rsid w:val="00045A10"/>
    <w:rsid w:val="000A40EB"/>
    <w:rsid w:val="000A7AB8"/>
    <w:rsid w:val="000C270E"/>
    <w:rsid w:val="000E1BD7"/>
    <w:rsid w:val="001241E1"/>
    <w:rsid w:val="0013011C"/>
    <w:rsid w:val="00137E93"/>
    <w:rsid w:val="001528B7"/>
    <w:rsid w:val="00157BC9"/>
    <w:rsid w:val="00165BB4"/>
    <w:rsid w:val="00173E32"/>
    <w:rsid w:val="00175F9F"/>
    <w:rsid w:val="001A1472"/>
    <w:rsid w:val="001B1B72"/>
    <w:rsid w:val="001C2435"/>
    <w:rsid w:val="001C6FD8"/>
    <w:rsid w:val="001E43D1"/>
    <w:rsid w:val="001E46CF"/>
    <w:rsid w:val="001E7072"/>
    <w:rsid w:val="001E7F03"/>
    <w:rsid w:val="002023F6"/>
    <w:rsid w:val="00204C86"/>
    <w:rsid w:val="002132B8"/>
    <w:rsid w:val="00223CE1"/>
    <w:rsid w:val="00264426"/>
    <w:rsid w:val="002858C7"/>
    <w:rsid w:val="0029382E"/>
    <w:rsid w:val="002964B2"/>
    <w:rsid w:val="002A70B3"/>
    <w:rsid w:val="002C73F0"/>
    <w:rsid w:val="002D0447"/>
    <w:rsid w:val="002D2BEE"/>
    <w:rsid w:val="0032152C"/>
    <w:rsid w:val="00340B8D"/>
    <w:rsid w:val="00341CD8"/>
    <w:rsid w:val="00342885"/>
    <w:rsid w:val="0034307B"/>
    <w:rsid w:val="003442F4"/>
    <w:rsid w:val="003527CD"/>
    <w:rsid w:val="00353F6A"/>
    <w:rsid w:val="00354047"/>
    <w:rsid w:val="00365716"/>
    <w:rsid w:val="00365ACD"/>
    <w:rsid w:val="00372F40"/>
    <w:rsid w:val="00377F19"/>
    <w:rsid w:val="00386559"/>
    <w:rsid w:val="00390936"/>
    <w:rsid w:val="00393281"/>
    <w:rsid w:val="00396C2B"/>
    <w:rsid w:val="003A0303"/>
    <w:rsid w:val="003D14B8"/>
    <w:rsid w:val="003D5DBF"/>
    <w:rsid w:val="003D6079"/>
    <w:rsid w:val="003E2CAA"/>
    <w:rsid w:val="003E7FD0"/>
    <w:rsid w:val="003F0EA4"/>
    <w:rsid w:val="00413061"/>
    <w:rsid w:val="004311BE"/>
    <w:rsid w:val="0043695E"/>
    <w:rsid w:val="00436E23"/>
    <w:rsid w:val="00441BCD"/>
    <w:rsid w:val="0044253C"/>
    <w:rsid w:val="004542D0"/>
    <w:rsid w:val="004574BC"/>
    <w:rsid w:val="004714CF"/>
    <w:rsid w:val="00474E4D"/>
    <w:rsid w:val="0047516C"/>
    <w:rsid w:val="00475D93"/>
    <w:rsid w:val="004809B8"/>
    <w:rsid w:val="00484C0D"/>
    <w:rsid w:val="00490B26"/>
    <w:rsid w:val="00497D8B"/>
    <w:rsid w:val="004A67F1"/>
    <w:rsid w:val="004C1D7D"/>
    <w:rsid w:val="004D41B8"/>
    <w:rsid w:val="004E3EA4"/>
    <w:rsid w:val="004F542A"/>
    <w:rsid w:val="004F5641"/>
    <w:rsid w:val="004F73C6"/>
    <w:rsid w:val="00522632"/>
    <w:rsid w:val="00522EF3"/>
    <w:rsid w:val="00524D1D"/>
    <w:rsid w:val="00540418"/>
    <w:rsid w:val="00541A2E"/>
    <w:rsid w:val="00551F66"/>
    <w:rsid w:val="00553706"/>
    <w:rsid w:val="005718EC"/>
    <w:rsid w:val="00571ACF"/>
    <w:rsid w:val="00574266"/>
    <w:rsid w:val="00576673"/>
    <w:rsid w:val="00587618"/>
    <w:rsid w:val="0059028B"/>
    <w:rsid w:val="00596422"/>
    <w:rsid w:val="005C71E7"/>
    <w:rsid w:val="005D3D25"/>
    <w:rsid w:val="005D568E"/>
    <w:rsid w:val="005E4138"/>
    <w:rsid w:val="006253D1"/>
    <w:rsid w:val="0062738F"/>
    <w:rsid w:val="00632109"/>
    <w:rsid w:val="00643052"/>
    <w:rsid w:val="006473AC"/>
    <w:rsid w:val="00655EB2"/>
    <w:rsid w:val="00661A17"/>
    <w:rsid w:val="00671CF2"/>
    <w:rsid w:val="006A7D4D"/>
    <w:rsid w:val="006B03D2"/>
    <w:rsid w:val="006B1FE7"/>
    <w:rsid w:val="006C1E15"/>
    <w:rsid w:val="006C54B8"/>
    <w:rsid w:val="006C60D4"/>
    <w:rsid w:val="006E77DD"/>
    <w:rsid w:val="007053D7"/>
    <w:rsid w:val="0073056A"/>
    <w:rsid w:val="007314A9"/>
    <w:rsid w:val="007525F8"/>
    <w:rsid w:val="00757536"/>
    <w:rsid w:val="00773EBC"/>
    <w:rsid w:val="00776479"/>
    <w:rsid w:val="00794967"/>
    <w:rsid w:val="00794F3F"/>
    <w:rsid w:val="0079582C"/>
    <w:rsid w:val="007A52C8"/>
    <w:rsid w:val="007B2FE4"/>
    <w:rsid w:val="007B7847"/>
    <w:rsid w:val="007C255E"/>
    <w:rsid w:val="007C53EF"/>
    <w:rsid w:val="007C5412"/>
    <w:rsid w:val="007C7BD7"/>
    <w:rsid w:val="007D0FE9"/>
    <w:rsid w:val="007D6E9A"/>
    <w:rsid w:val="007D7D18"/>
    <w:rsid w:val="007E1DA5"/>
    <w:rsid w:val="00800EC0"/>
    <w:rsid w:val="008119D9"/>
    <w:rsid w:val="00811DAC"/>
    <w:rsid w:val="0082318A"/>
    <w:rsid w:val="00846C3D"/>
    <w:rsid w:val="0085628A"/>
    <w:rsid w:val="00856CDA"/>
    <w:rsid w:val="008659FD"/>
    <w:rsid w:val="00876082"/>
    <w:rsid w:val="008839FB"/>
    <w:rsid w:val="0089054E"/>
    <w:rsid w:val="008A06EC"/>
    <w:rsid w:val="008A6E4D"/>
    <w:rsid w:val="008A793D"/>
    <w:rsid w:val="008B0017"/>
    <w:rsid w:val="008B43E9"/>
    <w:rsid w:val="008C155F"/>
    <w:rsid w:val="008C383C"/>
    <w:rsid w:val="008D0B37"/>
    <w:rsid w:val="008D7B57"/>
    <w:rsid w:val="008E3652"/>
    <w:rsid w:val="008E4190"/>
    <w:rsid w:val="008E725C"/>
    <w:rsid w:val="008F6D58"/>
    <w:rsid w:val="009014C0"/>
    <w:rsid w:val="00931C83"/>
    <w:rsid w:val="00932351"/>
    <w:rsid w:val="00932500"/>
    <w:rsid w:val="0093492C"/>
    <w:rsid w:val="00936005"/>
    <w:rsid w:val="00957043"/>
    <w:rsid w:val="00974D23"/>
    <w:rsid w:val="00996EAC"/>
    <w:rsid w:val="009A3B94"/>
    <w:rsid w:val="009C4575"/>
    <w:rsid w:val="009C5C8F"/>
    <w:rsid w:val="009D5D4C"/>
    <w:rsid w:val="009F23C4"/>
    <w:rsid w:val="009F3387"/>
    <w:rsid w:val="009F3627"/>
    <w:rsid w:val="00A018A3"/>
    <w:rsid w:val="00A10435"/>
    <w:rsid w:val="00A30E2F"/>
    <w:rsid w:val="00A35A05"/>
    <w:rsid w:val="00A363B6"/>
    <w:rsid w:val="00A46BF5"/>
    <w:rsid w:val="00A511D5"/>
    <w:rsid w:val="00A52E18"/>
    <w:rsid w:val="00A54D75"/>
    <w:rsid w:val="00A70107"/>
    <w:rsid w:val="00A86424"/>
    <w:rsid w:val="00AA3279"/>
    <w:rsid w:val="00AB3EFA"/>
    <w:rsid w:val="00AC0AB2"/>
    <w:rsid w:val="00AD76DE"/>
    <w:rsid w:val="00AD7905"/>
    <w:rsid w:val="00AE47E9"/>
    <w:rsid w:val="00B146E2"/>
    <w:rsid w:val="00B5577E"/>
    <w:rsid w:val="00B64122"/>
    <w:rsid w:val="00B64B80"/>
    <w:rsid w:val="00B849EE"/>
    <w:rsid w:val="00B84D02"/>
    <w:rsid w:val="00B8677D"/>
    <w:rsid w:val="00BA2940"/>
    <w:rsid w:val="00BA7A04"/>
    <w:rsid w:val="00BB2461"/>
    <w:rsid w:val="00BB70E8"/>
    <w:rsid w:val="00BB7211"/>
    <w:rsid w:val="00BD0CF1"/>
    <w:rsid w:val="00BD1AA8"/>
    <w:rsid w:val="00BF4468"/>
    <w:rsid w:val="00C013A1"/>
    <w:rsid w:val="00C01C9E"/>
    <w:rsid w:val="00C16E53"/>
    <w:rsid w:val="00C20958"/>
    <w:rsid w:val="00C34FA5"/>
    <w:rsid w:val="00C3578D"/>
    <w:rsid w:val="00C431B4"/>
    <w:rsid w:val="00C50527"/>
    <w:rsid w:val="00C51408"/>
    <w:rsid w:val="00C51455"/>
    <w:rsid w:val="00C63CF1"/>
    <w:rsid w:val="00C70CD6"/>
    <w:rsid w:val="00C71D1F"/>
    <w:rsid w:val="00C81B7E"/>
    <w:rsid w:val="00C86C59"/>
    <w:rsid w:val="00C91C5A"/>
    <w:rsid w:val="00CB4CBC"/>
    <w:rsid w:val="00CC53E2"/>
    <w:rsid w:val="00CC58DC"/>
    <w:rsid w:val="00CD299E"/>
    <w:rsid w:val="00CD6D9A"/>
    <w:rsid w:val="00CE7999"/>
    <w:rsid w:val="00D00E92"/>
    <w:rsid w:val="00D055EC"/>
    <w:rsid w:val="00D14208"/>
    <w:rsid w:val="00D1757C"/>
    <w:rsid w:val="00D34D05"/>
    <w:rsid w:val="00D43342"/>
    <w:rsid w:val="00D4394E"/>
    <w:rsid w:val="00D44728"/>
    <w:rsid w:val="00D45AD1"/>
    <w:rsid w:val="00D56088"/>
    <w:rsid w:val="00D562A3"/>
    <w:rsid w:val="00D562FF"/>
    <w:rsid w:val="00D64799"/>
    <w:rsid w:val="00D66E68"/>
    <w:rsid w:val="00D7688B"/>
    <w:rsid w:val="00DB0D1C"/>
    <w:rsid w:val="00DC37E3"/>
    <w:rsid w:val="00DF17AD"/>
    <w:rsid w:val="00DF56C9"/>
    <w:rsid w:val="00E007EC"/>
    <w:rsid w:val="00E02D66"/>
    <w:rsid w:val="00E11D3D"/>
    <w:rsid w:val="00E30318"/>
    <w:rsid w:val="00E32708"/>
    <w:rsid w:val="00E53E92"/>
    <w:rsid w:val="00E7498F"/>
    <w:rsid w:val="00E837F1"/>
    <w:rsid w:val="00E913D9"/>
    <w:rsid w:val="00E945C2"/>
    <w:rsid w:val="00EA5418"/>
    <w:rsid w:val="00EB3D8F"/>
    <w:rsid w:val="00EC621B"/>
    <w:rsid w:val="00EE46FB"/>
    <w:rsid w:val="00EF4AF4"/>
    <w:rsid w:val="00F016BA"/>
    <w:rsid w:val="00F17C0D"/>
    <w:rsid w:val="00F32EC8"/>
    <w:rsid w:val="00F6319C"/>
    <w:rsid w:val="00F646C2"/>
    <w:rsid w:val="00F6498D"/>
    <w:rsid w:val="00F71B6D"/>
    <w:rsid w:val="00F755D0"/>
    <w:rsid w:val="00F8714E"/>
    <w:rsid w:val="00F9019F"/>
    <w:rsid w:val="00F95FC8"/>
    <w:rsid w:val="00FA426C"/>
    <w:rsid w:val="00FB1010"/>
    <w:rsid w:val="00FB1A7D"/>
    <w:rsid w:val="00FC6A7D"/>
    <w:rsid w:val="00FD5A63"/>
    <w:rsid w:val="00FE55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C9FEF6-956F-4A4A-A07F-BC811316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DF17A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E7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03490210">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278726515">
      <w:bodyDiv w:val="1"/>
      <w:marLeft w:val="0"/>
      <w:marRight w:val="0"/>
      <w:marTop w:val="0"/>
      <w:marBottom w:val="0"/>
      <w:divBdr>
        <w:top w:val="none" w:sz="0" w:space="0" w:color="auto"/>
        <w:left w:val="none" w:sz="0" w:space="0" w:color="auto"/>
        <w:bottom w:val="none" w:sz="0" w:space="0" w:color="auto"/>
        <w:right w:val="none" w:sz="0" w:space="0" w:color="auto"/>
      </w:divBdr>
    </w:div>
    <w:div w:id="355084364">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06155594">
      <w:bodyDiv w:val="1"/>
      <w:marLeft w:val="0"/>
      <w:marRight w:val="0"/>
      <w:marTop w:val="0"/>
      <w:marBottom w:val="0"/>
      <w:divBdr>
        <w:top w:val="none" w:sz="0" w:space="0" w:color="auto"/>
        <w:left w:val="none" w:sz="0" w:space="0" w:color="auto"/>
        <w:bottom w:val="none" w:sz="0" w:space="0" w:color="auto"/>
        <w:right w:val="none" w:sz="0" w:space="0" w:color="auto"/>
      </w:divBdr>
      <w:divsChild>
        <w:div w:id="1861502735">
          <w:marLeft w:val="0"/>
          <w:marRight w:val="0"/>
          <w:marTop w:val="0"/>
          <w:marBottom w:val="0"/>
          <w:divBdr>
            <w:top w:val="none" w:sz="0" w:space="0" w:color="auto"/>
            <w:left w:val="none" w:sz="0" w:space="0" w:color="auto"/>
            <w:bottom w:val="none" w:sz="0" w:space="0" w:color="auto"/>
            <w:right w:val="none" w:sz="0" w:space="0" w:color="auto"/>
          </w:divBdr>
        </w:div>
        <w:div w:id="380179493">
          <w:marLeft w:val="0"/>
          <w:marRight w:val="0"/>
          <w:marTop w:val="0"/>
          <w:marBottom w:val="0"/>
          <w:divBdr>
            <w:top w:val="none" w:sz="0" w:space="0" w:color="auto"/>
            <w:left w:val="none" w:sz="0" w:space="0" w:color="auto"/>
            <w:bottom w:val="none" w:sz="0" w:space="0" w:color="auto"/>
            <w:right w:val="none" w:sz="0" w:space="0" w:color="auto"/>
          </w:divBdr>
        </w:div>
        <w:div w:id="1389500251">
          <w:marLeft w:val="0"/>
          <w:marRight w:val="0"/>
          <w:marTop w:val="0"/>
          <w:marBottom w:val="0"/>
          <w:divBdr>
            <w:top w:val="none" w:sz="0" w:space="0" w:color="auto"/>
            <w:left w:val="none" w:sz="0" w:space="0" w:color="auto"/>
            <w:bottom w:val="none" w:sz="0" w:space="0" w:color="auto"/>
            <w:right w:val="none" w:sz="0" w:space="0" w:color="auto"/>
          </w:divBdr>
        </w:div>
        <w:div w:id="282463048">
          <w:marLeft w:val="0"/>
          <w:marRight w:val="0"/>
          <w:marTop w:val="0"/>
          <w:marBottom w:val="0"/>
          <w:divBdr>
            <w:top w:val="none" w:sz="0" w:space="0" w:color="auto"/>
            <w:left w:val="none" w:sz="0" w:space="0" w:color="auto"/>
            <w:bottom w:val="none" w:sz="0" w:space="0" w:color="auto"/>
            <w:right w:val="none" w:sz="0" w:space="0" w:color="auto"/>
          </w:divBdr>
        </w:div>
        <w:div w:id="1436053627">
          <w:marLeft w:val="0"/>
          <w:marRight w:val="0"/>
          <w:marTop w:val="0"/>
          <w:marBottom w:val="0"/>
          <w:divBdr>
            <w:top w:val="none" w:sz="0" w:space="0" w:color="auto"/>
            <w:left w:val="none" w:sz="0" w:space="0" w:color="auto"/>
            <w:bottom w:val="none" w:sz="0" w:space="0" w:color="auto"/>
            <w:right w:val="none" w:sz="0" w:space="0" w:color="auto"/>
          </w:divBdr>
        </w:div>
        <w:div w:id="1147012457">
          <w:marLeft w:val="0"/>
          <w:marRight w:val="0"/>
          <w:marTop w:val="0"/>
          <w:marBottom w:val="0"/>
          <w:divBdr>
            <w:top w:val="none" w:sz="0" w:space="0" w:color="auto"/>
            <w:left w:val="none" w:sz="0" w:space="0" w:color="auto"/>
            <w:bottom w:val="none" w:sz="0" w:space="0" w:color="auto"/>
            <w:right w:val="none" w:sz="0" w:space="0" w:color="auto"/>
          </w:divBdr>
        </w:div>
        <w:div w:id="355622178">
          <w:marLeft w:val="0"/>
          <w:marRight w:val="0"/>
          <w:marTop w:val="0"/>
          <w:marBottom w:val="0"/>
          <w:divBdr>
            <w:top w:val="none" w:sz="0" w:space="0" w:color="auto"/>
            <w:left w:val="none" w:sz="0" w:space="0" w:color="auto"/>
            <w:bottom w:val="none" w:sz="0" w:space="0" w:color="auto"/>
            <w:right w:val="none" w:sz="0" w:space="0" w:color="auto"/>
          </w:divBdr>
        </w:div>
        <w:div w:id="2027906306">
          <w:marLeft w:val="0"/>
          <w:marRight w:val="0"/>
          <w:marTop w:val="0"/>
          <w:marBottom w:val="0"/>
          <w:divBdr>
            <w:top w:val="none" w:sz="0" w:space="0" w:color="auto"/>
            <w:left w:val="none" w:sz="0" w:space="0" w:color="auto"/>
            <w:bottom w:val="none" w:sz="0" w:space="0" w:color="auto"/>
            <w:right w:val="none" w:sz="0" w:space="0" w:color="auto"/>
          </w:divBdr>
        </w:div>
        <w:div w:id="477303547">
          <w:marLeft w:val="0"/>
          <w:marRight w:val="0"/>
          <w:marTop w:val="0"/>
          <w:marBottom w:val="0"/>
          <w:divBdr>
            <w:top w:val="none" w:sz="0" w:space="0" w:color="auto"/>
            <w:left w:val="none" w:sz="0" w:space="0" w:color="auto"/>
            <w:bottom w:val="none" w:sz="0" w:space="0" w:color="auto"/>
            <w:right w:val="none" w:sz="0" w:space="0" w:color="auto"/>
          </w:divBdr>
        </w:div>
        <w:div w:id="757604465">
          <w:marLeft w:val="0"/>
          <w:marRight w:val="0"/>
          <w:marTop w:val="0"/>
          <w:marBottom w:val="0"/>
          <w:divBdr>
            <w:top w:val="none" w:sz="0" w:space="0" w:color="auto"/>
            <w:left w:val="none" w:sz="0" w:space="0" w:color="auto"/>
            <w:bottom w:val="none" w:sz="0" w:space="0" w:color="auto"/>
            <w:right w:val="none" w:sz="0" w:space="0" w:color="auto"/>
          </w:divBdr>
        </w:div>
        <w:div w:id="558521584">
          <w:marLeft w:val="0"/>
          <w:marRight w:val="0"/>
          <w:marTop w:val="0"/>
          <w:marBottom w:val="0"/>
          <w:divBdr>
            <w:top w:val="none" w:sz="0" w:space="0" w:color="auto"/>
            <w:left w:val="none" w:sz="0" w:space="0" w:color="auto"/>
            <w:bottom w:val="none" w:sz="0" w:space="0" w:color="auto"/>
            <w:right w:val="none" w:sz="0" w:space="0" w:color="auto"/>
          </w:divBdr>
        </w:div>
        <w:div w:id="2046103375">
          <w:marLeft w:val="0"/>
          <w:marRight w:val="0"/>
          <w:marTop w:val="0"/>
          <w:marBottom w:val="0"/>
          <w:divBdr>
            <w:top w:val="none" w:sz="0" w:space="0" w:color="auto"/>
            <w:left w:val="none" w:sz="0" w:space="0" w:color="auto"/>
            <w:bottom w:val="none" w:sz="0" w:space="0" w:color="auto"/>
            <w:right w:val="none" w:sz="0" w:space="0" w:color="auto"/>
          </w:divBdr>
        </w:div>
        <w:div w:id="1241715915">
          <w:marLeft w:val="0"/>
          <w:marRight w:val="0"/>
          <w:marTop w:val="0"/>
          <w:marBottom w:val="0"/>
          <w:divBdr>
            <w:top w:val="none" w:sz="0" w:space="0" w:color="auto"/>
            <w:left w:val="none" w:sz="0" w:space="0" w:color="auto"/>
            <w:bottom w:val="none" w:sz="0" w:space="0" w:color="auto"/>
            <w:right w:val="none" w:sz="0" w:space="0" w:color="auto"/>
          </w:divBdr>
        </w:div>
        <w:div w:id="869881618">
          <w:marLeft w:val="0"/>
          <w:marRight w:val="0"/>
          <w:marTop w:val="0"/>
          <w:marBottom w:val="0"/>
          <w:divBdr>
            <w:top w:val="none" w:sz="0" w:space="0" w:color="auto"/>
            <w:left w:val="none" w:sz="0" w:space="0" w:color="auto"/>
            <w:bottom w:val="none" w:sz="0" w:space="0" w:color="auto"/>
            <w:right w:val="none" w:sz="0" w:space="0" w:color="auto"/>
          </w:divBdr>
        </w:div>
        <w:div w:id="2023239570">
          <w:marLeft w:val="0"/>
          <w:marRight w:val="0"/>
          <w:marTop w:val="0"/>
          <w:marBottom w:val="0"/>
          <w:divBdr>
            <w:top w:val="none" w:sz="0" w:space="0" w:color="auto"/>
            <w:left w:val="none" w:sz="0" w:space="0" w:color="auto"/>
            <w:bottom w:val="none" w:sz="0" w:space="0" w:color="auto"/>
            <w:right w:val="none" w:sz="0" w:space="0" w:color="auto"/>
          </w:divBdr>
        </w:div>
        <w:div w:id="453912900">
          <w:marLeft w:val="0"/>
          <w:marRight w:val="0"/>
          <w:marTop w:val="0"/>
          <w:marBottom w:val="0"/>
          <w:divBdr>
            <w:top w:val="none" w:sz="0" w:space="0" w:color="auto"/>
            <w:left w:val="none" w:sz="0" w:space="0" w:color="auto"/>
            <w:bottom w:val="none" w:sz="0" w:space="0" w:color="auto"/>
            <w:right w:val="none" w:sz="0" w:space="0" w:color="auto"/>
          </w:divBdr>
        </w:div>
        <w:div w:id="929772036">
          <w:marLeft w:val="0"/>
          <w:marRight w:val="0"/>
          <w:marTop w:val="0"/>
          <w:marBottom w:val="0"/>
          <w:divBdr>
            <w:top w:val="none" w:sz="0" w:space="0" w:color="auto"/>
            <w:left w:val="none" w:sz="0" w:space="0" w:color="auto"/>
            <w:bottom w:val="none" w:sz="0" w:space="0" w:color="auto"/>
            <w:right w:val="none" w:sz="0" w:space="0" w:color="auto"/>
          </w:divBdr>
        </w:div>
        <w:div w:id="1557011343">
          <w:marLeft w:val="0"/>
          <w:marRight w:val="0"/>
          <w:marTop w:val="0"/>
          <w:marBottom w:val="0"/>
          <w:divBdr>
            <w:top w:val="none" w:sz="0" w:space="0" w:color="auto"/>
            <w:left w:val="none" w:sz="0" w:space="0" w:color="auto"/>
            <w:bottom w:val="none" w:sz="0" w:space="0" w:color="auto"/>
            <w:right w:val="none" w:sz="0" w:space="0" w:color="auto"/>
          </w:divBdr>
        </w:div>
        <w:div w:id="1158501642">
          <w:marLeft w:val="0"/>
          <w:marRight w:val="0"/>
          <w:marTop w:val="0"/>
          <w:marBottom w:val="0"/>
          <w:divBdr>
            <w:top w:val="none" w:sz="0" w:space="0" w:color="auto"/>
            <w:left w:val="none" w:sz="0" w:space="0" w:color="auto"/>
            <w:bottom w:val="none" w:sz="0" w:space="0" w:color="auto"/>
            <w:right w:val="none" w:sz="0" w:space="0" w:color="auto"/>
          </w:divBdr>
        </w:div>
        <w:div w:id="72167171">
          <w:marLeft w:val="0"/>
          <w:marRight w:val="0"/>
          <w:marTop w:val="0"/>
          <w:marBottom w:val="0"/>
          <w:divBdr>
            <w:top w:val="none" w:sz="0" w:space="0" w:color="auto"/>
            <w:left w:val="none" w:sz="0" w:space="0" w:color="auto"/>
            <w:bottom w:val="none" w:sz="0" w:space="0" w:color="auto"/>
            <w:right w:val="none" w:sz="0" w:space="0" w:color="auto"/>
          </w:divBdr>
        </w:div>
      </w:divsChild>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46380979">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848203076">
      <w:bodyDiv w:val="1"/>
      <w:marLeft w:val="0"/>
      <w:marRight w:val="0"/>
      <w:marTop w:val="0"/>
      <w:marBottom w:val="0"/>
      <w:divBdr>
        <w:top w:val="none" w:sz="0" w:space="0" w:color="auto"/>
        <w:left w:val="none" w:sz="0" w:space="0" w:color="auto"/>
        <w:bottom w:val="none" w:sz="0" w:space="0" w:color="auto"/>
        <w:right w:val="none" w:sz="0" w:space="0" w:color="auto"/>
      </w:divBdr>
      <w:divsChild>
        <w:div w:id="123280595">
          <w:marLeft w:val="0"/>
          <w:marRight w:val="0"/>
          <w:marTop w:val="0"/>
          <w:marBottom w:val="0"/>
          <w:divBdr>
            <w:top w:val="none" w:sz="0" w:space="0" w:color="auto"/>
            <w:left w:val="none" w:sz="0" w:space="0" w:color="auto"/>
            <w:bottom w:val="none" w:sz="0" w:space="0" w:color="auto"/>
            <w:right w:val="none" w:sz="0" w:space="0" w:color="auto"/>
          </w:divBdr>
        </w:div>
        <w:div w:id="1783257826">
          <w:marLeft w:val="0"/>
          <w:marRight w:val="0"/>
          <w:marTop w:val="0"/>
          <w:marBottom w:val="0"/>
          <w:divBdr>
            <w:top w:val="none" w:sz="0" w:space="0" w:color="auto"/>
            <w:left w:val="none" w:sz="0" w:space="0" w:color="auto"/>
            <w:bottom w:val="none" w:sz="0" w:space="0" w:color="auto"/>
            <w:right w:val="none" w:sz="0" w:space="0" w:color="auto"/>
          </w:divBdr>
        </w:div>
        <w:div w:id="831413434">
          <w:marLeft w:val="0"/>
          <w:marRight w:val="0"/>
          <w:marTop w:val="0"/>
          <w:marBottom w:val="0"/>
          <w:divBdr>
            <w:top w:val="none" w:sz="0" w:space="0" w:color="auto"/>
            <w:left w:val="none" w:sz="0" w:space="0" w:color="auto"/>
            <w:bottom w:val="none" w:sz="0" w:space="0" w:color="auto"/>
            <w:right w:val="none" w:sz="0" w:space="0" w:color="auto"/>
          </w:divBdr>
        </w:div>
        <w:div w:id="1755735105">
          <w:marLeft w:val="0"/>
          <w:marRight w:val="0"/>
          <w:marTop w:val="0"/>
          <w:marBottom w:val="0"/>
          <w:divBdr>
            <w:top w:val="none" w:sz="0" w:space="0" w:color="auto"/>
            <w:left w:val="none" w:sz="0" w:space="0" w:color="auto"/>
            <w:bottom w:val="none" w:sz="0" w:space="0" w:color="auto"/>
            <w:right w:val="none" w:sz="0" w:space="0" w:color="auto"/>
          </w:divBdr>
        </w:div>
        <w:div w:id="1049301349">
          <w:marLeft w:val="0"/>
          <w:marRight w:val="0"/>
          <w:marTop w:val="0"/>
          <w:marBottom w:val="0"/>
          <w:divBdr>
            <w:top w:val="none" w:sz="0" w:space="0" w:color="auto"/>
            <w:left w:val="none" w:sz="0" w:space="0" w:color="auto"/>
            <w:bottom w:val="none" w:sz="0" w:space="0" w:color="auto"/>
            <w:right w:val="none" w:sz="0" w:space="0" w:color="auto"/>
          </w:divBdr>
        </w:div>
        <w:div w:id="1375349072">
          <w:marLeft w:val="0"/>
          <w:marRight w:val="0"/>
          <w:marTop w:val="0"/>
          <w:marBottom w:val="0"/>
          <w:divBdr>
            <w:top w:val="none" w:sz="0" w:space="0" w:color="auto"/>
            <w:left w:val="none" w:sz="0" w:space="0" w:color="auto"/>
            <w:bottom w:val="none" w:sz="0" w:space="0" w:color="auto"/>
            <w:right w:val="none" w:sz="0" w:space="0" w:color="auto"/>
          </w:divBdr>
        </w:div>
        <w:div w:id="40861298">
          <w:marLeft w:val="0"/>
          <w:marRight w:val="0"/>
          <w:marTop w:val="0"/>
          <w:marBottom w:val="0"/>
          <w:divBdr>
            <w:top w:val="none" w:sz="0" w:space="0" w:color="auto"/>
            <w:left w:val="none" w:sz="0" w:space="0" w:color="auto"/>
            <w:bottom w:val="none" w:sz="0" w:space="0" w:color="auto"/>
            <w:right w:val="none" w:sz="0" w:space="0" w:color="auto"/>
          </w:divBdr>
        </w:div>
        <w:div w:id="396127383">
          <w:marLeft w:val="0"/>
          <w:marRight w:val="0"/>
          <w:marTop w:val="0"/>
          <w:marBottom w:val="0"/>
          <w:divBdr>
            <w:top w:val="none" w:sz="0" w:space="0" w:color="auto"/>
            <w:left w:val="none" w:sz="0" w:space="0" w:color="auto"/>
            <w:bottom w:val="none" w:sz="0" w:space="0" w:color="auto"/>
            <w:right w:val="none" w:sz="0" w:space="0" w:color="auto"/>
          </w:divBdr>
        </w:div>
        <w:div w:id="362250148">
          <w:marLeft w:val="0"/>
          <w:marRight w:val="0"/>
          <w:marTop w:val="0"/>
          <w:marBottom w:val="0"/>
          <w:divBdr>
            <w:top w:val="none" w:sz="0" w:space="0" w:color="auto"/>
            <w:left w:val="none" w:sz="0" w:space="0" w:color="auto"/>
            <w:bottom w:val="none" w:sz="0" w:space="0" w:color="auto"/>
            <w:right w:val="none" w:sz="0" w:space="0" w:color="auto"/>
          </w:divBdr>
        </w:div>
        <w:div w:id="1746997377">
          <w:marLeft w:val="0"/>
          <w:marRight w:val="0"/>
          <w:marTop w:val="0"/>
          <w:marBottom w:val="0"/>
          <w:divBdr>
            <w:top w:val="none" w:sz="0" w:space="0" w:color="auto"/>
            <w:left w:val="none" w:sz="0" w:space="0" w:color="auto"/>
            <w:bottom w:val="none" w:sz="0" w:space="0" w:color="auto"/>
            <w:right w:val="none" w:sz="0" w:space="0" w:color="auto"/>
          </w:divBdr>
        </w:div>
        <w:div w:id="641157934">
          <w:marLeft w:val="0"/>
          <w:marRight w:val="0"/>
          <w:marTop w:val="0"/>
          <w:marBottom w:val="0"/>
          <w:divBdr>
            <w:top w:val="none" w:sz="0" w:space="0" w:color="auto"/>
            <w:left w:val="none" w:sz="0" w:space="0" w:color="auto"/>
            <w:bottom w:val="none" w:sz="0" w:space="0" w:color="auto"/>
            <w:right w:val="none" w:sz="0" w:space="0" w:color="auto"/>
          </w:divBdr>
        </w:div>
        <w:div w:id="1010913135">
          <w:marLeft w:val="0"/>
          <w:marRight w:val="0"/>
          <w:marTop w:val="0"/>
          <w:marBottom w:val="0"/>
          <w:divBdr>
            <w:top w:val="none" w:sz="0" w:space="0" w:color="auto"/>
            <w:left w:val="none" w:sz="0" w:space="0" w:color="auto"/>
            <w:bottom w:val="none" w:sz="0" w:space="0" w:color="auto"/>
            <w:right w:val="none" w:sz="0" w:space="0" w:color="auto"/>
          </w:divBdr>
        </w:div>
        <w:div w:id="1983532460">
          <w:marLeft w:val="0"/>
          <w:marRight w:val="0"/>
          <w:marTop w:val="0"/>
          <w:marBottom w:val="0"/>
          <w:divBdr>
            <w:top w:val="none" w:sz="0" w:space="0" w:color="auto"/>
            <w:left w:val="none" w:sz="0" w:space="0" w:color="auto"/>
            <w:bottom w:val="none" w:sz="0" w:space="0" w:color="auto"/>
            <w:right w:val="none" w:sz="0" w:space="0" w:color="auto"/>
          </w:divBdr>
        </w:div>
        <w:div w:id="1903327457">
          <w:marLeft w:val="0"/>
          <w:marRight w:val="0"/>
          <w:marTop w:val="0"/>
          <w:marBottom w:val="0"/>
          <w:divBdr>
            <w:top w:val="none" w:sz="0" w:space="0" w:color="auto"/>
            <w:left w:val="none" w:sz="0" w:space="0" w:color="auto"/>
            <w:bottom w:val="none" w:sz="0" w:space="0" w:color="auto"/>
            <w:right w:val="none" w:sz="0" w:space="0" w:color="auto"/>
          </w:divBdr>
        </w:div>
        <w:div w:id="112136148">
          <w:marLeft w:val="0"/>
          <w:marRight w:val="0"/>
          <w:marTop w:val="0"/>
          <w:marBottom w:val="0"/>
          <w:divBdr>
            <w:top w:val="none" w:sz="0" w:space="0" w:color="auto"/>
            <w:left w:val="none" w:sz="0" w:space="0" w:color="auto"/>
            <w:bottom w:val="none" w:sz="0" w:space="0" w:color="auto"/>
            <w:right w:val="none" w:sz="0" w:space="0" w:color="auto"/>
          </w:divBdr>
        </w:div>
        <w:div w:id="870149259">
          <w:marLeft w:val="0"/>
          <w:marRight w:val="0"/>
          <w:marTop w:val="0"/>
          <w:marBottom w:val="0"/>
          <w:divBdr>
            <w:top w:val="none" w:sz="0" w:space="0" w:color="auto"/>
            <w:left w:val="none" w:sz="0" w:space="0" w:color="auto"/>
            <w:bottom w:val="none" w:sz="0" w:space="0" w:color="auto"/>
            <w:right w:val="none" w:sz="0" w:space="0" w:color="auto"/>
          </w:divBdr>
        </w:div>
        <w:div w:id="1052004506">
          <w:marLeft w:val="0"/>
          <w:marRight w:val="0"/>
          <w:marTop w:val="0"/>
          <w:marBottom w:val="0"/>
          <w:divBdr>
            <w:top w:val="none" w:sz="0" w:space="0" w:color="auto"/>
            <w:left w:val="none" w:sz="0" w:space="0" w:color="auto"/>
            <w:bottom w:val="none" w:sz="0" w:space="0" w:color="auto"/>
            <w:right w:val="none" w:sz="0" w:space="0" w:color="auto"/>
          </w:divBdr>
        </w:div>
        <w:div w:id="1230724811">
          <w:marLeft w:val="0"/>
          <w:marRight w:val="0"/>
          <w:marTop w:val="0"/>
          <w:marBottom w:val="0"/>
          <w:divBdr>
            <w:top w:val="none" w:sz="0" w:space="0" w:color="auto"/>
            <w:left w:val="none" w:sz="0" w:space="0" w:color="auto"/>
            <w:bottom w:val="none" w:sz="0" w:space="0" w:color="auto"/>
            <w:right w:val="none" w:sz="0" w:space="0" w:color="auto"/>
          </w:divBdr>
        </w:div>
        <w:div w:id="849871905">
          <w:marLeft w:val="0"/>
          <w:marRight w:val="0"/>
          <w:marTop w:val="0"/>
          <w:marBottom w:val="0"/>
          <w:divBdr>
            <w:top w:val="none" w:sz="0" w:space="0" w:color="auto"/>
            <w:left w:val="none" w:sz="0" w:space="0" w:color="auto"/>
            <w:bottom w:val="none" w:sz="0" w:space="0" w:color="auto"/>
            <w:right w:val="none" w:sz="0" w:space="0" w:color="auto"/>
          </w:divBdr>
        </w:div>
        <w:div w:id="1960868135">
          <w:marLeft w:val="0"/>
          <w:marRight w:val="0"/>
          <w:marTop w:val="0"/>
          <w:marBottom w:val="0"/>
          <w:divBdr>
            <w:top w:val="none" w:sz="0" w:space="0" w:color="auto"/>
            <w:left w:val="none" w:sz="0" w:space="0" w:color="auto"/>
            <w:bottom w:val="none" w:sz="0" w:space="0" w:color="auto"/>
            <w:right w:val="none" w:sz="0" w:space="0" w:color="auto"/>
          </w:divBdr>
        </w:div>
      </w:divsChild>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8.emf"/><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es.wikipedia.org/wiki/Nueva_Espa%C3%B1a" TargetMode="External"/><Relationship Id="rId42" Type="http://schemas.openxmlformats.org/officeDocument/2006/relationships/image" Target="media/image9.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emf"/><Relationship Id="rId25" Type="http://schemas.openxmlformats.org/officeDocument/2006/relationships/hyperlink" Target="http://es.wikipedia.org/wiki/Hidalgo_%28M%C3%A9xico%29"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es.wikipedia.org/wiki/M%C3%A9xico"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yperlink" Target="http://es.wikipedia.org/wiki/Estado_de_M%C3%A9xico"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es.wikipedia.org/wiki/Puebla" TargetMode="External"/><Relationship Id="rId10" Type="http://schemas.openxmlformats.org/officeDocument/2006/relationships/image" Target="media/image2.emf"/><Relationship Id="rId19" Type="http://schemas.openxmlformats.org/officeDocument/2006/relationships/hyperlink" Target="http://es.wikipedia.org/wiki/Organizaci%C3%B3n_territorial_de_M%C3%A9xico"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hyperlink" Target="http://es.wikipedia.org/wiki/Antonio_de_Mendoza" TargetMode="External"/><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oleObject" Target="file:///C:\AGUILAR\RESP%202\CUENTA%20P&#218;BLICA%20ARMONIZADA%202015\cuadros%20armonizada%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45"/>
    </mc:Choice>
    <mc:Fallback>
      <c:style val="45"/>
    </mc:Fallback>
  </mc:AlternateContent>
  <c:chart>
    <c:title>
      <c:tx>
        <c:rich>
          <a:bodyPr/>
          <a:lstStyle/>
          <a:p>
            <a:pPr>
              <a:defRPr sz="1400">
                <a:solidFill>
                  <a:schemeClr val="tx1"/>
                </a:solidFill>
              </a:defRPr>
            </a:pPr>
            <a:r>
              <a:rPr lang="es-MX" sz="1400">
                <a:solidFill>
                  <a:schemeClr val="tx1"/>
                </a:solidFill>
              </a:rPr>
              <a:t>Ingresos Estatales 2009-2015</a:t>
            </a:r>
          </a:p>
        </c:rich>
      </c:tx>
      <c:layout/>
      <c:overlay val="0"/>
    </c:title>
    <c:autoTitleDeleted val="0"/>
    <c:plotArea>
      <c:layout/>
      <c:barChart>
        <c:barDir val="col"/>
        <c:grouping val="clustered"/>
        <c:varyColors val="0"/>
        <c:ser>
          <c:idx val="0"/>
          <c:order val="0"/>
          <c:invertIfNegative val="0"/>
          <c:cat>
            <c:strRef>
              <c:f>INGRESOS!$A$57:$A$63</c:f>
              <c:strCache>
                <c:ptCount val="7"/>
                <c:pt idx="0">
                  <c:v>LIE 2009</c:v>
                </c:pt>
                <c:pt idx="1">
                  <c:v>LIE 2010</c:v>
                </c:pt>
                <c:pt idx="2">
                  <c:v>LIE 2011</c:v>
                </c:pt>
                <c:pt idx="3">
                  <c:v>LIE 2012</c:v>
                </c:pt>
                <c:pt idx="4">
                  <c:v>LIE 2013</c:v>
                </c:pt>
                <c:pt idx="5">
                  <c:v>LIE 2014</c:v>
                </c:pt>
                <c:pt idx="6">
                  <c:v>LIE 2015</c:v>
                </c:pt>
              </c:strCache>
            </c:strRef>
          </c:cat>
          <c:val>
            <c:numRef>
              <c:f>INGRESOS!$B$57:$B$63</c:f>
              <c:numCache>
                <c:formatCode>General</c:formatCode>
                <c:ptCount val="7"/>
                <c:pt idx="0">
                  <c:v>425</c:v>
                </c:pt>
                <c:pt idx="1">
                  <c:v>425.1</c:v>
                </c:pt>
                <c:pt idx="2">
                  <c:v>434.8</c:v>
                </c:pt>
                <c:pt idx="3">
                  <c:v>492.7</c:v>
                </c:pt>
                <c:pt idx="4">
                  <c:v>429.4</c:v>
                </c:pt>
                <c:pt idx="5">
                  <c:v>445.3</c:v>
                </c:pt>
                <c:pt idx="6">
                  <c:v>508.7</c:v>
                </c:pt>
              </c:numCache>
            </c:numRef>
          </c:val>
        </c:ser>
        <c:dLbls>
          <c:showLegendKey val="0"/>
          <c:showVal val="0"/>
          <c:showCatName val="0"/>
          <c:showSerName val="0"/>
          <c:showPercent val="0"/>
          <c:showBubbleSize val="0"/>
        </c:dLbls>
        <c:gapWidth val="75"/>
        <c:overlap val="-25"/>
        <c:axId val="225579080"/>
        <c:axId val="225511192"/>
      </c:barChart>
      <c:catAx>
        <c:axId val="225579080"/>
        <c:scaling>
          <c:orientation val="minMax"/>
        </c:scaling>
        <c:delete val="0"/>
        <c:axPos val="b"/>
        <c:numFmt formatCode="General" sourceLinked="0"/>
        <c:majorTickMark val="none"/>
        <c:minorTickMark val="none"/>
        <c:tickLblPos val="nextTo"/>
        <c:txPr>
          <a:bodyPr/>
          <a:lstStyle/>
          <a:p>
            <a:pPr>
              <a:defRPr sz="800" b="1">
                <a:solidFill>
                  <a:schemeClr val="tx1"/>
                </a:solidFill>
              </a:defRPr>
            </a:pPr>
            <a:endParaRPr lang="es-MX"/>
          </a:p>
        </c:txPr>
        <c:crossAx val="225511192"/>
        <c:crosses val="autoZero"/>
        <c:auto val="1"/>
        <c:lblAlgn val="ctr"/>
        <c:lblOffset val="100"/>
        <c:noMultiLvlLbl val="0"/>
      </c:catAx>
      <c:valAx>
        <c:axId val="225511192"/>
        <c:scaling>
          <c:orientation val="minMax"/>
        </c:scaling>
        <c:delete val="1"/>
        <c:axPos val="l"/>
        <c:numFmt formatCode="General" sourceLinked="1"/>
        <c:majorTickMark val="none"/>
        <c:minorTickMark val="none"/>
        <c:tickLblPos val="none"/>
        <c:crossAx val="225579080"/>
        <c:crosses val="autoZero"/>
        <c:crossBetween val="between"/>
      </c:valAx>
      <c:spPr>
        <a:noFill/>
        <a:ln w="25400">
          <a:noFill/>
        </a:ln>
      </c:spPr>
    </c:plotArea>
    <c:plotVisOnly val="1"/>
    <c:dispBlanksAs val="gap"/>
    <c:showDLblsOverMax val="0"/>
  </c:chart>
  <c:spPr>
    <a:solidFill>
      <a:sysClr val="window" lastClr="FFFFFF"/>
    </a:solidFill>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32C70-6DE7-43BE-898D-BE35CC0E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7812</Words>
  <Characters>42966</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susana</cp:lastModifiedBy>
  <cp:revision>3</cp:revision>
  <cp:lastPrinted>2016-01-19T15:36:00Z</cp:lastPrinted>
  <dcterms:created xsi:type="dcterms:W3CDTF">2016-07-25T05:11:00Z</dcterms:created>
  <dcterms:modified xsi:type="dcterms:W3CDTF">2016-07-25T05:14:00Z</dcterms:modified>
</cp:coreProperties>
</file>