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B91BF9" w:rsidP="003D5DBF">
      <w:pPr>
        <w:jc w:val="center"/>
      </w:pPr>
      <w:r>
        <w:object w:dxaOrig="23114" w:dyaOrig="1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6pt;height:446.95pt" o:ole="">
            <v:imagedata r:id="rId8" o:title=""/>
          </v:shape>
          <o:OLEObject Type="Embed" ProgID="Excel.Sheet.12" ShapeID="_x0000_i1025" DrawAspect="Content" ObjectID="_1528897984" r:id="rId9"/>
        </w:object>
      </w:r>
    </w:p>
    <w:p w:rsidR="00EA5418" w:rsidRDefault="00FE6784" w:rsidP="00372F40">
      <w:pPr>
        <w:jc w:val="center"/>
      </w:pPr>
      <w:r>
        <w:rPr>
          <w:noProof/>
        </w:rPr>
        <w:lastRenderedPageBreak/>
        <w:object w:dxaOrig="1440" w:dyaOrig="1440">
          <v:shape id="_x0000_s1072" type="#_x0000_t75" style="position:absolute;left:0;text-align:left;margin-left:-38.1pt;margin-top:37.35pt;width:773.4pt;height:390.05pt;z-index:251676672;mso-position-horizontal-relative:text;mso-position-vertical-relative:text">
            <v:imagedata r:id="rId10" o:title=""/>
            <w10:wrap type="square" side="right"/>
          </v:shape>
          <o:OLEObject Type="Embed" ProgID="Excel.Sheet.12" ShapeID="_x0000_s1072" DrawAspect="Content" ObjectID="_1528897990" r:id="rId11"/>
        </w:object>
      </w:r>
    </w:p>
    <w:p w:rsidR="00372F40" w:rsidRDefault="007347D6" w:rsidP="00B95DED">
      <w:pPr>
        <w:jc w:val="center"/>
      </w:pPr>
      <w:r>
        <w:lastRenderedPageBreak/>
        <w:br w:type="textWrapping" w:clear="all"/>
      </w:r>
      <w:bookmarkStart w:id="1" w:name="_MON_1470806992"/>
      <w:bookmarkEnd w:id="1"/>
      <w:r w:rsidR="005D0533">
        <w:object w:dxaOrig="21580" w:dyaOrig="15652">
          <v:shape id="_x0000_i1026" type="#_x0000_t75" style="width:628.3pt;height:429.95pt" o:ole="">
            <v:imagedata r:id="rId12" o:title=""/>
          </v:shape>
          <o:OLEObject Type="Embed" ProgID="Excel.Sheet.12" ShapeID="_x0000_i1026" DrawAspect="Content" ObjectID="_1528897985" r:id="rId13"/>
        </w:object>
      </w:r>
    </w:p>
    <w:bookmarkStart w:id="2" w:name="_MON_1470807348"/>
    <w:bookmarkEnd w:id="2"/>
    <w:p w:rsidR="00372F40" w:rsidRDefault="003F3E58" w:rsidP="008E3652">
      <w:pPr>
        <w:jc w:val="center"/>
      </w:pPr>
      <w:r>
        <w:object w:dxaOrig="17388" w:dyaOrig="12558">
          <v:shape id="_x0000_i1027" type="#_x0000_t75" style="width:614.7pt;height:444.25pt" o:ole="">
            <v:imagedata r:id="rId14" o:title=""/>
          </v:shape>
          <o:OLEObject Type="Embed" ProgID="Excel.Sheet.12" ShapeID="_x0000_i1027" DrawAspect="Content" ObjectID="_1528897986" r:id="rId15"/>
        </w:object>
      </w:r>
    </w:p>
    <w:bookmarkStart w:id="3" w:name="_MON_1470809138"/>
    <w:bookmarkEnd w:id="3"/>
    <w:bookmarkStart w:id="4" w:name="_MON_1499247648"/>
    <w:bookmarkEnd w:id="4"/>
    <w:p w:rsidR="00372F40" w:rsidRDefault="00FF1138" w:rsidP="00522632">
      <w:pPr>
        <w:jc w:val="center"/>
      </w:pPr>
      <w:r>
        <w:object w:dxaOrig="17489" w:dyaOrig="12415">
          <v:shape id="_x0000_i1028" type="#_x0000_t75" style="width:620.85pt;height:439.45pt" o:ole="">
            <v:imagedata r:id="rId16" o:title=""/>
          </v:shape>
          <o:OLEObject Type="Embed" ProgID="Excel.Sheet.12" ShapeID="_x0000_i1028" DrawAspect="Content" ObjectID="_1528897987" r:id="rId17"/>
        </w:object>
      </w:r>
    </w:p>
    <w:p w:rsidR="00372F40" w:rsidRDefault="00372F40" w:rsidP="002A70B3">
      <w:pPr>
        <w:tabs>
          <w:tab w:val="left" w:pos="2430"/>
        </w:tabs>
      </w:pPr>
    </w:p>
    <w:bookmarkStart w:id="5" w:name="_MON_1470814596"/>
    <w:bookmarkEnd w:id="5"/>
    <w:p w:rsidR="00E32708" w:rsidRDefault="009A2B75" w:rsidP="00E32708">
      <w:pPr>
        <w:tabs>
          <w:tab w:val="left" w:pos="2430"/>
        </w:tabs>
        <w:jc w:val="center"/>
      </w:pPr>
      <w:r>
        <w:object w:dxaOrig="17888" w:dyaOrig="11364">
          <v:shape id="_x0000_i1029" type="#_x0000_t75" style="width:623.55pt;height:394.65pt" o:ole="">
            <v:imagedata r:id="rId18" o:title=""/>
          </v:shape>
          <o:OLEObject Type="Embed" ProgID="Excel.Sheet.12" ShapeID="_x0000_i1029" DrawAspect="Content" ObjectID="_1528897988" r:id="rId19"/>
        </w:object>
      </w:r>
    </w:p>
    <w:bookmarkStart w:id="6" w:name="_MON_1470810366"/>
    <w:bookmarkEnd w:id="6"/>
    <w:p w:rsidR="00E32708" w:rsidRDefault="00DE04FC" w:rsidP="00E32708">
      <w:pPr>
        <w:tabs>
          <w:tab w:val="left" w:pos="2430"/>
        </w:tabs>
        <w:jc w:val="center"/>
      </w:pPr>
      <w:r>
        <w:object w:dxaOrig="25426" w:dyaOrig="16641">
          <v:shape id="_x0000_i1030" type="#_x0000_t75" style="width:677.9pt;height:444.25pt" o:ole="">
            <v:imagedata r:id="rId20" o:title=""/>
          </v:shape>
          <o:OLEObject Type="Embed" ProgID="Excel.Sheet.12" ShapeID="_x0000_i1030" DrawAspect="Content" ObjectID="_1528897989"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05457B"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9D08FE" w:rsidRDefault="009D08FE" w:rsidP="009D08F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D08FE" w:rsidRDefault="009D08FE" w:rsidP="009D08FE">
      <w:pPr>
        <w:pStyle w:val="Texto"/>
        <w:spacing w:after="0" w:line="240" w:lineRule="exact"/>
        <w:jc w:val="center"/>
        <w:rPr>
          <w:rFonts w:ascii="Soberana Sans Light" w:hAnsi="Soberana Sans Light"/>
          <w:b/>
          <w:sz w:val="22"/>
          <w:szCs w:val="22"/>
        </w:rPr>
      </w:pPr>
    </w:p>
    <w:p w:rsidR="009D08FE" w:rsidRDefault="009D08FE" w:rsidP="009D08FE">
      <w:pPr>
        <w:pStyle w:val="Texto"/>
        <w:spacing w:after="0" w:line="240" w:lineRule="exact"/>
        <w:jc w:val="center"/>
        <w:rPr>
          <w:rFonts w:ascii="Soberana Sans Light" w:hAnsi="Soberana Sans Light"/>
          <w:b/>
          <w:sz w:val="22"/>
          <w:szCs w:val="22"/>
        </w:rPr>
      </w:pP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9D497E"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w:t>
            </w:r>
            <w:r w:rsidR="002457D8">
              <w:rPr>
                <w:rFonts w:ascii="Arial" w:eastAsia="Times New Roman" w:hAnsi="Arial" w:cs="Arial"/>
                <w:sz w:val="18"/>
                <w:szCs w:val="18"/>
                <w:lang w:eastAsia="es-MX"/>
              </w:rPr>
              <w:t>1</w:t>
            </w:r>
            <w:r>
              <w:rPr>
                <w:rFonts w:ascii="Arial" w:eastAsia="Times New Roman" w:hAnsi="Arial" w:cs="Arial"/>
                <w:sz w:val="18"/>
                <w:szCs w:val="18"/>
                <w:lang w:eastAsia="es-MX"/>
              </w:rPr>
              <w:t>,</w:t>
            </w:r>
            <w:r w:rsidR="002457D8">
              <w:rPr>
                <w:rFonts w:ascii="Arial" w:eastAsia="Times New Roman" w:hAnsi="Arial" w:cs="Arial"/>
                <w:sz w:val="18"/>
                <w:szCs w:val="18"/>
                <w:lang w:eastAsia="es-MX"/>
              </w:rPr>
              <w:t>729</w:t>
            </w:r>
            <w:r>
              <w:rPr>
                <w:rFonts w:ascii="Arial" w:eastAsia="Times New Roman" w:hAnsi="Arial" w:cs="Arial"/>
                <w:sz w:val="18"/>
                <w:szCs w:val="18"/>
                <w:lang w:eastAsia="es-MX"/>
              </w:rPr>
              <w:t>,</w:t>
            </w:r>
            <w:r w:rsidR="002457D8">
              <w:rPr>
                <w:rFonts w:ascii="Arial" w:eastAsia="Times New Roman" w:hAnsi="Arial" w:cs="Arial"/>
                <w:sz w:val="18"/>
                <w:szCs w:val="18"/>
                <w:lang w:eastAsia="es-MX"/>
              </w:rPr>
              <w:t>810</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2457D8"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w:t>
            </w:r>
            <w:r w:rsidR="009D497E">
              <w:rPr>
                <w:rFonts w:ascii="Arial" w:eastAsia="Times New Roman" w:hAnsi="Arial" w:cs="Arial"/>
                <w:sz w:val="18"/>
                <w:szCs w:val="18"/>
                <w:lang w:eastAsia="es-MX"/>
              </w:rPr>
              <w:t>,</w:t>
            </w:r>
            <w:r>
              <w:rPr>
                <w:rFonts w:ascii="Arial" w:eastAsia="Times New Roman" w:hAnsi="Arial" w:cs="Arial"/>
                <w:sz w:val="18"/>
                <w:szCs w:val="18"/>
                <w:lang w:eastAsia="es-MX"/>
              </w:rPr>
              <w:t>910</w:t>
            </w:r>
            <w:r w:rsidR="009D497E">
              <w:rPr>
                <w:rFonts w:ascii="Arial" w:eastAsia="Times New Roman" w:hAnsi="Arial" w:cs="Arial"/>
                <w:sz w:val="18"/>
                <w:szCs w:val="18"/>
                <w:lang w:eastAsia="es-MX"/>
              </w:rPr>
              <w:t>,</w:t>
            </w:r>
            <w:r>
              <w:rPr>
                <w:rFonts w:ascii="Arial" w:eastAsia="Times New Roman" w:hAnsi="Arial" w:cs="Arial"/>
                <w:sz w:val="18"/>
                <w:szCs w:val="18"/>
                <w:lang w:eastAsia="es-MX"/>
              </w:rPr>
              <w:t>142</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2457D8"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44,639,952</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2F15F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2F15F6" w:rsidRDefault="002F15F6"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r w:rsidR="001E5E1D" w:rsidRPr="001E5E1D">
        <w:rPr>
          <w:rFonts w:ascii="Arial" w:eastAsia="Times New Roman" w:hAnsi="Arial" w:cs="Arial"/>
          <w:b/>
          <w:sz w:val="18"/>
          <w:szCs w:val="18"/>
          <w:lang w:eastAsia="es-MX"/>
        </w:rPr>
        <w:t xml:space="preserve"> </w:t>
      </w:r>
    </w:p>
    <w:p w:rsidR="00CB7189" w:rsidRDefault="002457D8"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r>
        <w:rPr>
          <w:rFonts w:ascii="Arial" w:eastAsia="Calibri" w:hAnsi="Arial" w:cs="Arial"/>
          <w:noProof/>
          <w:spacing w:val="-1"/>
          <w:sz w:val="18"/>
          <w:szCs w:val="18"/>
          <w:lang w:eastAsia="es-MX"/>
        </w:rPr>
        <w:drawing>
          <wp:inline distT="0" distB="0" distL="0" distR="0">
            <wp:extent cx="4592955" cy="420969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XOS DEL PERIODO ABR-JUN 2016 DEUDORES_Página_1.jpg"/>
                    <pic:cNvPicPr/>
                  </pic:nvPicPr>
                  <pic:blipFill rotWithShape="1">
                    <a:blip r:embed="rId22" cstate="print">
                      <a:extLst>
                        <a:ext uri="{28A0092B-C50C-407E-A947-70E740481C1C}">
                          <a14:useLocalDpi xmlns:a14="http://schemas.microsoft.com/office/drawing/2010/main" val="0"/>
                        </a:ext>
                      </a:extLst>
                    </a:blip>
                    <a:srcRect t="23077" b="6096"/>
                    <a:stretch/>
                  </pic:blipFill>
                  <pic:spPr bwMode="auto">
                    <a:xfrm>
                      <a:off x="0" y="0"/>
                      <a:ext cx="4592955" cy="4209691"/>
                    </a:xfrm>
                    <a:prstGeom prst="rect">
                      <a:avLst/>
                    </a:prstGeom>
                    <a:ln>
                      <a:noFill/>
                    </a:ln>
                    <a:extLst>
                      <a:ext uri="{53640926-AAD7-44D8-BBD7-CCE9431645EC}">
                        <a14:shadowObscured xmlns:a14="http://schemas.microsoft.com/office/drawing/2010/main"/>
                      </a:ext>
                    </a:extLst>
                  </pic:spPr>
                </pic:pic>
              </a:graphicData>
            </a:graphic>
          </wp:inline>
        </w:drawing>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2457D8"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r>
        <w:rPr>
          <w:rFonts w:ascii="Arial" w:eastAsia="Calibri" w:hAnsi="Arial" w:cs="Arial"/>
          <w:noProof/>
          <w:spacing w:val="-1"/>
          <w:sz w:val="18"/>
          <w:szCs w:val="18"/>
          <w:lang w:eastAsia="es-MX"/>
        </w:rPr>
        <w:drawing>
          <wp:inline distT="0" distB="0" distL="0" distR="0">
            <wp:extent cx="4592689" cy="24412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EXOS DEL PERIODO ABR-JUN 2016 DEUDORES_Página_2.jpg"/>
                    <pic:cNvPicPr/>
                  </pic:nvPicPr>
                  <pic:blipFill rotWithShape="1">
                    <a:blip r:embed="rId23" cstate="print">
                      <a:extLst>
                        <a:ext uri="{28A0092B-C50C-407E-A947-70E740481C1C}">
                          <a14:useLocalDpi xmlns:a14="http://schemas.microsoft.com/office/drawing/2010/main" val="0"/>
                        </a:ext>
                      </a:extLst>
                    </a:blip>
                    <a:srcRect t="23222" b="35701"/>
                    <a:stretch/>
                  </pic:blipFill>
                  <pic:spPr bwMode="auto">
                    <a:xfrm>
                      <a:off x="0" y="0"/>
                      <a:ext cx="4592955" cy="2441417"/>
                    </a:xfrm>
                    <a:prstGeom prst="rect">
                      <a:avLst/>
                    </a:prstGeom>
                    <a:ln>
                      <a:noFill/>
                    </a:ln>
                    <a:extLst>
                      <a:ext uri="{53640926-AAD7-44D8-BBD7-CCE9431645EC}">
                        <a14:shadowObscured xmlns:a14="http://schemas.microsoft.com/office/drawing/2010/main"/>
                      </a:ext>
                    </a:extLst>
                  </pic:spPr>
                </pic:pic>
              </a:graphicData>
            </a:graphic>
          </wp:inline>
        </w:drawing>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E244B2" w:rsidRDefault="00E244B2"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A539CE" w:rsidRDefault="00A539CE"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9D08FE" w:rsidRPr="006E60FB" w:rsidRDefault="001903BE" w:rsidP="009D08FE">
      <w:pPr>
        <w:pStyle w:val="ROMANOS"/>
        <w:spacing w:after="0" w:line="240" w:lineRule="exact"/>
        <w:rPr>
          <w:lang w:val="es-MX"/>
        </w:rPr>
      </w:pPr>
      <w:r>
        <w:rPr>
          <w:lang w:val="es-MX"/>
        </w:rPr>
        <w:tab/>
      </w:r>
      <w:r w:rsidR="006E60FB" w:rsidRPr="006E60FB">
        <w:rPr>
          <w:lang w:val="es-MX"/>
        </w:rPr>
        <w:t>No aplica</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A539CE">
        <w:rPr>
          <w:lang w:val="es-MX"/>
        </w:rPr>
        <w:t xml:space="preserve">un </w:t>
      </w:r>
      <w:r w:rsidR="006E60FB" w:rsidRPr="006E60FB">
        <w:rPr>
          <w:lang w:val="es-MX"/>
        </w:rPr>
        <w:t xml:space="preserve">saldo de inversiones </w:t>
      </w:r>
      <w:r w:rsidR="00A539CE">
        <w:rPr>
          <w:lang w:val="es-MX"/>
        </w:rPr>
        <w:t xml:space="preserve">manifestado en efectivo y equivalentes, por la cantidad de: </w:t>
      </w:r>
    </w:p>
    <w:p w:rsidR="00A539CE" w:rsidRPr="0096143E" w:rsidRDefault="00A539CE" w:rsidP="00A539C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429"/>
      </w:tblGrid>
      <w:tr w:rsidR="00A539CE" w:rsidRPr="0096143E" w:rsidTr="00A539CE">
        <w:trPr>
          <w:jc w:val="center"/>
        </w:trPr>
        <w:tc>
          <w:tcPr>
            <w:tcW w:w="3319" w:type="dxa"/>
            <w:tcBorders>
              <w:top w:val="single" w:sz="4" w:space="0" w:color="auto"/>
              <w:left w:val="single" w:sz="4" w:space="0" w:color="auto"/>
              <w:bottom w:val="single" w:sz="4" w:space="0" w:color="auto"/>
              <w:right w:val="single" w:sz="4" w:space="0" w:color="auto"/>
            </w:tcBorders>
            <w:shd w:val="clear" w:color="auto" w:fill="00B050"/>
            <w:hideMark/>
          </w:tcPr>
          <w:p w:rsidR="00A539CE" w:rsidRPr="0096143E" w:rsidRDefault="00A539CE" w:rsidP="008001D5">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539CE" w:rsidRPr="0096143E" w:rsidRDefault="00A539CE" w:rsidP="008001D5">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A539CE" w:rsidRPr="0096143E" w:rsidTr="00A539CE">
        <w:trPr>
          <w:trHeight w:val="56"/>
          <w:jc w:val="center"/>
        </w:trPr>
        <w:tc>
          <w:tcPr>
            <w:tcW w:w="3319" w:type="dxa"/>
            <w:tcBorders>
              <w:top w:val="single" w:sz="4" w:space="0" w:color="auto"/>
              <w:left w:val="single" w:sz="4" w:space="0" w:color="auto"/>
              <w:bottom w:val="single" w:sz="4" w:space="0" w:color="auto"/>
              <w:right w:val="single" w:sz="4" w:space="0" w:color="auto"/>
            </w:tcBorders>
            <w:shd w:val="clear" w:color="auto" w:fill="auto"/>
          </w:tcPr>
          <w:p w:rsidR="00A539CE" w:rsidRDefault="00A539CE" w:rsidP="008001D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539CE" w:rsidRDefault="002F1DF1" w:rsidP="002F1DF1">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w:t>
            </w:r>
            <w:r w:rsidR="00A539CE">
              <w:rPr>
                <w:rFonts w:ascii="Arial" w:eastAsia="Times New Roman" w:hAnsi="Arial" w:cs="Arial"/>
                <w:sz w:val="18"/>
                <w:szCs w:val="18"/>
                <w:lang w:eastAsia="es-MX"/>
              </w:rPr>
              <w:t>,</w:t>
            </w:r>
            <w:r>
              <w:rPr>
                <w:rFonts w:ascii="Arial" w:eastAsia="Times New Roman" w:hAnsi="Arial" w:cs="Arial"/>
                <w:sz w:val="18"/>
                <w:szCs w:val="18"/>
                <w:lang w:eastAsia="es-MX"/>
              </w:rPr>
              <w:t>910</w:t>
            </w:r>
            <w:r w:rsidR="00A539CE">
              <w:rPr>
                <w:rFonts w:ascii="Arial" w:eastAsia="Times New Roman" w:hAnsi="Arial" w:cs="Arial"/>
                <w:sz w:val="18"/>
                <w:szCs w:val="18"/>
                <w:lang w:eastAsia="es-MX"/>
              </w:rPr>
              <w:t>,</w:t>
            </w:r>
            <w:r>
              <w:rPr>
                <w:rFonts w:ascii="Arial" w:eastAsia="Times New Roman" w:hAnsi="Arial" w:cs="Arial"/>
                <w:sz w:val="18"/>
                <w:szCs w:val="18"/>
                <w:lang w:eastAsia="es-MX"/>
              </w:rPr>
              <w:t>142</w:t>
            </w:r>
          </w:p>
        </w:tc>
      </w:tr>
    </w:tbl>
    <w:p w:rsidR="00A539CE" w:rsidRDefault="00A539CE" w:rsidP="009D08FE">
      <w:pPr>
        <w:pStyle w:val="ROMANOS"/>
        <w:spacing w:after="0" w:line="240" w:lineRule="exact"/>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b/>
          <w:lang w:val="es-MX"/>
        </w:rPr>
        <w:tab/>
      </w: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integración de los bienes inmuebles al 3</w:t>
      </w:r>
      <w:r w:rsidR="002F1DF1">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F1DF1">
        <w:rPr>
          <w:rFonts w:ascii="Arial" w:eastAsia="Times New Roman" w:hAnsi="Arial" w:cs="Arial"/>
          <w:sz w:val="18"/>
          <w:szCs w:val="18"/>
          <w:lang w:eastAsia="es-MX"/>
        </w:rPr>
        <w:t>juni</w:t>
      </w:r>
      <w:r w:rsidR="00A539CE">
        <w:rPr>
          <w:rFonts w:ascii="Arial" w:eastAsia="Times New Roman" w:hAnsi="Arial" w:cs="Arial"/>
          <w:sz w:val="18"/>
          <w:szCs w:val="18"/>
          <w:lang w:eastAsia="es-MX"/>
        </w:rPr>
        <w:t>o</w:t>
      </w:r>
      <w:r w:rsidRPr="0096143E">
        <w:rPr>
          <w:rFonts w:ascii="Arial" w:eastAsia="Times New Roman" w:hAnsi="Arial" w:cs="Arial"/>
          <w:sz w:val="18"/>
          <w:szCs w:val="18"/>
          <w:lang w:eastAsia="es-MX"/>
        </w:rPr>
        <w:t xml:space="preserve"> de 201</w:t>
      </w:r>
      <w:r w:rsidR="00A539CE">
        <w:rPr>
          <w:rFonts w:ascii="Arial" w:eastAsia="Times New Roman" w:hAnsi="Arial" w:cs="Arial"/>
          <w:sz w:val="18"/>
          <w:szCs w:val="18"/>
          <w:lang w:eastAsia="es-MX"/>
        </w:rPr>
        <w:t>6</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FC29A3"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integración de los bienes muebles al 3</w:t>
      </w:r>
      <w:r w:rsidR="002F1DF1">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F1DF1">
        <w:rPr>
          <w:rFonts w:ascii="Arial" w:eastAsia="Times New Roman" w:hAnsi="Arial" w:cs="Arial"/>
          <w:sz w:val="18"/>
          <w:szCs w:val="18"/>
          <w:lang w:eastAsia="es-MX"/>
        </w:rPr>
        <w:t>juni</w:t>
      </w:r>
      <w:r w:rsidR="000E75FD">
        <w:rPr>
          <w:rFonts w:ascii="Arial" w:eastAsia="Times New Roman" w:hAnsi="Arial" w:cs="Arial"/>
          <w:sz w:val="18"/>
          <w:szCs w:val="18"/>
          <w:lang w:eastAsia="es-MX"/>
        </w:rPr>
        <w:t xml:space="preserve">o </w:t>
      </w:r>
      <w:r w:rsidRPr="0096143E">
        <w:rPr>
          <w:rFonts w:ascii="Arial" w:eastAsia="Times New Roman" w:hAnsi="Arial" w:cs="Arial"/>
          <w:sz w:val="18"/>
          <w:szCs w:val="18"/>
          <w:lang w:eastAsia="es-MX"/>
        </w:rPr>
        <w:t>de 201</w:t>
      </w:r>
      <w:r w:rsidR="000E75FD">
        <w:rPr>
          <w:rFonts w:ascii="Arial" w:eastAsia="Times New Roman" w:hAnsi="Arial" w:cs="Arial"/>
          <w:sz w:val="18"/>
          <w:szCs w:val="18"/>
          <w:lang w:eastAsia="es-MX"/>
        </w:rPr>
        <w:t>6</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FC29A3"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2F1DF1">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sidR="002F1DF1">
              <w:rPr>
                <w:rFonts w:ascii="Arial" w:eastAsia="Times New Roman" w:hAnsi="Arial" w:cs="Arial"/>
                <w:sz w:val="18"/>
                <w:szCs w:val="18"/>
                <w:lang w:eastAsia="es-MX"/>
              </w:rPr>
              <w:t>442</w:t>
            </w:r>
            <w:r w:rsidRPr="00B718FF">
              <w:rPr>
                <w:rFonts w:ascii="Arial" w:eastAsia="Times New Roman" w:hAnsi="Arial" w:cs="Arial"/>
                <w:sz w:val="18"/>
                <w:szCs w:val="18"/>
                <w:lang w:eastAsia="es-MX"/>
              </w:rPr>
              <w:t>,</w:t>
            </w:r>
            <w:r w:rsidR="002F1DF1">
              <w:rPr>
                <w:rFonts w:ascii="Arial" w:eastAsia="Times New Roman" w:hAnsi="Arial" w:cs="Arial"/>
                <w:sz w:val="18"/>
                <w:szCs w:val="18"/>
                <w:lang w:eastAsia="es-MX"/>
              </w:rPr>
              <w:t>776</w:t>
            </w:r>
          </w:p>
        </w:tc>
      </w:tr>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E244B2" w:rsidP="002F1DF1">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w:t>
            </w:r>
            <w:r w:rsidR="002F1DF1">
              <w:rPr>
                <w:rFonts w:ascii="Arial" w:eastAsia="Times New Roman" w:hAnsi="Arial" w:cs="Arial"/>
                <w:sz w:val="18"/>
                <w:szCs w:val="18"/>
                <w:lang w:eastAsia="es-MX"/>
              </w:rPr>
              <w:t>3</w:t>
            </w:r>
            <w:r>
              <w:rPr>
                <w:rFonts w:ascii="Arial" w:eastAsia="Times New Roman" w:hAnsi="Arial" w:cs="Arial"/>
                <w:sz w:val="18"/>
                <w:szCs w:val="18"/>
                <w:lang w:eastAsia="es-MX"/>
              </w:rPr>
              <w:t>,</w:t>
            </w:r>
            <w:r w:rsidR="002F1DF1">
              <w:rPr>
                <w:rFonts w:ascii="Arial" w:eastAsia="Times New Roman" w:hAnsi="Arial" w:cs="Arial"/>
                <w:sz w:val="18"/>
                <w:szCs w:val="18"/>
                <w:lang w:eastAsia="es-MX"/>
              </w:rPr>
              <w:t>376</w:t>
            </w:r>
            <w:r>
              <w:rPr>
                <w:rFonts w:ascii="Arial" w:eastAsia="Times New Roman" w:hAnsi="Arial" w:cs="Arial"/>
                <w:sz w:val="18"/>
                <w:szCs w:val="18"/>
                <w:lang w:eastAsia="es-MX"/>
              </w:rPr>
              <w:t>,</w:t>
            </w:r>
            <w:r w:rsidR="002F1DF1">
              <w:rPr>
                <w:rFonts w:ascii="Arial" w:eastAsia="Times New Roman" w:hAnsi="Arial" w:cs="Arial"/>
                <w:sz w:val="18"/>
                <w:szCs w:val="18"/>
                <w:lang w:eastAsia="es-MX"/>
              </w:rPr>
              <w:t>360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7D7F0F">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w:t>
            </w:r>
            <w:r w:rsidR="007D7F0F">
              <w:rPr>
                <w:rFonts w:ascii="Arial" w:eastAsia="Times New Roman" w:hAnsi="Arial" w:cs="Arial"/>
                <w:sz w:val="18"/>
                <w:szCs w:val="18"/>
                <w:lang w:eastAsia="es-MX"/>
              </w:rPr>
              <w:t>568</w:t>
            </w:r>
            <w:r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380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Colecciones </w:t>
            </w:r>
            <w:proofErr w:type="spellStart"/>
            <w:r>
              <w:rPr>
                <w:rFonts w:ascii="Arial" w:eastAsia="Times New Roman" w:hAnsi="Arial" w:cs="Arial"/>
                <w:sz w:val="18"/>
                <w:szCs w:val="18"/>
                <w:lang w:eastAsia="es-MX"/>
              </w:rPr>
              <w:t>Cient</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Artis.y</w:t>
            </w:r>
            <w:proofErr w:type="spellEnd"/>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7D7F0F" w:rsidP="007D7F0F">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1903BE" w:rsidRPr="00B718FF">
              <w:rPr>
                <w:rFonts w:ascii="Arial" w:eastAsia="Times New Roman" w:hAnsi="Arial" w:cs="Arial"/>
                <w:sz w:val="18"/>
                <w:szCs w:val="18"/>
                <w:lang w:eastAsia="es-MX"/>
              </w:rPr>
              <w:t>,</w:t>
            </w:r>
            <w:r>
              <w:rPr>
                <w:rFonts w:ascii="Arial" w:eastAsia="Times New Roman" w:hAnsi="Arial" w:cs="Arial"/>
                <w:sz w:val="18"/>
                <w:szCs w:val="18"/>
                <w:lang w:eastAsia="es-MX"/>
              </w:rPr>
              <w:t>125</w:t>
            </w:r>
            <w:r w:rsidR="001903BE" w:rsidRPr="00B718FF">
              <w:rPr>
                <w:rFonts w:ascii="Arial" w:eastAsia="Times New Roman" w:hAnsi="Arial" w:cs="Arial"/>
                <w:sz w:val="18"/>
                <w:szCs w:val="18"/>
                <w:lang w:eastAsia="es-MX"/>
              </w:rPr>
              <w:t>,</w:t>
            </w:r>
            <w:r>
              <w:rPr>
                <w:rFonts w:ascii="Arial" w:eastAsia="Times New Roman" w:hAnsi="Arial" w:cs="Arial"/>
                <w:sz w:val="18"/>
                <w:szCs w:val="18"/>
                <w:lang w:eastAsia="es-MX"/>
              </w:rPr>
              <w:t>351</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0E75FD" w:rsidP="002F1DF1">
            <w:pPr>
              <w:autoSpaceDE w:val="0"/>
              <w:autoSpaceDN w:val="0"/>
              <w:adjustRightInd w:val="0"/>
              <w:spacing w:before="40" w:after="0" w:line="240" w:lineRule="auto"/>
              <w:jc w:val="right"/>
              <w:rPr>
                <w:rFonts w:ascii="Arial" w:eastAsia="Times New Roman" w:hAnsi="Arial" w:cs="Arial"/>
                <w:sz w:val="18"/>
                <w:szCs w:val="18"/>
                <w:lang w:eastAsia="es-MX"/>
              </w:rPr>
            </w:pPr>
            <w:r w:rsidRPr="000E75FD">
              <w:rPr>
                <w:rFonts w:ascii="Arial" w:eastAsia="Times New Roman" w:hAnsi="Arial" w:cs="Arial"/>
                <w:sz w:val="18"/>
                <w:szCs w:val="18"/>
                <w:lang w:eastAsia="es-MX"/>
              </w:rPr>
              <w:t>3</w:t>
            </w:r>
            <w:r w:rsidR="002F1DF1">
              <w:rPr>
                <w:rFonts w:ascii="Arial" w:eastAsia="Times New Roman" w:hAnsi="Arial" w:cs="Arial"/>
                <w:sz w:val="18"/>
                <w:szCs w:val="18"/>
                <w:lang w:eastAsia="es-MX"/>
              </w:rPr>
              <w:t>6</w:t>
            </w:r>
            <w:r>
              <w:rPr>
                <w:rFonts w:ascii="Arial" w:eastAsia="Times New Roman" w:hAnsi="Arial" w:cs="Arial"/>
                <w:sz w:val="18"/>
                <w:szCs w:val="18"/>
                <w:lang w:eastAsia="es-MX"/>
              </w:rPr>
              <w:t>,</w:t>
            </w:r>
            <w:r w:rsidR="002F1DF1">
              <w:rPr>
                <w:rFonts w:ascii="Arial" w:eastAsia="Times New Roman" w:hAnsi="Arial" w:cs="Arial"/>
                <w:sz w:val="18"/>
                <w:szCs w:val="18"/>
                <w:lang w:eastAsia="es-MX"/>
              </w:rPr>
              <w:t>187</w:t>
            </w:r>
            <w:r>
              <w:rPr>
                <w:rFonts w:ascii="Arial" w:eastAsia="Times New Roman" w:hAnsi="Arial" w:cs="Arial"/>
                <w:sz w:val="18"/>
                <w:szCs w:val="18"/>
                <w:lang w:eastAsia="es-MX"/>
              </w:rPr>
              <w:t>,</w:t>
            </w:r>
            <w:r w:rsidR="002F1DF1">
              <w:rPr>
                <w:rFonts w:ascii="Arial" w:eastAsia="Times New Roman" w:hAnsi="Arial" w:cs="Arial"/>
                <w:sz w:val="18"/>
                <w:szCs w:val="18"/>
                <w:lang w:eastAsia="es-MX"/>
              </w:rPr>
              <w:t>461</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F5199D" w:rsidP="007D7F0F">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w:t>
            </w:r>
            <w:r w:rsidR="007D7F0F">
              <w:rPr>
                <w:rFonts w:ascii="Arial" w:eastAsia="Times New Roman" w:hAnsi="Arial" w:cs="Arial"/>
                <w:sz w:val="18"/>
                <w:szCs w:val="18"/>
                <w:lang w:eastAsia="es-MX"/>
              </w:rPr>
              <w:t>3</w:t>
            </w:r>
            <w:r w:rsidR="001903BE" w:rsidRPr="00B718FF">
              <w:rPr>
                <w:rFonts w:ascii="Arial" w:eastAsia="Times New Roman" w:hAnsi="Arial" w:cs="Arial"/>
                <w:sz w:val="18"/>
                <w:szCs w:val="18"/>
                <w:lang w:eastAsia="es-MX"/>
              </w:rPr>
              <w:t>,</w:t>
            </w:r>
            <w:r w:rsidR="007D7F0F">
              <w:rPr>
                <w:rFonts w:ascii="Arial" w:eastAsia="Times New Roman" w:hAnsi="Arial" w:cs="Arial"/>
                <w:sz w:val="18"/>
                <w:szCs w:val="18"/>
                <w:lang w:eastAsia="es-MX"/>
              </w:rPr>
              <w:t>189</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2F1DF1" w:rsidP="002F1DF1">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137</w:t>
            </w:r>
            <w:r w:rsidR="000E75FD" w:rsidRPr="000E75FD">
              <w:rPr>
                <w:rFonts w:ascii="Arial" w:eastAsia="Times New Roman" w:hAnsi="Arial" w:cs="Arial"/>
                <w:sz w:val="18"/>
                <w:szCs w:val="18"/>
                <w:lang w:eastAsia="es-MX"/>
              </w:rPr>
              <w:t>,</w:t>
            </w:r>
            <w:r>
              <w:rPr>
                <w:rFonts w:ascii="Arial" w:eastAsia="Times New Roman" w:hAnsi="Arial" w:cs="Arial"/>
                <w:sz w:val="18"/>
                <w:szCs w:val="18"/>
                <w:lang w:eastAsia="es-MX"/>
              </w:rPr>
              <w:t>073</w:t>
            </w:r>
            <w:r w:rsidR="000E75FD" w:rsidRPr="000E75FD">
              <w:rPr>
                <w:rFonts w:ascii="Arial" w:eastAsia="Times New Roman" w:hAnsi="Arial" w:cs="Arial"/>
                <w:sz w:val="18"/>
                <w:szCs w:val="18"/>
                <w:lang w:eastAsia="es-MX"/>
              </w:rPr>
              <w:t>,</w:t>
            </w:r>
            <w:r>
              <w:rPr>
                <w:rFonts w:ascii="Arial" w:eastAsia="Times New Roman" w:hAnsi="Arial" w:cs="Arial"/>
                <w:sz w:val="18"/>
                <w:szCs w:val="18"/>
                <w:lang w:eastAsia="es-MX"/>
              </w:rPr>
              <w:t>517</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lastRenderedPageBreak/>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A9743E" w:rsidRPr="006E60FB" w:rsidRDefault="00A9743E" w:rsidP="00A9743E">
      <w:pPr>
        <w:pStyle w:val="ROMANOS"/>
        <w:spacing w:after="0" w:line="240" w:lineRule="exact"/>
        <w:rPr>
          <w:lang w:val="es-MX"/>
        </w:rPr>
      </w:pPr>
      <w:r>
        <w:rPr>
          <w:lang w:val="es-MX"/>
        </w:rPr>
        <w:tab/>
      </w:r>
      <w:r w:rsidRPr="006E60FB">
        <w:rPr>
          <w:lang w:val="es-MX"/>
        </w:rPr>
        <w:t>No aplica</w:t>
      </w: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en éstos inciden pasivos derivados de operaciones por servicios personales, cuentas por pagar por operaciones presupuestarias y contabilizadas al 3</w:t>
      </w:r>
      <w:r w:rsidR="00DE4287">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DE4287">
        <w:rPr>
          <w:rFonts w:ascii="Arial" w:eastAsia="Times New Roman" w:hAnsi="Arial" w:cs="Arial"/>
          <w:sz w:val="18"/>
          <w:szCs w:val="18"/>
          <w:lang w:eastAsia="es-MX"/>
        </w:rPr>
        <w:t>juni</w:t>
      </w:r>
      <w:r w:rsidR="00FC29A3">
        <w:rPr>
          <w:rFonts w:ascii="Arial" w:eastAsia="Times New Roman" w:hAnsi="Arial" w:cs="Arial"/>
          <w:sz w:val="18"/>
          <w:szCs w:val="18"/>
          <w:lang w:eastAsia="es-MX"/>
        </w:rPr>
        <w:t>o</w:t>
      </w:r>
      <w:r w:rsidRPr="0096143E">
        <w:rPr>
          <w:rFonts w:ascii="Arial" w:eastAsia="Times New Roman" w:hAnsi="Arial" w:cs="Arial"/>
          <w:sz w:val="18"/>
          <w:szCs w:val="18"/>
          <w:lang w:eastAsia="es-MX"/>
        </w:rPr>
        <w:t xml:space="preserve"> del ejercicio </w:t>
      </w:r>
      <w:r w:rsidR="00FC29A3">
        <w:rPr>
          <w:rFonts w:ascii="Arial" w:eastAsia="Times New Roman" w:hAnsi="Arial" w:cs="Arial"/>
          <w:sz w:val="18"/>
          <w:szCs w:val="18"/>
          <w:lang w:eastAsia="es-MX"/>
        </w:rPr>
        <w:t>2016</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FC29A3">
              <w:rPr>
                <w:rFonts w:ascii="Arial" w:eastAsia="Calibri" w:hAnsi="Arial" w:cs="Arial"/>
                <w:b/>
                <w:color w:val="FFFFFF"/>
                <w:spacing w:val="-1"/>
                <w:sz w:val="18"/>
                <w:szCs w:val="18"/>
                <w:lang w:eastAsia="es-MX"/>
              </w:rPr>
              <w:t>6</w:t>
            </w:r>
          </w:p>
        </w:tc>
      </w:tr>
      <w:tr w:rsidR="00990BF6"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DE4287" w:rsidP="00DE4287">
            <w:pPr>
              <w:spacing w:line="240" w:lineRule="auto"/>
              <w:jc w:val="right"/>
            </w:pPr>
            <w:r>
              <w:t>19</w:t>
            </w:r>
            <w:r w:rsidR="00FC29A3">
              <w:t>,</w:t>
            </w:r>
            <w:r>
              <w:t>618</w:t>
            </w:r>
            <w:r w:rsidR="00FC29A3">
              <w:t>,</w:t>
            </w:r>
            <w:r>
              <w:t>357</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FC29A3" w:rsidP="00DE4287">
            <w:pPr>
              <w:spacing w:line="240" w:lineRule="auto"/>
              <w:jc w:val="right"/>
            </w:pPr>
            <w:r>
              <w:t>1,9</w:t>
            </w:r>
            <w:r w:rsidR="00DE4287">
              <w:t>98</w:t>
            </w:r>
            <w:r>
              <w:t>,</w:t>
            </w:r>
            <w:r w:rsidR="00DE4287">
              <w:t>909</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Default="00FC29A3" w:rsidP="00DE4287">
            <w:pPr>
              <w:spacing w:line="240" w:lineRule="auto"/>
              <w:jc w:val="right"/>
            </w:pPr>
            <w:r>
              <w:t>2</w:t>
            </w:r>
            <w:r w:rsidR="00DE4287">
              <w:t>1</w:t>
            </w:r>
            <w:r>
              <w:t>,</w:t>
            </w:r>
            <w:r w:rsidR="00DE4287">
              <w:t>617</w:t>
            </w:r>
            <w:r>
              <w:t>,</w:t>
            </w:r>
            <w:r w:rsidR="00DE4287">
              <w:t>266</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DE4287"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DE4287">
              <w:rPr>
                <w:rFonts w:ascii="Arial" w:eastAsia="Times New Roman" w:hAnsi="Arial" w:cs="Arial"/>
                <w:sz w:val="18"/>
                <w:szCs w:val="18"/>
                <w:lang w:eastAsia="es-MX"/>
              </w:rPr>
              <w:t>1</w:t>
            </w:r>
            <w:r>
              <w:rPr>
                <w:rFonts w:ascii="Arial" w:eastAsia="Times New Roman" w:hAnsi="Arial" w:cs="Arial"/>
                <w:sz w:val="18"/>
                <w:szCs w:val="18"/>
                <w:lang w:eastAsia="es-MX"/>
              </w:rPr>
              <w:t>,</w:t>
            </w:r>
            <w:r w:rsidRPr="00DE4287">
              <w:rPr>
                <w:rFonts w:ascii="Arial" w:eastAsia="Times New Roman" w:hAnsi="Arial" w:cs="Arial"/>
                <w:sz w:val="18"/>
                <w:szCs w:val="18"/>
                <w:lang w:eastAsia="es-MX"/>
              </w:rPr>
              <w:t>452</w:t>
            </w:r>
            <w:r>
              <w:rPr>
                <w:rFonts w:ascii="Arial" w:eastAsia="Times New Roman" w:hAnsi="Arial" w:cs="Arial"/>
                <w:sz w:val="18"/>
                <w:szCs w:val="18"/>
                <w:lang w:eastAsia="es-MX"/>
              </w:rPr>
              <w:t>,</w:t>
            </w:r>
            <w:r w:rsidRPr="00DE4287">
              <w:rPr>
                <w:rFonts w:ascii="Arial" w:eastAsia="Times New Roman" w:hAnsi="Arial" w:cs="Arial"/>
                <w:sz w:val="18"/>
                <w:szCs w:val="18"/>
                <w:lang w:eastAsia="es-MX"/>
              </w:rPr>
              <w:t>924</w:t>
            </w:r>
            <w:r>
              <w:rPr>
                <w:rFonts w:ascii="Arial" w:eastAsia="Times New Roman" w:hAnsi="Arial" w:cs="Arial"/>
                <w:sz w:val="18"/>
                <w:szCs w:val="18"/>
                <w:lang w:eastAsia="es-MX"/>
              </w:rPr>
              <w:t>,</w:t>
            </w:r>
            <w:r w:rsidRPr="00DE4287">
              <w:rPr>
                <w:rFonts w:ascii="Arial" w:eastAsia="Times New Roman" w:hAnsi="Arial" w:cs="Arial"/>
                <w:sz w:val="18"/>
                <w:szCs w:val="18"/>
                <w:lang w:eastAsia="es-MX"/>
              </w:rPr>
              <w:t>144</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DE4287" w:rsidP="00106955">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5,899,340</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DE4287"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10,142</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DE4287"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1,458,833,626</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1D178C">
        <w:rPr>
          <w:rFonts w:ascii="Arial" w:eastAsia="Times New Roman" w:hAnsi="Arial" w:cs="Arial"/>
          <w:sz w:val="18"/>
          <w:szCs w:val="18"/>
          <w:lang w:eastAsia="es-MX"/>
        </w:rPr>
        <w:t>52</w:t>
      </w:r>
      <w:proofErr w:type="gramStart"/>
      <w:r w:rsidR="002044CB" w:rsidRPr="002044CB">
        <w:rPr>
          <w:rFonts w:ascii="Arial" w:eastAsia="Times New Roman" w:hAnsi="Arial" w:cs="Arial"/>
          <w:sz w:val="18"/>
          <w:szCs w:val="18"/>
          <w:lang w:eastAsia="es-MX"/>
        </w:rPr>
        <w:t>,</w:t>
      </w:r>
      <w:r w:rsidR="001D178C">
        <w:rPr>
          <w:rFonts w:ascii="Arial" w:eastAsia="Times New Roman" w:hAnsi="Arial" w:cs="Arial"/>
          <w:sz w:val="18"/>
          <w:szCs w:val="18"/>
          <w:lang w:eastAsia="es-MX"/>
        </w:rPr>
        <w:t>852</w:t>
      </w:r>
      <w:r w:rsidR="002044CB" w:rsidRPr="002044CB">
        <w:rPr>
          <w:rFonts w:ascii="Arial" w:eastAsia="Times New Roman" w:hAnsi="Arial" w:cs="Arial"/>
          <w:sz w:val="18"/>
          <w:szCs w:val="18"/>
          <w:lang w:eastAsia="es-MX"/>
        </w:rPr>
        <w:t>,</w:t>
      </w:r>
      <w:r w:rsidR="001D178C">
        <w:rPr>
          <w:rFonts w:ascii="Arial" w:eastAsia="Times New Roman" w:hAnsi="Arial" w:cs="Arial"/>
          <w:sz w:val="18"/>
          <w:szCs w:val="18"/>
          <w:lang w:eastAsia="es-MX"/>
        </w:rPr>
        <w:t>227</w:t>
      </w:r>
      <w:proofErr w:type="gramEnd"/>
      <w:r w:rsidR="002044C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p>
    <w:p w:rsidR="00F33666" w:rsidRDefault="00F33666" w:rsidP="009D08FE">
      <w:pPr>
        <w:pStyle w:val="ROMANOS"/>
        <w:spacing w:after="0" w:line="240" w:lineRule="exact"/>
        <w:rPr>
          <w:rFonts w:ascii="Soberana Sans Light" w:hAnsi="Soberana Sans Light"/>
          <w:b/>
          <w:sz w:val="22"/>
          <w:szCs w:val="22"/>
          <w:lang w:val="es-MX"/>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incremento su patrimonio con recursos Federales por la cantidad </w:t>
      </w:r>
      <w:proofErr w:type="gramStart"/>
      <w:r>
        <w:rPr>
          <w:lang w:eastAsia="es-MX"/>
        </w:rPr>
        <w:t>de  $</w:t>
      </w:r>
      <w:proofErr w:type="gramEnd"/>
      <w:r>
        <w:rPr>
          <w:lang w:eastAsia="es-MX"/>
        </w:rPr>
        <w:t xml:space="preserve"> </w:t>
      </w:r>
      <w:r w:rsidR="00A00425" w:rsidRPr="00A00425">
        <w:rPr>
          <w:lang w:eastAsia="es-MX"/>
        </w:rPr>
        <w:t>2</w:t>
      </w:r>
      <w:r w:rsidR="00A00425">
        <w:rPr>
          <w:lang w:eastAsia="es-MX"/>
        </w:rPr>
        <w:t>,</w:t>
      </w:r>
      <w:r w:rsidR="00A00425" w:rsidRPr="00A00425">
        <w:rPr>
          <w:lang w:eastAsia="es-MX"/>
        </w:rPr>
        <w:t>444</w:t>
      </w:r>
      <w:r w:rsidR="00A00425">
        <w:rPr>
          <w:lang w:eastAsia="es-MX"/>
        </w:rPr>
        <w:t>,</w:t>
      </w:r>
      <w:r w:rsidR="00A00425" w:rsidRPr="00A00425">
        <w:rPr>
          <w:lang w:eastAsia="es-MX"/>
        </w:rPr>
        <w:t>429</w:t>
      </w:r>
      <w:r w:rsidR="009E388A">
        <w:rPr>
          <w:lang w:eastAsia="es-MX"/>
        </w:rPr>
        <w:t xml:space="preserve"> </w:t>
      </w:r>
      <w:r>
        <w:rPr>
          <w:lang w:eastAsia="es-MX"/>
        </w:rPr>
        <w:t>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A00425">
        <w:rPr>
          <w:rFonts w:ascii="Arial" w:eastAsia="Times New Roman" w:hAnsi="Arial" w:cs="Arial"/>
          <w:sz w:val="18"/>
          <w:szCs w:val="18"/>
          <w:lang w:eastAsia="es-MX"/>
        </w:rPr>
        <w:t>1</w:t>
      </w:r>
      <w:proofErr w:type="gramStart"/>
      <w:r w:rsidR="00A00425">
        <w:rPr>
          <w:rFonts w:ascii="Arial" w:eastAsia="Times New Roman" w:hAnsi="Arial" w:cs="Arial"/>
          <w:sz w:val="18"/>
          <w:szCs w:val="18"/>
          <w:lang w:eastAsia="es-MX"/>
        </w:rPr>
        <w:t>,458,833,626</w:t>
      </w:r>
      <w:proofErr w:type="gramEnd"/>
      <w:r w:rsidR="00A00425">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Pr="00DF4B35">
        <w:rPr>
          <w:rFonts w:ascii="Arial" w:eastAsia="Times New Roman" w:hAnsi="Arial" w:cs="Arial"/>
          <w:sz w:val="18"/>
          <w:szCs w:val="18"/>
          <w:lang w:eastAsia="es-MX"/>
        </w:rPr>
        <w:t>1 de enero al 3</w:t>
      </w:r>
      <w:r w:rsidR="00A00425">
        <w:rPr>
          <w:rFonts w:ascii="Arial" w:eastAsia="Times New Roman" w:hAnsi="Arial" w:cs="Arial"/>
          <w:sz w:val="18"/>
          <w:szCs w:val="18"/>
          <w:lang w:eastAsia="es-MX"/>
        </w:rPr>
        <w:t>0</w:t>
      </w:r>
      <w:r w:rsidRPr="00DF4B35">
        <w:rPr>
          <w:rFonts w:ascii="Arial" w:eastAsia="Times New Roman" w:hAnsi="Arial" w:cs="Arial"/>
          <w:sz w:val="18"/>
          <w:szCs w:val="18"/>
          <w:lang w:eastAsia="es-MX"/>
        </w:rPr>
        <w:t xml:space="preserve"> de </w:t>
      </w:r>
      <w:r w:rsidR="00A00425">
        <w:rPr>
          <w:rFonts w:ascii="Arial" w:eastAsia="Times New Roman" w:hAnsi="Arial" w:cs="Arial"/>
          <w:sz w:val="18"/>
          <w:szCs w:val="18"/>
          <w:lang w:eastAsia="es-MX"/>
        </w:rPr>
        <w:t>juni</w:t>
      </w:r>
      <w:r w:rsidR="00F22209">
        <w:rPr>
          <w:rFonts w:ascii="Arial" w:eastAsia="Times New Roman" w:hAnsi="Arial" w:cs="Arial"/>
          <w:sz w:val="18"/>
          <w:szCs w:val="18"/>
          <w:lang w:eastAsia="es-MX"/>
        </w:rPr>
        <w:t>o</w:t>
      </w:r>
      <w:r w:rsidRPr="00DF4B35">
        <w:rPr>
          <w:rFonts w:ascii="Arial" w:eastAsia="Times New Roman" w:hAnsi="Arial" w:cs="Arial"/>
          <w:sz w:val="18"/>
          <w:szCs w:val="18"/>
          <w:lang w:eastAsia="es-MX"/>
        </w:rPr>
        <w:t xml:space="preserve"> de 201</w:t>
      </w:r>
      <w:r w:rsidR="00F22209">
        <w:rPr>
          <w:rFonts w:ascii="Arial" w:eastAsia="Times New Roman" w:hAnsi="Arial" w:cs="Arial"/>
          <w:sz w:val="18"/>
          <w:szCs w:val="18"/>
          <w:lang w:eastAsia="es-MX"/>
        </w:rPr>
        <w:t>6</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A00425">
        <w:rPr>
          <w:rFonts w:ascii="Arial" w:eastAsia="Times New Roman" w:hAnsi="Arial" w:cs="Arial"/>
          <w:sz w:val="18"/>
          <w:szCs w:val="18"/>
          <w:lang w:eastAsia="es-MX"/>
        </w:rPr>
        <w:t>1</w:t>
      </w:r>
      <w:proofErr w:type="gramStart"/>
      <w:r w:rsidR="00A00425">
        <w:rPr>
          <w:rFonts w:ascii="Arial" w:eastAsia="Times New Roman" w:hAnsi="Arial" w:cs="Arial"/>
          <w:sz w:val="18"/>
          <w:szCs w:val="18"/>
          <w:lang w:eastAsia="es-MX"/>
        </w:rPr>
        <w:t>,405,981,399</w:t>
      </w:r>
      <w:proofErr w:type="gramEnd"/>
      <w:r w:rsidR="005A71FE">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e Tlaxcala no realizó inversiones.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F2220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9D08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F22209">
              <w:rPr>
                <w:rFonts w:ascii="Soberana Sans Light" w:hAnsi="Soberana Sans Light"/>
                <w:sz w:val="22"/>
                <w:szCs w:val="22"/>
                <w:lang w:val="es-MX"/>
              </w:rPr>
              <w:t>5</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A00425" w:rsidP="00F22209">
            <w:pPr>
              <w:pStyle w:val="Texto"/>
              <w:spacing w:after="0" w:line="240" w:lineRule="exact"/>
              <w:ind w:firstLine="0"/>
              <w:jc w:val="center"/>
              <w:rPr>
                <w:rFonts w:ascii="Soberana Sans Light" w:hAnsi="Soberana Sans Light"/>
                <w:sz w:val="22"/>
                <w:szCs w:val="22"/>
                <w:lang w:val="es-MX"/>
              </w:rPr>
            </w:pPr>
            <w:r w:rsidRPr="00A00425">
              <w:rPr>
                <w:rFonts w:ascii="Soberana Sans Light" w:hAnsi="Soberana Sans Light"/>
                <w:sz w:val="22"/>
                <w:szCs w:val="22"/>
                <w:lang w:val="es-MX"/>
              </w:rPr>
              <w:t>44</w:t>
            </w:r>
            <w:r>
              <w:rPr>
                <w:rFonts w:ascii="Soberana Sans Light" w:hAnsi="Soberana Sans Light"/>
                <w:sz w:val="22"/>
                <w:szCs w:val="22"/>
                <w:lang w:val="es-MX"/>
              </w:rPr>
              <w:t>,</w:t>
            </w:r>
            <w:r w:rsidRPr="00A00425">
              <w:rPr>
                <w:rFonts w:ascii="Soberana Sans Light" w:hAnsi="Soberana Sans Light"/>
                <w:sz w:val="22"/>
                <w:szCs w:val="22"/>
                <w:lang w:val="es-MX"/>
              </w:rPr>
              <w:t>639</w:t>
            </w:r>
            <w:r>
              <w:rPr>
                <w:rFonts w:ascii="Soberana Sans Light" w:hAnsi="Soberana Sans Light"/>
                <w:sz w:val="22"/>
                <w:szCs w:val="22"/>
                <w:lang w:val="es-MX"/>
              </w:rPr>
              <w:t>,</w:t>
            </w:r>
            <w:r w:rsidRPr="00A00425">
              <w:rPr>
                <w:rFonts w:ascii="Soberana Sans Light" w:hAnsi="Soberana Sans Light"/>
                <w:sz w:val="22"/>
                <w:szCs w:val="22"/>
                <w:lang w:val="es-MX"/>
              </w:rPr>
              <w:t>952</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A00425" w:rsidP="00F22209">
            <w:pPr>
              <w:pStyle w:val="Texto"/>
              <w:spacing w:after="0" w:line="240" w:lineRule="exact"/>
              <w:ind w:firstLine="0"/>
              <w:jc w:val="center"/>
              <w:rPr>
                <w:rFonts w:ascii="Soberana Sans Light" w:hAnsi="Soberana Sans Light"/>
                <w:sz w:val="22"/>
                <w:szCs w:val="22"/>
                <w:lang w:val="es-MX"/>
              </w:rPr>
            </w:pPr>
            <w:r w:rsidRPr="00A00425">
              <w:rPr>
                <w:rFonts w:ascii="Soberana Sans Light" w:hAnsi="Soberana Sans Light"/>
                <w:sz w:val="22"/>
                <w:szCs w:val="22"/>
                <w:lang w:val="es-MX"/>
              </w:rPr>
              <w:t>44</w:t>
            </w:r>
            <w:r>
              <w:rPr>
                <w:rFonts w:ascii="Soberana Sans Light" w:hAnsi="Soberana Sans Light"/>
                <w:sz w:val="22"/>
                <w:szCs w:val="22"/>
                <w:lang w:val="es-MX"/>
              </w:rPr>
              <w:t>,</w:t>
            </w:r>
            <w:r w:rsidRPr="00A00425">
              <w:rPr>
                <w:rFonts w:ascii="Soberana Sans Light" w:hAnsi="Soberana Sans Light"/>
                <w:sz w:val="22"/>
                <w:szCs w:val="22"/>
                <w:lang w:val="es-MX"/>
              </w:rPr>
              <w:t>639</w:t>
            </w:r>
            <w:r>
              <w:rPr>
                <w:rFonts w:ascii="Soberana Sans Light" w:hAnsi="Soberana Sans Light"/>
                <w:sz w:val="22"/>
                <w:szCs w:val="22"/>
                <w:lang w:val="es-MX"/>
              </w:rPr>
              <w:t>,</w:t>
            </w:r>
            <w:r w:rsidRPr="00A00425">
              <w:rPr>
                <w:rFonts w:ascii="Soberana Sans Light" w:hAnsi="Soberana Sans Light"/>
                <w:sz w:val="22"/>
                <w:szCs w:val="22"/>
                <w:lang w:val="es-MX"/>
              </w:rPr>
              <w:t>952</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7430D1">
        <w:rPr>
          <w:lang w:val="es-MX"/>
        </w:rPr>
        <w:t>62,934</w:t>
      </w:r>
      <w:r w:rsidR="00CA4899">
        <w:rPr>
          <w:lang w:val="es-MX"/>
        </w:rPr>
        <w:t xml:space="preserve">, recursos que correspondieron a aportaciones federales, específicamente </w:t>
      </w:r>
      <w:proofErr w:type="spellStart"/>
      <w:r w:rsidR="007430D1">
        <w:rPr>
          <w:lang w:val="es-MX"/>
        </w:rPr>
        <w:t>FONE</w:t>
      </w:r>
      <w:proofErr w:type="spellEnd"/>
      <w:r w:rsidR="00CA4899">
        <w:rPr>
          <w:lang w:val="es-MX"/>
        </w:rPr>
        <w:t xml:space="preserve"> ramo 33,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2016</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A00425" w:rsidRPr="0096143E" w:rsidTr="007E16ED">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8,246,217</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196,559</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Pr>
                <w:rFonts w:ascii="Arial" w:eastAsia="Times New Roman" w:hAnsi="Arial" w:cs="Arial"/>
                <w:sz w:val="18"/>
                <w:szCs w:val="18"/>
                <w:lang w:eastAsia="es-MX"/>
              </w:rPr>
              <w:t>442</w:t>
            </w:r>
            <w:r w:rsidRPr="00B718FF">
              <w:rPr>
                <w:rFonts w:ascii="Arial" w:eastAsia="Times New Roman" w:hAnsi="Arial" w:cs="Arial"/>
                <w:sz w:val="18"/>
                <w:szCs w:val="18"/>
                <w:lang w:eastAsia="es-MX"/>
              </w:rPr>
              <w:t>,</w:t>
            </w:r>
            <w:r>
              <w:rPr>
                <w:rFonts w:ascii="Arial" w:eastAsia="Times New Roman" w:hAnsi="Arial" w:cs="Arial"/>
                <w:sz w:val="18"/>
                <w:szCs w:val="18"/>
                <w:lang w:eastAsia="es-MX"/>
              </w:rPr>
              <w:t>776</w:t>
            </w:r>
          </w:p>
        </w:tc>
      </w:tr>
      <w:tr w:rsidR="00A00425"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71,425,196</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1,951,164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73,376,360</w:t>
            </w:r>
          </w:p>
        </w:tc>
      </w:tr>
      <w:tr w:rsidR="00A00425"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15,568,380</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w:t>
            </w:r>
            <w:r>
              <w:rPr>
                <w:rFonts w:ascii="Arial" w:eastAsia="Times New Roman" w:hAnsi="Arial" w:cs="Arial"/>
                <w:sz w:val="18"/>
                <w:szCs w:val="18"/>
                <w:lang w:eastAsia="es-MX"/>
              </w:rPr>
              <w:t>568</w:t>
            </w:r>
            <w:r w:rsidRPr="00B718FF">
              <w:rPr>
                <w:rFonts w:ascii="Arial" w:eastAsia="Times New Roman" w:hAnsi="Arial" w:cs="Arial"/>
                <w:sz w:val="18"/>
                <w:szCs w:val="18"/>
                <w:lang w:eastAsia="es-MX"/>
              </w:rPr>
              <w:t>,</w:t>
            </w:r>
            <w:r>
              <w:rPr>
                <w:rFonts w:ascii="Arial" w:eastAsia="Times New Roman" w:hAnsi="Arial" w:cs="Arial"/>
                <w:sz w:val="18"/>
                <w:szCs w:val="18"/>
                <w:lang w:eastAsia="es-MX"/>
              </w:rPr>
              <w:t>380</w:t>
            </w:r>
          </w:p>
        </w:tc>
      </w:tr>
      <w:tr w:rsidR="00A00425"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Colecciones </w:t>
            </w:r>
            <w:proofErr w:type="spellStart"/>
            <w:r>
              <w:rPr>
                <w:rFonts w:ascii="Arial" w:eastAsia="Times New Roman" w:hAnsi="Arial" w:cs="Arial"/>
                <w:sz w:val="18"/>
                <w:szCs w:val="18"/>
                <w:lang w:eastAsia="es-MX"/>
              </w:rPr>
              <w:t>Cient</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Artis.y</w:t>
            </w:r>
            <w:proofErr w:type="spellEnd"/>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3,125,351</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Pr="00B718FF">
              <w:rPr>
                <w:rFonts w:ascii="Arial" w:eastAsia="Times New Roman" w:hAnsi="Arial" w:cs="Arial"/>
                <w:sz w:val="18"/>
                <w:szCs w:val="18"/>
                <w:lang w:eastAsia="es-MX"/>
              </w:rPr>
              <w:t>,</w:t>
            </w:r>
            <w:r>
              <w:rPr>
                <w:rFonts w:ascii="Arial" w:eastAsia="Times New Roman" w:hAnsi="Arial" w:cs="Arial"/>
                <w:sz w:val="18"/>
                <w:szCs w:val="18"/>
                <w:lang w:eastAsia="es-MX"/>
              </w:rPr>
              <w:t>125</w:t>
            </w:r>
            <w:r w:rsidRPr="00B718FF">
              <w:rPr>
                <w:rFonts w:ascii="Arial" w:eastAsia="Times New Roman" w:hAnsi="Arial" w:cs="Arial"/>
                <w:sz w:val="18"/>
                <w:szCs w:val="18"/>
                <w:lang w:eastAsia="es-MX"/>
              </w:rPr>
              <w:t>,</w:t>
            </w:r>
            <w:r>
              <w:rPr>
                <w:rFonts w:ascii="Arial" w:eastAsia="Times New Roman" w:hAnsi="Arial" w:cs="Arial"/>
                <w:sz w:val="18"/>
                <w:szCs w:val="18"/>
                <w:lang w:eastAsia="es-MX"/>
              </w:rPr>
              <w:t>351</w:t>
            </w:r>
          </w:p>
        </w:tc>
      </w:tr>
      <w:tr w:rsidR="00A00425"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35,890,755</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296,706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sidRPr="000E75FD">
              <w:rPr>
                <w:rFonts w:ascii="Arial" w:eastAsia="Times New Roman" w:hAnsi="Arial" w:cs="Arial"/>
                <w:sz w:val="18"/>
                <w:szCs w:val="18"/>
                <w:lang w:eastAsia="es-MX"/>
              </w:rPr>
              <w:t>3</w:t>
            </w:r>
            <w:r>
              <w:rPr>
                <w:rFonts w:ascii="Arial" w:eastAsia="Times New Roman" w:hAnsi="Arial" w:cs="Arial"/>
                <w:sz w:val="18"/>
                <w:szCs w:val="18"/>
                <w:lang w:eastAsia="es-MX"/>
              </w:rPr>
              <w:t>6,187,461</w:t>
            </w:r>
          </w:p>
        </w:tc>
      </w:tr>
      <w:tr w:rsidR="00A00425"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96143E" w:rsidRDefault="00A00425" w:rsidP="00A00425">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373,189</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373</w:t>
            </w:r>
            <w:r w:rsidRPr="00B718FF">
              <w:rPr>
                <w:rFonts w:ascii="Arial" w:eastAsia="Times New Roman" w:hAnsi="Arial" w:cs="Arial"/>
                <w:sz w:val="18"/>
                <w:szCs w:val="18"/>
                <w:lang w:eastAsia="es-MX"/>
              </w:rPr>
              <w:t>,</w:t>
            </w:r>
            <w:r>
              <w:rPr>
                <w:rFonts w:ascii="Arial" w:eastAsia="Times New Roman" w:hAnsi="Arial" w:cs="Arial"/>
                <w:sz w:val="18"/>
                <w:szCs w:val="18"/>
                <w:lang w:eastAsia="es-MX"/>
              </w:rPr>
              <w:t>189</w:t>
            </w:r>
          </w:p>
        </w:tc>
      </w:tr>
      <w:tr w:rsidR="00A00425"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sidRPr="00330D1B">
              <w:rPr>
                <w:rFonts w:ascii="Arial" w:eastAsia="Times New Roman" w:hAnsi="Arial" w:cs="Arial"/>
                <w:sz w:val="18"/>
                <w:szCs w:val="18"/>
                <w:lang w:eastAsia="es-MX"/>
              </w:rPr>
              <w:t>134,629,088</w:t>
            </w:r>
          </w:p>
        </w:tc>
        <w:tc>
          <w:tcPr>
            <w:tcW w:w="2429" w:type="dxa"/>
            <w:tcBorders>
              <w:top w:val="single" w:sz="4" w:space="0" w:color="auto"/>
              <w:left w:val="single" w:sz="4" w:space="0" w:color="auto"/>
              <w:bottom w:val="single" w:sz="4" w:space="0" w:color="auto"/>
              <w:right w:val="single" w:sz="4" w:space="0" w:color="auto"/>
            </w:tcBorders>
          </w:tcPr>
          <w:p w:rsidR="00A00425" w:rsidRPr="00B718FF"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2,444,429</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96143E" w:rsidRDefault="00A00425" w:rsidP="00A0042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137</w:t>
            </w:r>
            <w:r w:rsidRPr="000E75FD">
              <w:rPr>
                <w:rFonts w:ascii="Arial" w:eastAsia="Times New Roman" w:hAnsi="Arial" w:cs="Arial"/>
                <w:sz w:val="18"/>
                <w:szCs w:val="18"/>
                <w:lang w:eastAsia="es-MX"/>
              </w:rPr>
              <w:t>,</w:t>
            </w:r>
            <w:r>
              <w:rPr>
                <w:rFonts w:ascii="Arial" w:eastAsia="Times New Roman" w:hAnsi="Arial" w:cs="Arial"/>
                <w:sz w:val="18"/>
                <w:szCs w:val="18"/>
                <w:lang w:eastAsia="es-MX"/>
              </w:rPr>
              <w:t>073</w:t>
            </w:r>
            <w:r w:rsidRPr="000E75FD">
              <w:rPr>
                <w:rFonts w:ascii="Arial" w:eastAsia="Times New Roman" w:hAnsi="Arial" w:cs="Arial"/>
                <w:sz w:val="18"/>
                <w:szCs w:val="18"/>
                <w:lang w:eastAsia="es-MX"/>
              </w:rPr>
              <w:t>,</w:t>
            </w:r>
            <w:r>
              <w:rPr>
                <w:rFonts w:ascii="Arial" w:eastAsia="Times New Roman" w:hAnsi="Arial" w:cs="Arial"/>
                <w:sz w:val="18"/>
                <w:szCs w:val="18"/>
                <w:lang w:eastAsia="es-MX"/>
              </w:rPr>
              <w:t>517</w:t>
            </w:r>
          </w:p>
        </w:tc>
      </w:tr>
    </w:tbl>
    <w:p w:rsidR="00482754" w:rsidRPr="00CA4899" w:rsidRDefault="00482754" w:rsidP="009D08FE">
      <w:pPr>
        <w:pStyle w:val="ROMANOS"/>
        <w:spacing w:after="0" w:line="240" w:lineRule="exact"/>
        <w:rPr>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Default="00830F48" w:rsidP="00830F48">
      <w:pPr>
        <w:pStyle w:val="ROMANOS"/>
        <w:spacing w:after="0" w:line="240" w:lineRule="exact"/>
        <w:rPr>
          <w:rFonts w:ascii="Soberana Sans Light" w:hAnsi="Soberana Sans Light"/>
          <w:sz w:val="22"/>
          <w:szCs w:val="22"/>
          <w:lang w:val="es-MX"/>
        </w:rPr>
      </w:pPr>
      <w:r>
        <w:rPr>
          <w:lang w:val="es-MX"/>
        </w:rPr>
        <w:t>No aplica</w:t>
      </w:r>
    </w:p>
    <w:p w:rsidR="00830F48" w:rsidRPr="00540418" w:rsidRDefault="00830F48" w:rsidP="00830F48">
      <w:pPr>
        <w:pStyle w:val="ROMANOS"/>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546DEF" w:rsidRDefault="00546DEF"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Pr="00540418" w:rsidRDefault="00AA2A29" w:rsidP="009D08FE">
      <w:pPr>
        <w:pStyle w:val="Texto"/>
        <w:spacing w:after="0" w:line="240" w:lineRule="exact"/>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Pr="0096143E"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FE6784" w:rsidP="00AA2A29">
      <w:pPr>
        <w:pStyle w:val="Texto"/>
        <w:spacing w:after="0" w:line="240" w:lineRule="exact"/>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27.25pt;margin-top:7.05pt;width:628.7pt;height:294.05pt;z-index:251672576;mso-position-horizontal-relative:text;mso-position-vertical-relative:text">
            <v:imagedata r:id="rId24" o:title=""/>
            <w10:wrap type="square"/>
          </v:shape>
          <o:OLEObject Type="Embed" ProgID="Excel.Sheet.12" ShapeID="_x0000_s1061" DrawAspect="Content" ObjectID="_1528897991" r:id="rId25"/>
        </w:objec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830F48" w:rsidRDefault="00FE6784" w:rsidP="009D08FE">
      <w:pPr>
        <w:pStyle w:val="INCISO"/>
        <w:spacing w:after="0" w:line="240" w:lineRule="exact"/>
        <w:ind w:left="360"/>
        <w:rPr>
          <w:rFonts w:ascii="Soberana Sans Light" w:hAnsi="Soberana Sans Light"/>
          <w:b/>
          <w:smallCaps/>
          <w:sz w:val="22"/>
          <w:szCs w:val="22"/>
        </w:rPr>
      </w:pPr>
      <w:bookmarkStart w:id="7" w:name="_GoBack"/>
      <w:r>
        <w:rPr>
          <w:rFonts w:ascii="Soberana Sans Light" w:eastAsiaTheme="minorHAnsi" w:hAnsi="Soberana Sans Light" w:cstheme="minorBidi"/>
          <w:b/>
          <w:noProof/>
          <w:color w:val="FF0000"/>
          <w:sz w:val="22"/>
          <w:szCs w:val="22"/>
          <w:lang w:eastAsia="en-US"/>
        </w:rPr>
        <w:object w:dxaOrig="1440" w:dyaOrig="1440">
          <v:shape id="_x0000_s1062" type="#_x0000_t75" style="position:absolute;left:0;text-align:left;margin-left:98.5pt;margin-top:1.95pt;width:505.7pt;height:427.8pt;z-index:251673600;mso-position-horizontal-relative:text;mso-position-vertical-relative:text">
            <v:imagedata r:id="rId26" o:title=""/>
            <w10:wrap type="square"/>
          </v:shape>
          <o:OLEObject Type="Embed" ProgID="Excel.Sheet.12" ShapeID="_x0000_s1062" DrawAspect="Content" ObjectID="_1528897992" r:id="rId27"/>
        </w:object>
      </w:r>
      <w:bookmarkEnd w:id="7"/>
    </w:p>
    <w:p w:rsidR="00546DEF" w:rsidRDefault="00546DEF"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Default="00F01AF3" w:rsidP="009D08FE">
      <w:pPr>
        <w:pStyle w:val="INCISO"/>
        <w:spacing w:after="0" w:line="240" w:lineRule="exact"/>
        <w:ind w:left="360"/>
        <w:rPr>
          <w:rFonts w:ascii="Soberana Sans Light" w:hAnsi="Soberana Sans Light"/>
          <w:b/>
          <w:smallCaps/>
          <w:sz w:val="22"/>
          <w:szCs w:val="22"/>
        </w:rPr>
      </w:pPr>
    </w:p>
    <w:p w:rsidR="00F01AF3" w:rsidRPr="00540418" w:rsidRDefault="00F01AF3"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AA2A29" w:rsidRDefault="00AA2A29" w:rsidP="00AA2A29">
      <w:pPr>
        <w:pStyle w:val="ROMANOS"/>
        <w:spacing w:after="0" w:line="240" w:lineRule="exact"/>
        <w:rPr>
          <w:rFonts w:ascii="Soberana Sans Light" w:hAnsi="Soberana Sans Light"/>
          <w:sz w:val="22"/>
          <w:szCs w:val="22"/>
          <w:lang w:val="es-MX"/>
        </w:rPr>
      </w:pPr>
      <w:r>
        <w:rPr>
          <w:lang w:val="es-MX"/>
        </w:rPr>
        <w:t>No aplica</w:t>
      </w:r>
    </w:p>
    <w:p w:rsidR="009D08FE" w:rsidRDefault="009D08FE" w:rsidP="009D08FE">
      <w:pPr>
        <w:pStyle w:val="Texto"/>
        <w:spacing w:after="0" w:line="240" w:lineRule="exact"/>
        <w:rPr>
          <w:rFonts w:ascii="Soberana Sans Light" w:hAnsi="Soberana Sans Light"/>
          <w:sz w:val="22"/>
          <w:szCs w:val="22"/>
        </w:rPr>
      </w:pPr>
    </w:p>
    <w:p w:rsidR="007D0252" w:rsidRDefault="007D0252" w:rsidP="009D08FE">
      <w:pPr>
        <w:pStyle w:val="Texto"/>
        <w:spacing w:after="0" w:line="240" w:lineRule="exact"/>
        <w:rPr>
          <w:rFonts w:ascii="Soberana Sans Light" w:hAnsi="Soberana Sans Light"/>
          <w:sz w:val="22"/>
          <w:szCs w:val="22"/>
        </w:rPr>
      </w:pPr>
    </w:p>
    <w:p w:rsidR="007D0252" w:rsidRDefault="007D0252" w:rsidP="009D08FE">
      <w:pPr>
        <w:pStyle w:val="Texto"/>
        <w:spacing w:after="0" w:line="240" w:lineRule="exact"/>
        <w:rPr>
          <w:rFonts w:ascii="Soberana Sans Light" w:hAnsi="Soberana Sans Light"/>
          <w:sz w:val="22"/>
          <w:szCs w:val="22"/>
        </w:rPr>
      </w:pPr>
    </w:p>
    <w:p w:rsidR="007D0252" w:rsidRPr="00540418" w:rsidRDefault="007D0252" w:rsidP="009D08FE">
      <w:pPr>
        <w:pStyle w:val="Text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7D0252" w:rsidRPr="00D87598" w:rsidRDefault="007D0252"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lastRenderedPageBreak/>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9D08FE" w:rsidRPr="00540418" w:rsidRDefault="009D08FE" w:rsidP="009D08FE">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durante el ejercicio 201</w:t>
      </w:r>
      <w:r w:rsidR="00F01AF3">
        <w:rPr>
          <w:rFonts w:ascii="Arial" w:eastAsia="Times New Roman" w:hAnsi="Arial" w:cs="Arial"/>
          <w:sz w:val="18"/>
          <w:szCs w:val="18"/>
          <w:lang w:eastAsia="es-MX"/>
        </w:rPr>
        <w:t>6</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Pr="00540418" w:rsidRDefault="00E9624C"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Durante el ejercicio 201</w:t>
      </w:r>
      <w:r w:rsidR="007430D1">
        <w:rPr>
          <w:lang w:eastAsia="es-MX"/>
        </w:rPr>
        <w:t>6</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w:t>
      </w:r>
      <w:proofErr w:type="gramStart"/>
      <w:r w:rsidR="004E53DD">
        <w:t xml:space="preserve">una </w:t>
      </w:r>
      <w:r w:rsidR="004E53DD" w:rsidRPr="004E53DD">
        <w:t xml:space="preserve"> </w:t>
      </w:r>
      <w:r w:rsidRPr="004E53DD">
        <w:t>Persona</w:t>
      </w:r>
      <w:proofErr w:type="gramEnd"/>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lastRenderedPageBreak/>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t>No aplica</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FE6784"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67.75pt;height:70.6pt;z-index:251662336;mso-position-horizontal-relative:text;mso-position-vertical-relative:text;mso-width-relative:page;mso-height-relative:page">
            <v:imagedata r:id="rId29" o:title=""/>
            <w10:wrap type="topAndBottom"/>
          </v:shape>
          <o:OLEObject Type="Embed" ProgID="Excel.Sheet.12" ShapeID="_x0000_s1038" DrawAspect="Content" ObjectID="_1528897993" r:id="rId30"/>
        </w:object>
      </w:r>
    </w:p>
    <w:sectPr w:rsidR="000D0F9F" w:rsidSect="009C2B32">
      <w:headerReference w:type="even" r:id="rId31"/>
      <w:headerReference w:type="default" r:id="rId32"/>
      <w:footerReference w:type="even" r:id="rId33"/>
      <w:footerReference w:type="default" r:id="rId34"/>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84" w:rsidRDefault="00FE6784" w:rsidP="00EA5418">
      <w:pPr>
        <w:spacing w:after="0" w:line="240" w:lineRule="auto"/>
      </w:pPr>
      <w:r>
        <w:separator/>
      </w:r>
    </w:p>
  </w:endnote>
  <w:endnote w:type="continuationSeparator" w:id="0">
    <w:p w:rsidR="00FE6784" w:rsidRDefault="00FE678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75A11" w:rsidRPr="00F75A11">
          <w:rPr>
            <w:rFonts w:ascii="Soberana Sans Light" w:hAnsi="Soberana Sans Light"/>
            <w:noProof/>
            <w:lang w:val="es-ES"/>
          </w:rPr>
          <w:t>22</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75A11" w:rsidRPr="00F75A11">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84" w:rsidRDefault="00FE6784" w:rsidP="00EA5418">
      <w:pPr>
        <w:spacing w:after="0" w:line="240" w:lineRule="auto"/>
      </w:pPr>
      <w:r>
        <w:separator/>
      </w:r>
    </w:p>
  </w:footnote>
  <w:footnote w:type="continuationSeparator" w:id="0">
    <w:p w:rsidR="00FE6784" w:rsidRDefault="00FE678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4252F">
                                <w:rPr>
                                  <w:rFonts w:ascii="Soberana Titular" w:hAnsi="Soberana Titular" w:cs="Arial"/>
                                  <w:color w:val="808080" w:themeColor="background1" w:themeShade="80"/>
                                  <w:sz w:val="42"/>
                                  <w:szCs w:val="42"/>
                                </w:rPr>
                                <w:t>6</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4252F">
                          <w:rPr>
                            <w:rFonts w:ascii="Soberana Titular" w:hAnsi="Soberana Titular" w:cs="Arial"/>
                            <w:color w:val="808080" w:themeColor="background1" w:themeShade="80"/>
                            <w:sz w:val="42"/>
                            <w:szCs w:val="42"/>
                          </w:rPr>
                          <w:t>6</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5B0D"/>
    <w:rsid w:val="00033CAA"/>
    <w:rsid w:val="00040466"/>
    <w:rsid w:val="00045A10"/>
    <w:rsid w:val="0005457B"/>
    <w:rsid w:val="000B0A87"/>
    <w:rsid w:val="000B68EA"/>
    <w:rsid w:val="000C3548"/>
    <w:rsid w:val="000D0F9F"/>
    <w:rsid w:val="000D1254"/>
    <w:rsid w:val="000E75FD"/>
    <w:rsid w:val="000F6415"/>
    <w:rsid w:val="000F7ACD"/>
    <w:rsid w:val="00102D1F"/>
    <w:rsid w:val="00106955"/>
    <w:rsid w:val="001073E5"/>
    <w:rsid w:val="0011112A"/>
    <w:rsid w:val="00113753"/>
    <w:rsid w:val="001177DC"/>
    <w:rsid w:val="00124313"/>
    <w:rsid w:val="0013011C"/>
    <w:rsid w:val="00131898"/>
    <w:rsid w:val="00165BB4"/>
    <w:rsid w:val="0018530A"/>
    <w:rsid w:val="001903BE"/>
    <w:rsid w:val="001A0C5C"/>
    <w:rsid w:val="001B0B86"/>
    <w:rsid w:val="001B1B72"/>
    <w:rsid w:val="001B36F0"/>
    <w:rsid w:val="001B5A2A"/>
    <w:rsid w:val="001C29AA"/>
    <w:rsid w:val="001C6FD8"/>
    <w:rsid w:val="001D178C"/>
    <w:rsid w:val="001D7917"/>
    <w:rsid w:val="001E5E1D"/>
    <w:rsid w:val="001E7072"/>
    <w:rsid w:val="001E754B"/>
    <w:rsid w:val="002044CB"/>
    <w:rsid w:val="00204C86"/>
    <w:rsid w:val="00204CA4"/>
    <w:rsid w:val="00205CF5"/>
    <w:rsid w:val="00217E6B"/>
    <w:rsid w:val="00234924"/>
    <w:rsid w:val="002457D8"/>
    <w:rsid w:val="002500F9"/>
    <w:rsid w:val="002527DA"/>
    <w:rsid w:val="00253D0D"/>
    <w:rsid w:val="00264426"/>
    <w:rsid w:val="00281103"/>
    <w:rsid w:val="00281980"/>
    <w:rsid w:val="002857AC"/>
    <w:rsid w:val="002934EB"/>
    <w:rsid w:val="002A70B3"/>
    <w:rsid w:val="002D2BFE"/>
    <w:rsid w:val="002D3118"/>
    <w:rsid w:val="002F15F6"/>
    <w:rsid w:val="002F1DF1"/>
    <w:rsid w:val="002F44DF"/>
    <w:rsid w:val="002F4560"/>
    <w:rsid w:val="002F66A3"/>
    <w:rsid w:val="00307805"/>
    <w:rsid w:val="00310056"/>
    <w:rsid w:val="00313E34"/>
    <w:rsid w:val="003167FD"/>
    <w:rsid w:val="00320BF6"/>
    <w:rsid w:val="00330D1B"/>
    <w:rsid w:val="00360599"/>
    <w:rsid w:val="00360A5A"/>
    <w:rsid w:val="00362808"/>
    <w:rsid w:val="0036627F"/>
    <w:rsid w:val="00372F40"/>
    <w:rsid w:val="00385BFD"/>
    <w:rsid w:val="00396C2B"/>
    <w:rsid w:val="003A0303"/>
    <w:rsid w:val="003A334A"/>
    <w:rsid w:val="003A7F8B"/>
    <w:rsid w:val="003B2BF6"/>
    <w:rsid w:val="003B44C2"/>
    <w:rsid w:val="003D5DBF"/>
    <w:rsid w:val="003E0882"/>
    <w:rsid w:val="003E14C4"/>
    <w:rsid w:val="003E7FD0"/>
    <w:rsid w:val="003F0EA4"/>
    <w:rsid w:val="003F3E58"/>
    <w:rsid w:val="004052E5"/>
    <w:rsid w:val="00424A6E"/>
    <w:rsid w:val="004268C2"/>
    <w:rsid w:val="00427AA5"/>
    <w:rsid w:val="004311BE"/>
    <w:rsid w:val="0044252F"/>
    <w:rsid w:val="0044253C"/>
    <w:rsid w:val="00445F10"/>
    <w:rsid w:val="0045722B"/>
    <w:rsid w:val="00465CF1"/>
    <w:rsid w:val="004714CF"/>
    <w:rsid w:val="00482754"/>
    <w:rsid w:val="00484C0D"/>
    <w:rsid w:val="00485295"/>
    <w:rsid w:val="004934FB"/>
    <w:rsid w:val="00497D8B"/>
    <w:rsid w:val="004A17D5"/>
    <w:rsid w:val="004B34B7"/>
    <w:rsid w:val="004C45C3"/>
    <w:rsid w:val="004D41B8"/>
    <w:rsid w:val="004E53DD"/>
    <w:rsid w:val="004F5641"/>
    <w:rsid w:val="005103BC"/>
    <w:rsid w:val="00522632"/>
    <w:rsid w:val="00522EF3"/>
    <w:rsid w:val="00531C63"/>
    <w:rsid w:val="00534B9A"/>
    <w:rsid w:val="0053684F"/>
    <w:rsid w:val="00540418"/>
    <w:rsid w:val="00546DEF"/>
    <w:rsid w:val="005577E6"/>
    <w:rsid w:val="00571CDC"/>
    <w:rsid w:val="00574266"/>
    <w:rsid w:val="00587548"/>
    <w:rsid w:val="005A3E9C"/>
    <w:rsid w:val="005A404E"/>
    <w:rsid w:val="005A43B4"/>
    <w:rsid w:val="005A71FE"/>
    <w:rsid w:val="005A79C3"/>
    <w:rsid w:val="005A7BD9"/>
    <w:rsid w:val="005C18CD"/>
    <w:rsid w:val="005D0533"/>
    <w:rsid w:val="005D3D25"/>
    <w:rsid w:val="005F1685"/>
    <w:rsid w:val="00602CD2"/>
    <w:rsid w:val="00646ABA"/>
    <w:rsid w:val="00665243"/>
    <w:rsid w:val="00676FEE"/>
    <w:rsid w:val="00687D4E"/>
    <w:rsid w:val="0069117B"/>
    <w:rsid w:val="006924F9"/>
    <w:rsid w:val="00693451"/>
    <w:rsid w:val="006966F9"/>
    <w:rsid w:val="006B1FE7"/>
    <w:rsid w:val="006E60FB"/>
    <w:rsid w:val="006E77DD"/>
    <w:rsid w:val="00724799"/>
    <w:rsid w:val="007347D6"/>
    <w:rsid w:val="007430D1"/>
    <w:rsid w:val="00743B00"/>
    <w:rsid w:val="007621AA"/>
    <w:rsid w:val="007639F6"/>
    <w:rsid w:val="0077201F"/>
    <w:rsid w:val="007775B2"/>
    <w:rsid w:val="0079245C"/>
    <w:rsid w:val="0079582C"/>
    <w:rsid w:val="00797936"/>
    <w:rsid w:val="007A2FF2"/>
    <w:rsid w:val="007A6B18"/>
    <w:rsid w:val="007C4971"/>
    <w:rsid w:val="007D0252"/>
    <w:rsid w:val="007D2F34"/>
    <w:rsid w:val="007D6E9A"/>
    <w:rsid w:val="007D7F0F"/>
    <w:rsid w:val="007F4593"/>
    <w:rsid w:val="007F54FB"/>
    <w:rsid w:val="008013F4"/>
    <w:rsid w:val="0080391E"/>
    <w:rsid w:val="00805991"/>
    <w:rsid w:val="00810ACC"/>
    <w:rsid w:val="00811DAC"/>
    <w:rsid w:val="008130D0"/>
    <w:rsid w:val="0082592B"/>
    <w:rsid w:val="00830F48"/>
    <w:rsid w:val="00831B19"/>
    <w:rsid w:val="00834059"/>
    <w:rsid w:val="0084136F"/>
    <w:rsid w:val="00850E80"/>
    <w:rsid w:val="0086769C"/>
    <w:rsid w:val="00870C76"/>
    <w:rsid w:val="00873456"/>
    <w:rsid w:val="0089054E"/>
    <w:rsid w:val="008A6E4D"/>
    <w:rsid w:val="008A793D"/>
    <w:rsid w:val="008B0017"/>
    <w:rsid w:val="008D18DC"/>
    <w:rsid w:val="008D202A"/>
    <w:rsid w:val="008D37E0"/>
    <w:rsid w:val="008E06C1"/>
    <w:rsid w:val="008E3652"/>
    <w:rsid w:val="008F6D58"/>
    <w:rsid w:val="009002D4"/>
    <w:rsid w:val="009014CD"/>
    <w:rsid w:val="00903FD9"/>
    <w:rsid w:val="00913E1A"/>
    <w:rsid w:val="009147A6"/>
    <w:rsid w:val="009156AB"/>
    <w:rsid w:val="0092363E"/>
    <w:rsid w:val="009237BF"/>
    <w:rsid w:val="0093492C"/>
    <w:rsid w:val="00941FE5"/>
    <w:rsid w:val="00957043"/>
    <w:rsid w:val="0096143E"/>
    <w:rsid w:val="00965580"/>
    <w:rsid w:val="00966DA7"/>
    <w:rsid w:val="00990BF6"/>
    <w:rsid w:val="00993E4E"/>
    <w:rsid w:val="009A2B75"/>
    <w:rsid w:val="009A7DD0"/>
    <w:rsid w:val="009B7446"/>
    <w:rsid w:val="009C2B32"/>
    <w:rsid w:val="009C3666"/>
    <w:rsid w:val="009D08FE"/>
    <w:rsid w:val="009D497E"/>
    <w:rsid w:val="009D5D4C"/>
    <w:rsid w:val="009E388A"/>
    <w:rsid w:val="009F23C4"/>
    <w:rsid w:val="009F4D4E"/>
    <w:rsid w:val="00A00425"/>
    <w:rsid w:val="00A05B40"/>
    <w:rsid w:val="00A15EC9"/>
    <w:rsid w:val="00A16DCE"/>
    <w:rsid w:val="00A24DE4"/>
    <w:rsid w:val="00A25606"/>
    <w:rsid w:val="00A34ECF"/>
    <w:rsid w:val="00A363B6"/>
    <w:rsid w:val="00A46BF5"/>
    <w:rsid w:val="00A539CE"/>
    <w:rsid w:val="00A84FFE"/>
    <w:rsid w:val="00A87879"/>
    <w:rsid w:val="00A9493F"/>
    <w:rsid w:val="00A9743E"/>
    <w:rsid w:val="00AA2A29"/>
    <w:rsid w:val="00AB4BAA"/>
    <w:rsid w:val="00AB7A0B"/>
    <w:rsid w:val="00AD12BD"/>
    <w:rsid w:val="00B013D4"/>
    <w:rsid w:val="00B146E2"/>
    <w:rsid w:val="00B14C7A"/>
    <w:rsid w:val="00B16BF8"/>
    <w:rsid w:val="00B17791"/>
    <w:rsid w:val="00B36820"/>
    <w:rsid w:val="00B41734"/>
    <w:rsid w:val="00B54BCD"/>
    <w:rsid w:val="00B57205"/>
    <w:rsid w:val="00B715CB"/>
    <w:rsid w:val="00B718FF"/>
    <w:rsid w:val="00B849EE"/>
    <w:rsid w:val="00B84D02"/>
    <w:rsid w:val="00B91BF9"/>
    <w:rsid w:val="00B94309"/>
    <w:rsid w:val="00B95DED"/>
    <w:rsid w:val="00BA2940"/>
    <w:rsid w:val="00BB3A5E"/>
    <w:rsid w:val="00BC4004"/>
    <w:rsid w:val="00BD15CC"/>
    <w:rsid w:val="00BD21E4"/>
    <w:rsid w:val="00BD73E3"/>
    <w:rsid w:val="00BF5C86"/>
    <w:rsid w:val="00C149FE"/>
    <w:rsid w:val="00C16E53"/>
    <w:rsid w:val="00C25267"/>
    <w:rsid w:val="00C25EFC"/>
    <w:rsid w:val="00C431B4"/>
    <w:rsid w:val="00C472DB"/>
    <w:rsid w:val="00C64DF7"/>
    <w:rsid w:val="00C86C59"/>
    <w:rsid w:val="00C87770"/>
    <w:rsid w:val="00C90CFE"/>
    <w:rsid w:val="00C91C5A"/>
    <w:rsid w:val="00C96B61"/>
    <w:rsid w:val="00CA33AF"/>
    <w:rsid w:val="00CA4899"/>
    <w:rsid w:val="00CB7189"/>
    <w:rsid w:val="00CC03D8"/>
    <w:rsid w:val="00CD6D9A"/>
    <w:rsid w:val="00D00E92"/>
    <w:rsid w:val="00D055EC"/>
    <w:rsid w:val="00D170A8"/>
    <w:rsid w:val="00D1741F"/>
    <w:rsid w:val="00D20CE7"/>
    <w:rsid w:val="00D44728"/>
    <w:rsid w:val="00D514E0"/>
    <w:rsid w:val="00D54B8E"/>
    <w:rsid w:val="00D562FF"/>
    <w:rsid w:val="00D617FC"/>
    <w:rsid w:val="00D62BBA"/>
    <w:rsid w:val="00D864F8"/>
    <w:rsid w:val="00D87598"/>
    <w:rsid w:val="00D957F2"/>
    <w:rsid w:val="00DC01BC"/>
    <w:rsid w:val="00DC1208"/>
    <w:rsid w:val="00DD435A"/>
    <w:rsid w:val="00DE04FC"/>
    <w:rsid w:val="00DE4287"/>
    <w:rsid w:val="00DE4B0F"/>
    <w:rsid w:val="00DF4B35"/>
    <w:rsid w:val="00DF56C9"/>
    <w:rsid w:val="00E04873"/>
    <w:rsid w:val="00E20761"/>
    <w:rsid w:val="00E2248D"/>
    <w:rsid w:val="00E231C1"/>
    <w:rsid w:val="00E244B2"/>
    <w:rsid w:val="00E30318"/>
    <w:rsid w:val="00E32708"/>
    <w:rsid w:val="00E32900"/>
    <w:rsid w:val="00E37066"/>
    <w:rsid w:val="00E512A7"/>
    <w:rsid w:val="00E607D5"/>
    <w:rsid w:val="00E66D68"/>
    <w:rsid w:val="00E71738"/>
    <w:rsid w:val="00E94126"/>
    <w:rsid w:val="00E9624C"/>
    <w:rsid w:val="00EA5418"/>
    <w:rsid w:val="00EB28BB"/>
    <w:rsid w:val="00EC1B17"/>
    <w:rsid w:val="00EC29FE"/>
    <w:rsid w:val="00EE4103"/>
    <w:rsid w:val="00EE46FB"/>
    <w:rsid w:val="00EF369A"/>
    <w:rsid w:val="00F01AF3"/>
    <w:rsid w:val="00F17C0D"/>
    <w:rsid w:val="00F17D9E"/>
    <w:rsid w:val="00F22209"/>
    <w:rsid w:val="00F23E4E"/>
    <w:rsid w:val="00F245CE"/>
    <w:rsid w:val="00F33666"/>
    <w:rsid w:val="00F45068"/>
    <w:rsid w:val="00F47AE5"/>
    <w:rsid w:val="00F5199D"/>
    <w:rsid w:val="00F755D0"/>
    <w:rsid w:val="00F75A11"/>
    <w:rsid w:val="00F965F1"/>
    <w:rsid w:val="00F96D4C"/>
    <w:rsid w:val="00FA5BBC"/>
    <w:rsid w:val="00FB1010"/>
    <w:rsid w:val="00FB1B35"/>
    <w:rsid w:val="00FC0DFD"/>
    <w:rsid w:val="00FC29A3"/>
    <w:rsid w:val="00FD5A63"/>
    <w:rsid w:val="00FE6784"/>
    <w:rsid w:val="00FF1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jpg"/><Relationship Id="rId28" Type="http://schemas.openxmlformats.org/officeDocument/2006/relationships/image" Target="media/image12.jp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jpg"/><Relationship Id="rId27" Type="http://schemas.openxmlformats.org/officeDocument/2006/relationships/package" Target="embeddings/Hoja_de_c_lculo_de_Microsoft_Excel9.xlsx"/><Relationship Id="rId30" Type="http://schemas.openxmlformats.org/officeDocument/2006/relationships/package" Target="embeddings/Hoja_de_c_lculo_de_Microsoft_Excel10.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470B-DEB0-46B8-A211-A71A80B9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 P. ARTURO C. P.</cp:lastModifiedBy>
  <cp:revision>6</cp:revision>
  <cp:lastPrinted>2016-04-11T15:14:00Z</cp:lastPrinted>
  <dcterms:created xsi:type="dcterms:W3CDTF">2016-07-01T20:18:00Z</dcterms:created>
  <dcterms:modified xsi:type="dcterms:W3CDTF">2016-07-01T22:06:00Z</dcterms:modified>
</cp:coreProperties>
</file>