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2A03B0" w:rsidP="003D5DBF">
      <w:pPr>
        <w:jc w:val="center"/>
      </w:pPr>
      <w:r>
        <w:object w:dxaOrig="23568" w:dyaOrig="15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17.75pt" o:ole="">
            <v:imagedata r:id="rId8" o:title=""/>
          </v:shape>
          <o:OLEObject Type="Embed" ProgID="Excel.Sheet.12" ShapeID="_x0000_i1025" DrawAspect="Content" ObjectID="_1529299571" r:id="rId9"/>
        </w:object>
      </w:r>
    </w:p>
    <w:p w:rsidR="00EA5418" w:rsidRDefault="00EA5418" w:rsidP="00372F40">
      <w:pPr>
        <w:jc w:val="center"/>
      </w:pPr>
    </w:p>
    <w:bookmarkStart w:id="1" w:name="_MON_1470805999"/>
    <w:bookmarkEnd w:id="1"/>
    <w:p w:rsidR="00EA5418" w:rsidRDefault="002A03B0" w:rsidP="0044253C">
      <w:pPr>
        <w:jc w:val="center"/>
      </w:pPr>
      <w:r>
        <w:object w:dxaOrig="25888" w:dyaOrig="18957">
          <v:shape id="_x0000_i1026" type="#_x0000_t75" style="width:612pt;height:439.5pt" o:ole="">
            <v:imagedata r:id="rId10" o:title=""/>
          </v:shape>
          <o:OLEObject Type="Embed" ProgID="Excel.Sheet.12" ShapeID="_x0000_i1026" DrawAspect="Content" ObjectID="_1529299572" r:id="rId11"/>
        </w:object>
      </w:r>
    </w:p>
    <w:bookmarkStart w:id="2" w:name="_MON_1470806992"/>
    <w:bookmarkEnd w:id="2"/>
    <w:p w:rsidR="00372F40" w:rsidRDefault="002A03B0" w:rsidP="003E7FD0">
      <w:pPr>
        <w:jc w:val="center"/>
      </w:pPr>
      <w:r>
        <w:object w:dxaOrig="22031" w:dyaOrig="15503">
          <v:shape id="_x0000_i1027" type="#_x0000_t75" style="width:650.25pt;height:457.5pt" o:ole="">
            <v:imagedata r:id="rId12" o:title=""/>
          </v:shape>
          <o:OLEObject Type="Embed" ProgID="Excel.Sheet.12" ShapeID="_x0000_i1027" DrawAspect="Content" ObjectID="_1529299573" r:id="rId13"/>
        </w:object>
      </w:r>
    </w:p>
    <w:bookmarkStart w:id="3" w:name="_MON_1470807348"/>
    <w:bookmarkEnd w:id="3"/>
    <w:p w:rsidR="00372F40" w:rsidRDefault="002A03B0" w:rsidP="008E3652">
      <w:pPr>
        <w:jc w:val="center"/>
      </w:pPr>
      <w:r>
        <w:object w:dxaOrig="17741" w:dyaOrig="12421">
          <v:shape id="_x0000_i1028" type="#_x0000_t75" style="width:645.75pt;height:452.25pt" o:ole="">
            <v:imagedata r:id="rId14" o:title=""/>
          </v:shape>
          <o:OLEObject Type="Embed" ProgID="Excel.Sheet.12" ShapeID="_x0000_i1028" DrawAspect="Content" ObjectID="_1529299574" r:id="rId15"/>
        </w:object>
      </w:r>
    </w:p>
    <w:bookmarkStart w:id="4" w:name="_MON_1470809138"/>
    <w:bookmarkEnd w:id="4"/>
    <w:p w:rsidR="00372F40" w:rsidRDefault="002A03B0" w:rsidP="00522632">
      <w:pPr>
        <w:jc w:val="center"/>
      </w:pPr>
      <w:r>
        <w:object w:dxaOrig="17835" w:dyaOrig="12267">
          <v:shape id="_x0000_i1029" type="#_x0000_t75" style="width:633pt;height:432.75pt" o:ole="">
            <v:imagedata r:id="rId16" o:title=""/>
          </v:shape>
          <o:OLEObject Type="Embed" ProgID="Excel.Sheet.12" ShapeID="_x0000_i1029" DrawAspect="Content" ObjectID="_1529299575" r:id="rId17"/>
        </w:object>
      </w:r>
    </w:p>
    <w:p w:rsidR="00372F40" w:rsidRDefault="00372F40" w:rsidP="002A70B3">
      <w:pPr>
        <w:tabs>
          <w:tab w:val="left" w:pos="2430"/>
        </w:tabs>
      </w:pPr>
    </w:p>
    <w:bookmarkStart w:id="5" w:name="_MON_1470814596"/>
    <w:bookmarkEnd w:id="5"/>
    <w:p w:rsidR="00E32708" w:rsidRDefault="002A03B0" w:rsidP="00E32708">
      <w:pPr>
        <w:tabs>
          <w:tab w:val="left" w:pos="2430"/>
        </w:tabs>
        <w:jc w:val="center"/>
      </w:pPr>
      <w:r>
        <w:object w:dxaOrig="18823" w:dyaOrig="11447">
          <v:shape id="_x0000_i1030" type="#_x0000_t75" style="width:656.25pt;height:397.5pt" o:ole="">
            <v:imagedata r:id="rId18" o:title=""/>
          </v:shape>
          <o:OLEObject Type="Embed" ProgID="Excel.Sheet.12" ShapeID="_x0000_i1030" DrawAspect="Content" ObjectID="_1529299576" r:id="rId19"/>
        </w:object>
      </w:r>
    </w:p>
    <w:bookmarkStart w:id="6" w:name="_MON_1470810366"/>
    <w:bookmarkEnd w:id="6"/>
    <w:p w:rsidR="00E32708" w:rsidRDefault="002A03B0" w:rsidP="00E32708">
      <w:pPr>
        <w:tabs>
          <w:tab w:val="left" w:pos="2430"/>
        </w:tabs>
        <w:jc w:val="center"/>
      </w:pPr>
      <w:r>
        <w:object w:dxaOrig="25965" w:dyaOrig="16794">
          <v:shape id="_x0000_i1031" type="#_x0000_t75" style="width:692.25pt;height:431.25pt" o:ole="">
            <v:imagedata r:id="rId20" o:title=""/>
          </v:shape>
          <o:OLEObject Type="Embed" ProgID="Excel.Sheet.12" ShapeID="_x0000_i1031" DrawAspect="Content" ObjectID="_1529299577" r:id="rId21"/>
        </w:object>
      </w:r>
    </w:p>
    <w:p w:rsidR="00372F40" w:rsidRDefault="00372F40"/>
    <w:p w:rsidR="009C18C6" w:rsidRDefault="009C18C6"/>
    <w:p w:rsidR="009C18C6" w:rsidRDefault="009C18C6"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2E455C" w:rsidP="0079582C">
      <w:pPr>
        <w:jc w:val="center"/>
        <w:rPr>
          <w:rFonts w:ascii="Soberana Sans Light" w:hAnsi="Soberana Sans Light"/>
        </w:rPr>
      </w:pPr>
      <w:r>
        <w:rPr>
          <w:rFonts w:ascii="Soberana Sans Light" w:hAnsi="Soberana Sans Light"/>
        </w:rPr>
        <w:t>2016</w:t>
      </w:r>
    </w:p>
    <w:p w:rsidR="00540418" w:rsidRPr="00540418" w:rsidRDefault="00540418">
      <w:pPr>
        <w:rPr>
          <w:rFonts w:ascii="Soberana Sans Light" w:hAnsi="Soberana Sans Light"/>
        </w:rPr>
      </w:pPr>
    </w:p>
    <w:p w:rsidR="0079582C" w:rsidRDefault="00E71557" w:rsidP="00E71557">
      <w:pPr>
        <w:pStyle w:val="Prrafodelista"/>
        <w:rPr>
          <w:rFonts w:ascii="Soberana Sans Light" w:hAnsi="Soberana Sans Light"/>
        </w:rPr>
      </w:pPr>
      <w:r>
        <w:rPr>
          <w:rFonts w:ascii="Soberana Sans Light" w:hAnsi="Soberana Sans Light"/>
        </w:rPr>
        <w:t>Para el Ejercicio Fiscal 201</w:t>
      </w:r>
      <w:r w:rsidR="002E455C">
        <w:rPr>
          <w:rFonts w:ascii="Soberana Sans Light" w:hAnsi="Soberana Sans Light"/>
        </w:rPr>
        <w:t>6</w:t>
      </w:r>
      <w:r>
        <w:rPr>
          <w:rFonts w:ascii="Soberana Sans Light" w:hAnsi="Soberana Sans Light"/>
        </w:rPr>
        <w:t xml:space="preserve">, </w:t>
      </w:r>
      <w:r w:rsidR="000E1B92">
        <w:rPr>
          <w:rFonts w:ascii="Soberana Sans Light" w:hAnsi="Soberana Sans Light"/>
        </w:rPr>
        <w:t>el Régimen Estatal de Protección Social en Salud en Tlaxcala</w:t>
      </w:r>
      <w:r>
        <w:rPr>
          <w:rFonts w:ascii="Soberana Sans Light" w:hAnsi="Soberana Sans Light"/>
        </w:rPr>
        <w:t>, no cuenta con Pasivos Contingentes.</w:t>
      </w: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Pr="000E1B92" w:rsidRDefault="00E71557" w:rsidP="000E1B92">
      <w:pPr>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________________________________</w:t>
            </w:r>
          </w:p>
        </w:tc>
      </w:tr>
      <w:tr w:rsidR="00E71557" w:rsidTr="00E71557">
        <w:trPr>
          <w:jc w:val="center"/>
        </w:trPr>
        <w:tc>
          <w:tcPr>
            <w:tcW w:w="6910" w:type="dxa"/>
          </w:tcPr>
          <w:p w:rsidR="00E71557" w:rsidRDefault="00401F1F" w:rsidP="00E71557">
            <w:pPr>
              <w:pStyle w:val="Prrafodelista"/>
              <w:ind w:left="0"/>
              <w:jc w:val="center"/>
              <w:rPr>
                <w:rFonts w:ascii="Soberana Sans Light" w:hAnsi="Soberana Sans Light"/>
              </w:rPr>
            </w:pPr>
            <w:r>
              <w:rPr>
                <w:rFonts w:ascii="Soberana Sans Light" w:hAnsi="Soberana Sans Light"/>
              </w:rPr>
              <w:t>Dr. José Hipólito Sánchez Hernández</w:t>
            </w:r>
          </w:p>
        </w:tc>
        <w:tc>
          <w:tcPr>
            <w:tcW w:w="6910" w:type="dxa"/>
          </w:tcPr>
          <w:p w:rsidR="00E71557" w:rsidRDefault="00401F1F" w:rsidP="00E71557">
            <w:pPr>
              <w:pStyle w:val="Prrafodelista"/>
              <w:ind w:left="0"/>
              <w:jc w:val="center"/>
              <w:rPr>
                <w:rFonts w:ascii="Soberana Sans Light" w:hAnsi="Soberana Sans Light"/>
              </w:rPr>
            </w:pPr>
            <w:r>
              <w:rPr>
                <w:rFonts w:ascii="Soberana Sans Light" w:hAnsi="Soberana Sans Light"/>
              </w:rPr>
              <w:t>C.P. José Guadalupe Gutiérrez Aguilar</w:t>
            </w:r>
          </w:p>
        </w:tc>
      </w:tr>
      <w:tr w:rsidR="00E71557" w:rsidTr="00E71557">
        <w:trPr>
          <w:jc w:val="center"/>
        </w:trPr>
        <w:tc>
          <w:tcPr>
            <w:tcW w:w="6910" w:type="dxa"/>
          </w:tcPr>
          <w:p w:rsidR="00E71557" w:rsidRDefault="00401F1F" w:rsidP="00E71557">
            <w:pPr>
              <w:pStyle w:val="Prrafodelista"/>
              <w:ind w:left="0"/>
              <w:jc w:val="center"/>
              <w:rPr>
                <w:rFonts w:ascii="Soberana Sans Light" w:hAnsi="Soberana Sans Light"/>
              </w:rPr>
            </w:pPr>
            <w:r>
              <w:rPr>
                <w:rFonts w:ascii="Soberana Sans Light" w:hAnsi="Soberana Sans Light"/>
              </w:rPr>
              <w:t>Director</w:t>
            </w:r>
            <w:r w:rsidR="00E71557">
              <w:rPr>
                <w:rFonts w:ascii="Soberana Sans Light" w:hAnsi="Soberana Sans Light"/>
              </w:rPr>
              <w:t xml:space="preserve"> General</w:t>
            </w:r>
          </w:p>
        </w:tc>
        <w:tc>
          <w:tcPr>
            <w:tcW w:w="6910" w:type="dxa"/>
          </w:tcPr>
          <w:p w:rsidR="00E71557" w:rsidRDefault="00401F1F" w:rsidP="00E71557">
            <w:pPr>
              <w:pStyle w:val="Prrafodelista"/>
              <w:ind w:left="0"/>
              <w:jc w:val="center"/>
              <w:rPr>
                <w:rFonts w:ascii="Soberana Sans Light" w:hAnsi="Soberana Sans Light"/>
              </w:rPr>
            </w:pPr>
            <w:r>
              <w:rPr>
                <w:rFonts w:ascii="Soberana Sans Light" w:hAnsi="Soberana Sans Light"/>
              </w:rPr>
              <w:t xml:space="preserve">Encargado de Subdirección de Administración y Financiamiento </w:t>
            </w:r>
          </w:p>
        </w:tc>
      </w:tr>
    </w:tbl>
    <w:p w:rsidR="00E71557" w:rsidRPr="0079582C" w:rsidRDefault="00E71557" w:rsidP="00E71557">
      <w:pPr>
        <w:pStyle w:val="Prrafodelista"/>
        <w:rPr>
          <w:rFonts w:ascii="Soberana Sans Light" w:hAnsi="Soberana Sans Light"/>
        </w:rPr>
      </w:pPr>
    </w:p>
    <w:p w:rsidR="006447D7" w:rsidRPr="00221B14" w:rsidRDefault="00540418" w:rsidP="006447D7">
      <w:pPr>
        <w:jc w:val="center"/>
        <w:rPr>
          <w:rFonts w:ascii="Soberana Sans Light" w:hAnsi="Soberana Sans Light"/>
          <w:b/>
        </w:rPr>
      </w:pPr>
      <w:r>
        <w:rPr>
          <w:rFonts w:ascii="Soberana Sans Light" w:hAnsi="Soberana Sans Light"/>
        </w:rPr>
        <w:br w:type="page"/>
      </w:r>
      <w:r w:rsidR="006447D7" w:rsidRPr="00221B14">
        <w:rPr>
          <w:rFonts w:ascii="Soberana Sans Light" w:hAnsi="Soberana Sans Light"/>
          <w:b/>
          <w:lang w:val="es-ES"/>
        </w:rPr>
        <w:lastRenderedPageBreak/>
        <w:t>NOTAS A LOS ESTADOS FINANCIEROS</w:t>
      </w:r>
    </w:p>
    <w:p w:rsidR="006447D7" w:rsidRPr="00221B14" w:rsidRDefault="006447D7" w:rsidP="006447D7">
      <w:pPr>
        <w:jc w:val="center"/>
        <w:rPr>
          <w:rFonts w:ascii="Soberana Sans Light" w:hAnsi="Soberana Sans Light"/>
          <w:lang w:val="es-ES"/>
        </w:rPr>
      </w:pPr>
      <w:r w:rsidRPr="00221B14">
        <w:rPr>
          <w:rFonts w:ascii="Soberana Sans Light" w:hAnsi="Soberana Sans Light"/>
          <w:lang w:val="es-ES"/>
        </w:rPr>
        <w:t>(Formato libre, en caso de no aplicar se debe asentar. Debe venir firmado)</w:t>
      </w:r>
    </w:p>
    <w:p w:rsidR="006447D7" w:rsidRPr="00221B14" w:rsidRDefault="006447D7" w:rsidP="006447D7">
      <w:pPr>
        <w:jc w:val="center"/>
        <w:rPr>
          <w:rFonts w:ascii="Soberana Sans Light" w:hAnsi="Soberana Sans Light"/>
          <w:b/>
          <w:lang w:val="es-ES"/>
        </w:rPr>
      </w:pPr>
      <w:r w:rsidRPr="00221B14">
        <w:rPr>
          <w:rFonts w:ascii="Soberana Sans Light" w:hAnsi="Soberana Sans Light"/>
          <w:b/>
          <w:lang w:val="es-ES"/>
        </w:rPr>
        <w:t>a) NOTAS DE DESGLOSE</w:t>
      </w:r>
    </w:p>
    <w:p w:rsidR="006447D7" w:rsidRPr="00221B14" w:rsidRDefault="006447D7" w:rsidP="006447D7">
      <w:pPr>
        <w:spacing w:after="0"/>
        <w:jc w:val="both"/>
        <w:rPr>
          <w:rFonts w:ascii="Soberana Sans Light" w:hAnsi="Soberana Sans Light"/>
          <w:b/>
          <w:lang w:val="es-ES"/>
        </w:rPr>
      </w:pPr>
      <w:r w:rsidRPr="00221B14">
        <w:rPr>
          <w:rFonts w:ascii="Soberana Sans Light" w:hAnsi="Soberana Sans Light"/>
          <w:b/>
          <w:lang w:val="es-ES"/>
        </w:rPr>
        <w:t>I)</w:t>
      </w:r>
      <w:r w:rsidRPr="00221B14">
        <w:rPr>
          <w:rFonts w:ascii="Soberana Sans Light" w:hAnsi="Soberana Sans Light"/>
          <w:b/>
          <w:lang w:val="es-ES"/>
        </w:rPr>
        <w:tab/>
        <w:t>Notas al Estado de Situación Financiera</w:t>
      </w:r>
    </w:p>
    <w:p w:rsidR="006447D7" w:rsidRDefault="006447D7" w:rsidP="006447D7">
      <w:pPr>
        <w:spacing w:after="0"/>
        <w:jc w:val="both"/>
        <w:rPr>
          <w:rFonts w:ascii="Soberana Sans Light" w:hAnsi="Soberana Sans Light"/>
          <w:b/>
          <w:sz w:val="20"/>
        </w:rPr>
      </w:pPr>
      <w:r w:rsidRPr="006447D7">
        <w:rPr>
          <w:rFonts w:ascii="Soberana Sans Light" w:hAnsi="Soberana Sans Light"/>
          <w:b/>
          <w:sz w:val="20"/>
        </w:rPr>
        <w:t>Activo</w:t>
      </w:r>
    </w:p>
    <w:p w:rsidR="006447D7" w:rsidRPr="006447D7" w:rsidRDefault="006447D7" w:rsidP="006447D7">
      <w:pPr>
        <w:spacing w:after="0"/>
        <w:jc w:val="both"/>
        <w:rPr>
          <w:rFonts w:ascii="Soberana Sans Light" w:hAnsi="Soberana Sans Light"/>
          <w:b/>
          <w:sz w:val="20"/>
        </w:rPr>
      </w:pPr>
    </w:p>
    <w:p w:rsidR="006447D7" w:rsidRPr="006447D7" w:rsidRDefault="006447D7" w:rsidP="006447D7">
      <w:pPr>
        <w:pStyle w:val="Prrafodelista"/>
        <w:spacing w:after="0"/>
        <w:jc w:val="both"/>
        <w:rPr>
          <w:rFonts w:ascii="Soberana Sans Light" w:hAnsi="Soberana Sans Light"/>
          <w:sz w:val="20"/>
        </w:rPr>
      </w:pPr>
      <w:r w:rsidRPr="006447D7">
        <w:rPr>
          <w:rFonts w:ascii="Soberana Sans Light" w:hAnsi="Soberana Sans Light"/>
          <w:sz w:val="20"/>
        </w:rPr>
        <w:t>Efectivo y Equivalentes</w:t>
      </w:r>
    </w:p>
    <w:p w:rsidR="006447D7" w:rsidRPr="006447D7" w:rsidRDefault="006447D7" w:rsidP="006447D7">
      <w:pPr>
        <w:numPr>
          <w:ilvl w:val="0"/>
          <w:numId w:val="17"/>
        </w:numPr>
        <w:spacing w:after="0"/>
        <w:jc w:val="both"/>
        <w:rPr>
          <w:rFonts w:ascii="Soberana Sans Light" w:hAnsi="Soberana Sans Light"/>
          <w:sz w:val="20"/>
        </w:rPr>
      </w:pPr>
      <w:r w:rsidRPr="006447D7">
        <w:rPr>
          <w:rFonts w:ascii="Soberana Sans Light" w:hAnsi="Soberana Sans Light"/>
          <w:sz w:val="20"/>
        </w:rPr>
        <w:t>Se informa que el monto por $2</w:t>
      </w:r>
      <w:proofErr w:type="gramStart"/>
      <w:r w:rsidRPr="006447D7">
        <w:rPr>
          <w:rFonts w:ascii="Soberana Sans Light" w:hAnsi="Soberana Sans Light"/>
          <w:sz w:val="20"/>
        </w:rPr>
        <w:t>,020,11.00</w:t>
      </w:r>
      <w:proofErr w:type="gramEnd"/>
      <w:r w:rsidRPr="006447D7">
        <w:rPr>
          <w:rFonts w:ascii="Soberana Sans Light" w:hAnsi="Soberana Sans Light"/>
          <w:sz w:val="20"/>
        </w:rPr>
        <w:t xml:space="preserve"> que queda en conciliación corresponde a movimientos no considerados en libros, mism</w:t>
      </w:r>
      <w:r w:rsidR="00FC07A6">
        <w:rPr>
          <w:rFonts w:ascii="Soberana Sans Light" w:hAnsi="Soberana Sans Light"/>
          <w:sz w:val="20"/>
        </w:rPr>
        <w:t>a</w:t>
      </w:r>
      <w:r w:rsidRPr="006447D7">
        <w:rPr>
          <w:rFonts w:ascii="Soberana Sans Light" w:hAnsi="Soberana Sans Light"/>
          <w:sz w:val="20"/>
        </w:rPr>
        <w:t xml:space="preserve">s que </w:t>
      </w:r>
      <w:r w:rsidR="00FC07A6">
        <w:rPr>
          <w:rFonts w:ascii="Soberana Sans Light" w:hAnsi="Soberana Sans Light"/>
          <w:sz w:val="20"/>
        </w:rPr>
        <w:t>tienen salida de bancos de la Tesorería de la federación, y</w:t>
      </w:r>
      <w:r w:rsidR="00FC07A6" w:rsidRPr="006447D7">
        <w:rPr>
          <w:rFonts w:ascii="Soberana Sans Light" w:hAnsi="Soberana Sans Light"/>
          <w:sz w:val="20"/>
        </w:rPr>
        <w:t xml:space="preserve"> están</w:t>
      </w:r>
      <w:r w:rsidRPr="006447D7">
        <w:rPr>
          <w:rFonts w:ascii="Soberana Sans Light" w:hAnsi="Soberana Sans Light"/>
          <w:sz w:val="20"/>
        </w:rPr>
        <w:t xml:space="preserve"> en proceso </w:t>
      </w:r>
      <w:r w:rsidR="00FC07A6">
        <w:rPr>
          <w:rFonts w:ascii="Soberana Sans Light" w:hAnsi="Soberana Sans Light"/>
          <w:sz w:val="20"/>
        </w:rPr>
        <w:t xml:space="preserve">cancelación y </w:t>
      </w:r>
      <w:r w:rsidRPr="006447D7">
        <w:rPr>
          <w:rFonts w:ascii="Soberana Sans Light" w:hAnsi="Soberana Sans Light"/>
          <w:sz w:val="20"/>
        </w:rPr>
        <w:t>consideración por la instancia rectora.</w:t>
      </w:r>
    </w:p>
    <w:p w:rsidR="006447D7" w:rsidRPr="006447D7" w:rsidRDefault="006447D7" w:rsidP="006447D7">
      <w:pPr>
        <w:pStyle w:val="Prrafodelista"/>
        <w:numPr>
          <w:ilvl w:val="0"/>
          <w:numId w:val="17"/>
        </w:numPr>
        <w:spacing w:after="0"/>
        <w:jc w:val="both"/>
        <w:rPr>
          <w:rFonts w:ascii="Soberana Sans Light" w:hAnsi="Soberana Sans Light"/>
          <w:sz w:val="20"/>
        </w:rPr>
      </w:pPr>
      <w:r w:rsidRPr="006447D7">
        <w:rPr>
          <w:rFonts w:ascii="Soberana Sans Light" w:hAnsi="Soberana Sans Light"/>
          <w:sz w:val="20"/>
        </w:rPr>
        <w:t>Derechos a recibir Efectivo y Equivalentes y Bienes o Servicios a Recibir</w:t>
      </w:r>
      <w:r w:rsidR="00FC07A6">
        <w:rPr>
          <w:rFonts w:ascii="Soberana Sans Light" w:hAnsi="Soberana Sans Light"/>
          <w:sz w:val="20"/>
        </w:rPr>
        <w:t xml:space="preserve"> por la naturaleza del ente.</w:t>
      </w:r>
    </w:p>
    <w:p w:rsidR="006447D7" w:rsidRPr="006447D7" w:rsidRDefault="006447D7" w:rsidP="006447D7">
      <w:pPr>
        <w:pStyle w:val="Prrafodelista"/>
        <w:numPr>
          <w:ilvl w:val="0"/>
          <w:numId w:val="17"/>
        </w:numPr>
        <w:spacing w:after="0"/>
        <w:jc w:val="both"/>
        <w:rPr>
          <w:rFonts w:ascii="Soberana Sans Light" w:hAnsi="Soberana Sans Light"/>
          <w:sz w:val="20"/>
        </w:rPr>
      </w:pPr>
      <w:r w:rsidRPr="006447D7">
        <w:rPr>
          <w:rFonts w:ascii="Soberana Sans Light" w:hAnsi="Soberana Sans Light"/>
          <w:sz w:val="20"/>
        </w:rPr>
        <w:t>Se cuenta con deudores diversos por cobrar a corto plazo por un importe de $ 44</w:t>
      </w:r>
      <w:proofErr w:type="gramStart"/>
      <w:r w:rsidRPr="006447D7">
        <w:rPr>
          <w:rFonts w:ascii="Soberana Sans Light" w:hAnsi="Soberana Sans Light"/>
          <w:sz w:val="20"/>
        </w:rPr>
        <w:t>,854,720.00</w:t>
      </w:r>
      <w:proofErr w:type="gramEnd"/>
      <w:r w:rsidR="00FC07A6">
        <w:rPr>
          <w:rFonts w:ascii="Soberana Sans Light" w:hAnsi="Soberana Sans Light"/>
          <w:sz w:val="20"/>
        </w:rPr>
        <w:t>, y</w:t>
      </w:r>
      <w:r w:rsidRPr="006447D7">
        <w:rPr>
          <w:rFonts w:ascii="Soberana Sans Light" w:hAnsi="Soberana Sans Light"/>
          <w:sz w:val="20"/>
        </w:rPr>
        <w:t xml:space="preserve"> deudores por anticipos de la tesorería a corto plazo por un importe de $ 13,587,126.00</w:t>
      </w:r>
      <w:r w:rsidR="00FC07A6">
        <w:rPr>
          <w:rFonts w:ascii="Soberana Sans Light" w:hAnsi="Soberana Sans Light"/>
          <w:sz w:val="20"/>
        </w:rPr>
        <w:t>.</w:t>
      </w:r>
    </w:p>
    <w:p w:rsidR="006447D7" w:rsidRPr="006447D7" w:rsidRDefault="006447D7" w:rsidP="006447D7">
      <w:pPr>
        <w:pStyle w:val="Prrafodelista"/>
        <w:numPr>
          <w:ilvl w:val="0"/>
          <w:numId w:val="17"/>
        </w:numPr>
        <w:spacing w:after="0"/>
        <w:jc w:val="both"/>
        <w:rPr>
          <w:rFonts w:ascii="Soberana Sans Light" w:hAnsi="Soberana Sans Light"/>
          <w:sz w:val="20"/>
        </w:rPr>
      </w:pPr>
      <w:r w:rsidRPr="006447D7">
        <w:rPr>
          <w:rFonts w:ascii="Soberana Sans Light" w:hAnsi="Soberana Sans Light"/>
          <w:sz w:val="20"/>
        </w:rPr>
        <w:t>La cuenta de derechos a recibir efectivos y equivalentes se integran de la siguiente manera.</w:t>
      </w:r>
    </w:p>
    <w:p w:rsidR="006447D7" w:rsidRDefault="006447D7" w:rsidP="006447D7">
      <w:pPr>
        <w:spacing w:after="0"/>
        <w:jc w:val="both"/>
        <w:rPr>
          <w:rFonts w:ascii="Soberana Sans Light" w:hAnsi="Soberana Sans Light"/>
          <w:sz w:val="20"/>
        </w:rPr>
      </w:pPr>
    </w:p>
    <w:p w:rsidR="006447D7" w:rsidRPr="006447D7" w:rsidRDefault="006447D7" w:rsidP="006447D7">
      <w:pPr>
        <w:spacing w:after="0"/>
        <w:jc w:val="both"/>
        <w:rPr>
          <w:rFonts w:ascii="Soberana Sans Light" w:hAnsi="Soberana Sans Light"/>
          <w:sz w:val="20"/>
        </w:rPr>
      </w:pPr>
    </w:p>
    <w:tbl>
      <w:tblPr>
        <w:tblW w:w="12587" w:type="dxa"/>
        <w:tblInd w:w="779" w:type="dxa"/>
        <w:tblCellMar>
          <w:left w:w="70" w:type="dxa"/>
          <w:right w:w="70" w:type="dxa"/>
        </w:tblCellMar>
        <w:tblLook w:val="04A0" w:firstRow="1" w:lastRow="0" w:firstColumn="1" w:lastColumn="0" w:noHBand="0" w:noVBand="1"/>
      </w:tblPr>
      <w:tblGrid>
        <w:gridCol w:w="5812"/>
        <w:gridCol w:w="1386"/>
        <w:gridCol w:w="1276"/>
        <w:gridCol w:w="1276"/>
        <w:gridCol w:w="1559"/>
        <w:gridCol w:w="1278"/>
      </w:tblGrid>
      <w:tr w:rsidR="006447D7" w:rsidRPr="006447D7" w:rsidTr="005266BC">
        <w:trPr>
          <w:trHeight w:val="300"/>
        </w:trPr>
        <w:tc>
          <w:tcPr>
            <w:tcW w:w="5812"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DESCRIPCIÓN</w:t>
            </w:r>
          </w:p>
        </w:tc>
        <w:tc>
          <w:tcPr>
            <w:tcW w:w="5497" w:type="dxa"/>
            <w:gridSpan w:val="4"/>
            <w:tcBorders>
              <w:top w:val="single" w:sz="4" w:space="0" w:color="auto"/>
              <w:left w:val="nil"/>
              <w:bottom w:val="single" w:sz="4" w:space="0" w:color="auto"/>
              <w:right w:val="single" w:sz="4" w:space="0" w:color="000000"/>
            </w:tcBorders>
            <w:shd w:val="clear" w:color="000000" w:fill="00B050"/>
            <w:noWrap/>
            <w:vAlign w:val="bottom"/>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ANTIGÜEDAD</w:t>
            </w:r>
          </w:p>
        </w:tc>
        <w:tc>
          <w:tcPr>
            <w:tcW w:w="1278"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SUMA</w:t>
            </w:r>
          </w:p>
        </w:tc>
      </w:tr>
      <w:tr w:rsidR="006447D7" w:rsidRPr="006447D7" w:rsidTr="005266BC">
        <w:trPr>
          <w:trHeight w:val="300"/>
        </w:trPr>
        <w:tc>
          <w:tcPr>
            <w:tcW w:w="5812" w:type="dxa"/>
            <w:vMerge/>
            <w:tcBorders>
              <w:top w:val="single" w:sz="4" w:space="0" w:color="auto"/>
              <w:left w:val="single" w:sz="4" w:space="0" w:color="auto"/>
              <w:bottom w:val="single" w:sz="4" w:space="0" w:color="000000"/>
              <w:right w:val="single" w:sz="4" w:space="0" w:color="auto"/>
            </w:tcBorders>
            <w:vAlign w:val="center"/>
            <w:hideMark/>
          </w:tcPr>
          <w:p w:rsidR="006447D7" w:rsidRPr="006447D7" w:rsidRDefault="006447D7" w:rsidP="006447D7">
            <w:pPr>
              <w:jc w:val="center"/>
              <w:rPr>
                <w:rFonts w:ascii="Soberana Sans Light" w:hAnsi="Soberana Sans Light"/>
                <w:b/>
                <w:sz w:val="18"/>
              </w:rPr>
            </w:pPr>
          </w:p>
        </w:tc>
        <w:tc>
          <w:tcPr>
            <w:tcW w:w="1386" w:type="dxa"/>
            <w:tcBorders>
              <w:top w:val="nil"/>
              <w:left w:val="nil"/>
              <w:bottom w:val="single" w:sz="4" w:space="0" w:color="auto"/>
              <w:right w:val="single" w:sz="4" w:space="0" w:color="auto"/>
            </w:tcBorders>
            <w:shd w:val="clear" w:color="000000" w:fill="00B050"/>
            <w:noWrap/>
            <w:vAlign w:val="bottom"/>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0 A 90</w:t>
            </w:r>
          </w:p>
        </w:tc>
        <w:tc>
          <w:tcPr>
            <w:tcW w:w="1276" w:type="dxa"/>
            <w:tcBorders>
              <w:top w:val="nil"/>
              <w:left w:val="nil"/>
              <w:bottom w:val="single" w:sz="4" w:space="0" w:color="auto"/>
              <w:right w:val="single" w:sz="4" w:space="0" w:color="auto"/>
            </w:tcBorders>
            <w:shd w:val="clear" w:color="000000" w:fill="00B050"/>
            <w:noWrap/>
            <w:vAlign w:val="bottom"/>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90 A 180</w:t>
            </w:r>
          </w:p>
        </w:tc>
        <w:tc>
          <w:tcPr>
            <w:tcW w:w="1276" w:type="dxa"/>
            <w:tcBorders>
              <w:top w:val="nil"/>
              <w:left w:val="nil"/>
              <w:bottom w:val="single" w:sz="4" w:space="0" w:color="auto"/>
              <w:right w:val="single" w:sz="4" w:space="0" w:color="auto"/>
            </w:tcBorders>
            <w:shd w:val="clear" w:color="000000" w:fill="00B050"/>
            <w:noWrap/>
            <w:vAlign w:val="bottom"/>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181 A 365</w:t>
            </w:r>
          </w:p>
        </w:tc>
        <w:tc>
          <w:tcPr>
            <w:tcW w:w="1559" w:type="dxa"/>
            <w:tcBorders>
              <w:top w:val="nil"/>
              <w:left w:val="nil"/>
              <w:bottom w:val="single" w:sz="4" w:space="0" w:color="auto"/>
              <w:right w:val="single" w:sz="4" w:space="0" w:color="auto"/>
            </w:tcBorders>
            <w:shd w:val="clear" w:color="000000" w:fill="00B050"/>
            <w:noWrap/>
            <w:vAlign w:val="bottom"/>
            <w:hideMark/>
          </w:tcPr>
          <w:p w:rsidR="006447D7" w:rsidRPr="006447D7" w:rsidRDefault="006447D7" w:rsidP="006447D7">
            <w:pPr>
              <w:jc w:val="center"/>
              <w:rPr>
                <w:rFonts w:ascii="Soberana Sans Light" w:hAnsi="Soberana Sans Light"/>
                <w:b/>
                <w:sz w:val="18"/>
              </w:rPr>
            </w:pPr>
            <w:r w:rsidRPr="006447D7">
              <w:rPr>
                <w:rFonts w:ascii="Soberana Sans Light" w:hAnsi="Soberana Sans Light"/>
                <w:b/>
                <w:sz w:val="18"/>
              </w:rPr>
              <w:t>MÁS DE 365</w:t>
            </w: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47D7" w:rsidRPr="006447D7" w:rsidRDefault="006447D7" w:rsidP="006447D7">
            <w:pPr>
              <w:jc w:val="center"/>
              <w:rPr>
                <w:rFonts w:ascii="Soberana Sans Light" w:hAnsi="Soberana Sans Light"/>
                <w:sz w:val="18"/>
              </w:rPr>
            </w:pPr>
          </w:p>
        </w:tc>
      </w:tr>
      <w:tr w:rsidR="006447D7" w:rsidRPr="006447D7" w:rsidTr="005266BC">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DEUDORES DIVERSOS POR COBRAR A CORTO PLAZO</w:t>
            </w:r>
          </w:p>
        </w:tc>
        <w:tc>
          <w:tcPr>
            <w:tcW w:w="138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44,854,720</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44,854,720</w:t>
            </w:r>
          </w:p>
        </w:tc>
      </w:tr>
      <w:tr w:rsidR="006447D7" w:rsidRPr="006447D7" w:rsidTr="006447D7">
        <w:trPr>
          <w:trHeight w:val="56"/>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DEUDORES POR ANTICIPOS DE LA TESORERÍA A CORTO PLAZO</w:t>
            </w:r>
          </w:p>
        </w:tc>
        <w:tc>
          <w:tcPr>
            <w:tcW w:w="138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13,587,126</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6447D7">
            <w:pPr>
              <w:jc w:val="center"/>
              <w:rPr>
                <w:rFonts w:ascii="Soberana Sans Light" w:hAnsi="Soberana Sans Light"/>
                <w:sz w:val="18"/>
              </w:rPr>
            </w:pPr>
            <w:r w:rsidRPr="006447D7">
              <w:rPr>
                <w:rFonts w:ascii="Soberana Sans Light" w:hAnsi="Soberana Sans Light"/>
                <w:sz w:val="18"/>
              </w:rPr>
              <w:t>13,587,126</w:t>
            </w:r>
          </w:p>
        </w:tc>
      </w:tr>
    </w:tbl>
    <w:p w:rsidR="00FC07A6" w:rsidRDefault="006447D7" w:rsidP="006447D7">
      <w:pPr>
        <w:pStyle w:val="ROMANOS"/>
        <w:spacing w:after="0" w:line="240" w:lineRule="auto"/>
        <w:rPr>
          <w:rFonts w:ascii="Soberana Sans" w:hAnsi="Soberana Sans"/>
          <w:b/>
          <w:sz w:val="20"/>
          <w:szCs w:val="22"/>
          <w:lang w:val="es-MX"/>
        </w:rPr>
      </w:pPr>
      <w:r w:rsidRPr="006447D7">
        <w:rPr>
          <w:rFonts w:ascii="Soberana Sans" w:hAnsi="Soberana Sans"/>
          <w:b/>
          <w:sz w:val="20"/>
          <w:szCs w:val="22"/>
          <w:lang w:val="es-MX"/>
        </w:rPr>
        <w:t xml:space="preserve">       </w:t>
      </w:r>
    </w:p>
    <w:p w:rsidR="006447D7" w:rsidRDefault="00FC07A6" w:rsidP="006447D7">
      <w:pPr>
        <w:pStyle w:val="ROMANOS"/>
        <w:spacing w:after="0" w:line="240" w:lineRule="auto"/>
        <w:rPr>
          <w:rFonts w:ascii="Soberana Sans" w:hAnsi="Soberana Sans"/>
          <w:sz w:val="22"/>
          <w:szCs w:val="22"/>
          <w:lang w:val="es-MX"/>
        </w:rPr>
      </w:pPr>
      <w:r>
        <w:rPr>
          <w:rFonts w:ascii="Soberana Sans" w:hAnsi="Soberana Sans"/>
          <w:b/>
          <w:sz w:val="20"/>
          <w:szCs w:val="22"/>
          <w:lang w:val="es-MX"/>
        </w:rPr>
        <w:t xml:space="preserve">        </w:t>
      </w:r>
      <w:r w:rsidR="006447D7" w:rsidRPr="006447D7">
        <w:rPr>
          <w:rFonts w:ascii="Soberana Sans" w:hAnsi="Soberana Sans"/>
          <w:b/>
          <w:sz w:val="20"/>
          <w:szCs w:val="22"/>
          <w:lang w:val="es-MX"/>
        </w:rPr>
        <w:t xml:space="preserve"> </w:t>
      </w:r>
      <w:r w:rsidR="006447D7" w:rsidRPr="00221B14">
        <w:rPr>
          <w:rFonts w:ascii="Soberana Sans" w:hAnsi="Soberana Sans"/>
          <w:sz w:val="22"/>
          <w:szCs w:val="22"/>
          <w:lang w:val="es-MX"/>
        </w:rPr>
        <w:t>Bienes Disponibles para su Transformación o Consumo (inventarios)</w:t>
      </w:r>
    </w:p>
    <w:p w:rsidR="00FC07A6" w:rsidRPr="00221B14" w:rsidRDefault="00FC07A6" w:rsidP="006447D7">
      <w:pPr>
        <w:pStyle w:val="ROMANOS"/>
        <w:spacing w:after="0" w:line="240" w:lineRule="auto"/>
        <w:rPr>
          <w:rFonts w:ascii="Soberana Sans" w:hAnsi="Soberana Sans"/>
          <w:sz w:val="22"/>
          <w:szCs w:val="22"/>
          <w:lang w:val="es-MX"/>
        </w:rPr>
      </w:pP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4.</w:t>
      </w:r>
      <w:r w:rsidRPr="006447D7">
        <w:rPr>
          <w:rFonts w:ascii="Soberana Sans" w:hAnsi="Soberana Sans"/>
          <w:sz w:val="20"/>
          <w:szCs w:val="22"/>
          <w:lang w:val="es-MX"/>
        </w:rPr>
        <w:tab/>
        <w:t xml:space="preserve"> No se cuenta con bienes disponibles para su trasformación.</w:t>
      </w:r>
    </w:p>
    <w:p w:rsidR="006447D7" w:rsidRPr="006447D7" w:rsidRDefault="006447D7" w:rsidP="006447D7">
      <w:pPr>
        <w:pStyle w:val="ROMANOS"/>
        <w:spacing w:after="0" w:line="240" w:lineRule="auto"/>
        <w:rPr>
          <w:rFonts w:ascii="Soberana Sans" w:hAnsi="Soberana Sans"/>
          <w:sz w:val="20"/>
          <w:szCs w:val="22"/>
          <w:lang w:val="es-MX"/>
        </w:rPr>
      </w:pPr>
    </w:p>
    <w:p w:rsidR="006447D7" w:rsidRDefault="006447D7" w:rsidP="00FC07A6">
      <w:pPr>
        <w:pStyle w:val="ROMANOS"/>
        <w:numPr>
          <w:ilvl w:val="0"/>
          <w:numId w:val="17"/>
        </w:numPr>
        <w:spacing w:after="0" w:line="240" w:lineRule="auto"/>
        <w:rPr>
          <w:rFonts w:ascii="Soberana Sans" w:hAnsi="Soberana Sans"/>
          <w:sz w:val="20"/>
          <w:szCs w:val="22"/>
          <w:lang w:val="es-MX"/>
        </w:rPr>
      </w:pPr>
      <w:r w:rsidRPr="006447D7">
        <w:rPr>
          <w:rFonts w:ascii="Soberana Sans" w:hAnsi="Soberana Sans"/>
          <w:sz w:val="20"/>
          <w:szCs w:val="22"/>
          <w:lang w:val="es-MX"/>
        </w:rPr>
        <w:t xml:space="preserve">No se cuenta a la fecha con un manejo de almacén. </w:t>
      </w:r>
    </w:p>
    <w:p w:rsidR="00FC07A6" w:rsidRDefault="00FC07A6" w:rsidP="00FC07A6">
      <w:pPr>
        <w:pStyle w:val="ROMANOS"/>
        <w:spacing w:after="0" w:line="240" w:lineRule="auto"/>
        <w:rPr>
          <w:rFonts w:ascii="Soberana Sans" w:hAnsi="Soberana Sans"/>
          <w:sz w:val="20"/>
          <w:szCs w:val="22"/>
          <w:lang w:val="es-MX"/>
        </w:rPr>
      </w:pPr>
    </w:p>
    <w:p w:rsidR="00FC07A6" w:rsidRPr="006447D7" w:rsidRDefault="00FC07A6" w:rsidP="00FC07A6">
      <w:pPr>
        <w:pStyle w:val="ROMANOS"/>
        <w:spacing w:after="0" w:line="240" w:lineRule="auto"/>
        <w:rPr>
          <w:rFonts w:ascii="Soberana Sans" w:hAnsi="Soberana Sans"/>
          <w:sz w:val="20"/>
          <w:szCs w:val="22"/>
          <w:lang w:val="es-MX"/>
        </w:rPr>
      </w:pPr>
    </w:p>
    <w:p w:rsidR="006447D7" w:rsidRPr="006447D7" w:rsidRDefault="006447D7" w:rsidP="006447D7">
      <w:pPr>
        <w:pStyle w:val="ROMANOS"/>
        <w:spacing w:after="0" w:line="240" w:lineRule="auto"/>
        <w:ind w:left="0" w:firstLine="0"/>
        <w:rPr>
          <w:rFonts w:ascii="Soberana Sans" w:hAnsi="Soberana Sans"/>
          <w:sz w:val="20"/>
          <w:szCs w:val="22"/>
          <w:lang w:val="es-MX"/>
        </w:rPr>
      </w:pPr>
    </w:p>
    <w:p w:rsidR="006447D7" w:rsidRPr="00221B14" w:rsidRDefault="006447D7" w:rsidP="006447D7">
      <w:pPr>
        <w:pStyle w:val="ROMANOS"/>
        <w:spacing w:after="0" w:line="240" w:lineRule="auto"/>
        <w:rPr>
          <w:rFonts w:ascii="Soberana Sans" w:hAnsi="Soberana Sans"/>
          <w:sz w:val="22"/>
          <w:szCs w:val="22"/>
          <w:lang w:val="es-MX"/>
        </w:rPr>
      </w:pPr>
      <w:r w:rsidRPr="006447D7">
        <w:rPr>
          <w:rFonts w:ascii="Soberana Sans" w:hAnsi="Soberana Sans"/>
          <w:b/>
          <w:sz w:val="20"/>
          <w:szCs w:val="22"/>
          <w:lang w:val="es-MX"/>
        </w:rPr>
        <w:lastRenderedPageBreak/>
        <w:tab/>
      </w:r>
      <w:r w:rsidRPr="00221B14">
        <w:rPr>
          <w:rFonts w:ascii="Soberana Sans" w:hAnsi="Soberana Sans"/>
          <w:sz w:val="22"/>
          <w:szCs w:val="22"/>
          <w:lang w:val="es-MX"/>
        </w:rPr>
        <w:t>Inversiones Financieras</w:t>
      </w: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6.</w:t>
      </w:r>
      <w:r w:rsidRPr="006447D7">
        <w:rPr>
          <w:rFonts w:ascii="Soberana Sans" w:hAnsi="Soberana Sans"/>
          <w:sz w:val="20"/>
          <w:szCs w:val="22"/>
          <w:lang w:val="es-MX"/>
        </w:rPr>
        <w:tab/>
        <w:t>No se cuenta con inversiones financieras.</w:t>
      </w:r>
    </w:p>
    <w:p w:rsidR="006447D7" w:rsidRPr="006447D7" w:rsidRDefault="006447D7" w:rsidP="006447D7">
      <w:pPr>
        <w:pStyle w:val="ROMANOS"/>
        <w:spacing w:after="0" w:line="240" w:lineRule="auto"/>
        <w:rPr>
          <w:rFonts w:ascii="Soberana Sans" w:hAnsi="Soberana Sans"/>
          <w:sz w:val="20"/>
          <w:szCs w:val="22"/>
          <w:lang w:val="es-MX"/>
        </w:rPr>
      </w:pP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7.</w:t>
      </w:r>
      <w:r w:rsidRPr="006447D7">
        <w:rPr>
          <w:rFonts w:ascii="Soberana Sans" w:hAnsi="Soberana Sans"/>
          <w:sz w:val="20"/>
          <w:szCs w:val="22"/>
          <w:lang w:val="es-MX"/>
        </w:rPr>
        <w:tab/>
        <w:t>No aplica.</w:t>
      </w:r>
    </w:p>
    <w:p w:rsidR="006447D7" w:rsidRPr="006447D7" w:rsidRDefault="006447D7" w:rsidP="006447D7">
      <w:pPr>
        <w:pStyle w:val="ROMANOS"/>
        <w:spacing w:after="0" w:line="240" w:lineRule="auto"/>
        <w:rPr>
          <w:rFonts w:ascii="Soberana Sans" w:hAnsi="Soberana Sans"/>
          <w:sz w:val="20"/>
          <w:szCs w:val="22"/>
          <w:lang w:val="es-MX"/>
        </w:rPr>
      </w:pPr>
    </w:p>
    <w:p w:rsidR="006447D7" w:rsidRDefault="006447D7" w:rsidP="006447D7">
      <w:pPr>
        <w:pStyle w:val="ROMANOS"/>
        <w:spacing w:after="0" w:line="240" w:lineRule="auto"/>
        <w:rPr>
          <w:rFonts w:ascii="Soberana Sans" w:hAnsi="Soberana Sans"/>
          <w:sz w:val="22"/>
          <w:szCs w:val="22"/>
          <w:lang w:val="es-MX"/>
        </w:rPr>
      </w:pPr>
      <w:r w:rsidRPr="006447D7">
        <w:rPr>
          <w:rFonts w:ascii="Soberana Sans" w:hAnsi="Soberana Sans"/>
          <w:b/>
          <w:sz w:val="20"/>
          <w:szCs w:val="22"/>
          <w:lang w:val="es-MX"/>
        </w:rPr>
        <w:tab/>
      </w:r>
      <w:r w:rsidRPr="00221B14">
        <w:rPr>
          <w:rFonts w:ascii="Soberana Sans" w:hAnsi="Soberana Sans"/>
          <w:sz w:val="22"/>
          <w:szCs w:val="22"/>
          <w:lang w:val="es-MX"/>
        </w:rPr>
        <w:t>Bienes Muebles, Inmuebles e Intangibles</w:t>
      </w:r>
    </w:p>
    <w:p w:rsidR="00FC07A6" w:rsidRPr="00221B14" w:rsidRDefault="00FC07A6" w:rsidP="006447D7">
      <w:pPr>
        <w:pStyle w:val="ROMANOS"/>
        <w:spacing w:after="0" w:line="240" w:lineRule="auto"/>
        <w:rPr>
          <w:rFonts w:ascii="Soberana Sans" w:hAnsi="Soberana Sans"/>
          <w:sz w:val="20"/>
          <w:szCs w:val="22"/>
          <w:lang w:val="es-MX"/>
        </w:rPr>
      </w:pP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8.</w:t>
      </w:r>
      <w:r w:rsidRPr="006447D7">
        <w:rPr>
          <w:rFonts w:ascii="Soberana Sans" w:hAnsi="Soberana Sans"/>
          <w:sz w:val="20"/>
          <w:szCs w:val="22"/>
          <w:lang w:val="es-MX"/>
        </w:rPr>
        <w:tab/>
        <w:t>Con el propósito de cumplir con lo dispuesto en el Artículo Sexto Transitorio del Decreto número 140.- mediante el cual se reforman diversos disposiciones de la Ley de Salud del Estado de Tlaxcala, publicado el Diario Oficial del Gobierno del Estado de Tlaxcala, el 16 de octubre de 2015,  que para mayor precisión se trascribe a continuación: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Régimen Estatal de Protección Social en Salud en Tlaxcala, mediante el proceso de entrega-recepción correspondiente"; con fecha 04 y 09 de abril de 2016, se giraron los oficios con las siguientes referencias REPSS/391/2016 y REPSS/485/2016, respectivamente, suscritos por el titular de esta Institución de Salud.  Solicitando a la Secretaria de Salud su intervención para que se instruya a quien corresponda, con el fin de que se realice el inventario, la desincorporación y entrega de los bines que pasaran a formar parte del patrimonio del OPD Régimen Estatal de Protección Social en Salud en Tlaxcala, previa aprobación por parte de la junta de Gobierno del OPD Salud de Tlaxcala.</w:t>
      </w:r>
    </w:p>
    <w:p w:rsidR="006447D7" w:rsidRPr="006447D7" w:rsidRDefault="006447D7" w:rsidP="006447D7">
      <w:pPr>
        <w:pStyle w:val="ROMANOS"/>
        <w:spacing w:after="0" w:line="240" w:lineRule="auto"/>
        <w:rPr>
          <w:rFonts w:ascii="Soberana Sans" w:hAnsi="Soberana Sans"/>
          <w:sz w:val="20"/>
          <w:szCs w:val="22"/>
          <w:lang w:val="es-MX"/>
        </w:rPr>
      </w:pP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9.</w:t>
      </w:r>
      <w:r w:rsidRPr="006447D7">
        <w:rPr>
          <w:rFonts w:ascii="Soberana Sans" w:hAnsi="Soberana Sans"/>
          <w:sz w:val="20"/>
          <w:szCs w:val="22"/>
          <w:lang w:val="es-MX"/>
        </w:rPr>
        <w:tab/>
        <w:t>No se cuenta con activos intangibles.</w:t>
      </w:r>
    </w:p>
    <w:p w:rsidR="006447D7" w:rsidRPr="006447D7" w:rsidRDefault="006447D7" w:rsidP="006447D7">
      <w:pPr>
        <w:pStyle w:val="ROMANOS"/>
        <w:spacing w:after="0" w:line="240" w:lineRule="auto"/>
        <w:rPr>
          <w:rFonts w:ascii="Soberana Sans" w:hAnsi="Soberana Sans"/>
          <w:sz w:val="20"/>
          <w:szCs w:val="22"/>
          <w:lang w:val="es-MX"/>
        </w:rPr>
      </w:pPr>
    </w:p>
    <w:p w:rsidR="006447D7" w:rsidRDefault="006447D7" w:rsidP="006447D7">
      <w:pPr>
        <w:pStyle w:val="ROMANOS"/>
        <w:spacing w:after="0" w:line="240" w:lineRule="auto"/>
        <w:rPr>
          <w:rFonts w:ascii="Soberana Sans" w:hAnsi="Soberana Sans"/>
          <w:sz w:val="22"/>
          <w:szCs w:val="22"/>
          <w:lang w:val="es-MX"/>
        </w:rPr>
      </w:pPr>
      <w:r w:rsidRPr="006447D7">
        <w:rPr>
          <w:rFonts w:ascii="Soberana Sans" w:hAnsi="Soberana Sans"/>
          <w:b/>
          <w:sz w:val="20"/>
          <w:szCs w:val="22"/>
          <w:lang w:val="es-MX"/>
        </w:rPr>
        <w:tab/>
      </w:r>
      <w:r w:rsidRPr="00221B14">
        <w:rPr>
          <w:rFonts w:ascii="Soberana Sans" w:hAnsi="Soberana Sans"/>
          <w:sz w:val="22"/>
          <w:szCs w:val="22"/>
          <w:lang w:val="es-MX"/>
        </w:rPr>
        <w:t>Estimaciones y Deterioros</w:t>
      </w:r>
    </w:p>
    <w:p w:rsidR="00FC07A6" w:rsidRPr="00221B14" w:rsidRDefault="00FC07A6" w:rsidP="006447D7">
      <w:pPr>
        <w:pStyle w:val="ROMANOS"/>
        <w:spacing w:after="0" w:line="240" w:lineRule="auto"/>
        <w:rPr>
          <w:rFonts w:ascii="Soberana Sans" w:hAnsi="Soberana Sans"/>
          <w:sz w:val="22"/>
          <w:szCs w:val="22"/>
          <w:lang w:val="es-MX"/>
        </w:rPr>
      </w:pP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10.</w:t>
      </w:r>
      <w:r w:rsidRPr="006447D7">
        <w:rPr>
          <w:rFonts w:ascii="Soberana Sans" w:hAnsi="Soberana Sans"/>
          <w:sz w:val="20"/>
          <w:szCs w:val="22"/>
          <w:lang w:val="es-MX"/>
        </w:rPr>
        <w:tab/>
        <w:t>No se efectuaron estimaciones y no se reconocieron deterioros, derivado a que por el momento no se cuenta con bienes muebles e inmuebles reconocidos por el OPD Régimen Estatal de Protección Social en Salud en Salud.</w:t>
      </w:r>
    </w:p>
    <w:p w:rsidR="006447D7" w:rsidRPr="006447D7" w:rsidRDefault="006447D7" w:rsidP="006447D7">
      <w:pPr>
        <w:pStyle w:val="ROMANOS"/>
        <w:spacing w:after="0" w:line="240" w:lineRule="auto"/>
        <w:rPr>
          <w:rFonts w:ascii="Soberana Sans" w:hAnsi="Soberana Sans"/>
          <w:sz w:val="20"/>
          <w:szCs w:val="22"/>
          <w:lang w:val="es-MX"/>
        </w:rPr>
      </w:pPr>
    </w:p>
    <w:p w:rsidR="006447D7" w:rsidRDefault="006447D7" w:rsidP="006447D7">
      <w:pPr>
        <w:pStyle w:val="ROMANOS"/>
        <w:spacing w:after="0" w:line="240" w:lineRule="auto"/>
        <w:rPr>
          <w:rFonts w:ascii="Soberana Sans" w:hAnsi="Soberana Sans"/>
          <w:sz w:val="22"/>
          <w:szCs w:val="22"/>
          <w:lang w:val="es-MX"/>
        </w:rPr>
      </w:pPr>
      <w:r w:rsidRPr="006447D7">
        <w:rPr>
          <w:rFonts w:ascii="Soberana Sans" w:hAnsi="Soberana Sans"/>
          <w:b/>
          <w:sz w:val="20"/>
          <w:szCs w:val="22"/>
          <w:lang w:val="es-MX"/>
        </w:rPr>
        <w:tab/>
      </w:r>
      <w:r w:rsidRPr="00221B14">
        <w:rPr>
          <w:rFonts w:ascii="Soberana Sans" w:hAnsi="Soberana Sans"/>
          <w:sz w:val="22"/>
          <w:szCs w:val="22"/>
          <w:lang w:val="es-MX"/>
        </w:rPr>
        <w:t>Otros Activos</w:t>
      </w:r>
    </w:p>
    <w:p w:rsidR="00FC07A6" w:rsidRPr="00221B14" w:rsidRDefault="00FC07A6" w:rsidP="006447D7">
      <w:pPr>
        <w:pStyle w:val="ROMANOS"/>
        <w:spacing w:after="0" w:line="240" w:lineRule="auto"/>
        <w:rPr>
          <w:rFonts w:ascii="Soberana Sans" w:hAnsi="Soberana Sans"/>
          <w:sz w:val="20"/>
          <w:szCs w:val="22"/>
          <w:lang w:val="es-MX"/>
        </w:rPr>
      </w:pPr>
    </w:p>
    <w:p w:rsidR="006447D7" w:rsidRPr="006447D7" w:rsidRDefault="006447D7" w:rsidP="006447D7">
      <w:pPr>
        <w:pStyle w:val="ROMANOS"/>
        <w:spacing w:after="0" w:line="240" w:lineRule="auto"/>
        <w:rPr>
          <w:rFonts w:ascii="Soberana Sans" w:hAnsi="Soberana Sans"/>
          <w:sz w:val="20"/>
          <w:szCs w:val="22"/>
          <w:lang w:val="es-MX"/>
        </w:rPr>
      </w:pPr>
      <w:r w:rsidRPr="006447D7">
        <w:rPr>
          <w:rFonts w:ascii="Soberana Sans" w:hAnsi="Soberana Sans"/>
          <w:sz w:val="20"/>
          <w:szCs w:val="22"/>
          <w:lang w:val="es-MX"/>
        </w:rPr>
        <w:t>11.</w:t>
      </w:r>
      <w:r w:rsidRPr="006447D7">
        <w:rPr>
          <w:rFonts w:ascii="Soberana Sans" w:hAnsi="Soberana Sans"/>
          <w:sz w:val="20"/>
          <w:szCs w:val="22"/>
          <w:lang w:val="es-MX"/>
        </w:rPr>
        <w:tab/>
        <w:t>No se cuenta con cuentas de otros activos por el momento.</w:t>
      </w:r>
    </w:p>
    <w:p w:rsidR="006447D7" w:rsidRDefault="006447D7">
      <w:pPr>
        <w:rPr>
          <w:rFonts w:ascii="Soberana Sans Light" w:eastAsia="Times New Roman" w:hAnsi="Soberana Sans Light" w:cs="Arial"/>
          <w:sz w:val="20"/>
          <w:lang w:eastAsia="es-ES"/>
        </w:rPr>
      </w:pPr>
      <w:r>
        <w:rPr>
          <w:rFonts w:ascii="Soberana Sans Light" w:hAnsi="Soberana Sans Light"/>
          <w:sz w:val="20"/>
        </w:rPr>
        <w:br w:type="page"/>
      </w:r>
    </w:p>
    <w:p w:rsidR="005B789D" w:rsidRPr="006447D7" w:rsidRDefault="005B789D" w:rsidP="005B789D">
      <w:pPr>
        <w:pStyle w:val="ROMANOS"/>
        <w:spacing w:after="0" w:line="240" w:lineRule="exact"/>
        <w:rPr>
          <w:rFonts w:ascii="Soberana Sans Light" w:hAnsi="Soberana Sans Light"/>
          <w:sz w:val="20"/>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6447D7" w:rsidRPr="00221B14" w:rsidRDefault="006447D7" w:rsidP="006447D7">
      <w:pPr>
        <w:pStyle w:val="ROMANOS"/>
        <w:spacing w:after="0" w:line="240" w:lineRule="auto"/>
        <w:ind w:left="432"/>
        <w:rPr>
          <w:rFonts w:ascii="Soberana Sans" w:hAnsi="Soberana Sans"/>
          <w:sz w:val="22"/>
          <w:szCs w:val="22"/>
          <w:lang w:val="es-MX"/>
        </w:rPr>
      </w:pPr>
      <w:r w:rsidRPr="00221B14">
        <w:rPr>
          <w:rFonts w:ascii="Soberana Sans" w:hAnsi="Soberana Sans"/>
          <w:sz w:val="22"/>
          <w:szCs w:val="22"/>
          <w:lang w:val="es-MX"/>
        </w:rPr>
        <w:t>Pasivo</w:t>
      </w:r>
    </w:p>
    <w:p w:rsidR="006447D7" w:rsidRDefault="006447D7" w:rsidP="006447D7">
      <w:pPr>
        <w:pStyle w:val="ROMANOS"/>
        <w:numPr>
          <w:ilvl w:val="0"/>
          <w:numId w:val="18"/>
        </w:numPr>
        <w:spacing w:after="0" w:line="240" w:lineRule="auto"/>
        <w:rPr>
          <w:rFonts w:ascii="Soberana Sans" w:hAnsi="Soberana Sans"/>
          <w:sz w:val="22"/>
          <w:szCs w:val="22"/>
          <w:lang w:val="es-MX"/>
        </w:rPr>
      </w:pPr>
      <w:r w:rsidRPr="00221B14">
        <w:rPr>
          <w:rFonts w:ascii="Soberana Sans" w:hAnsi="Soberana Sans"/>
          <w:sz w:val="20"/>
          <w:szCs w:val="22"/>
          <w:lang w:val="es-MX"/>
        </w:rPr>
        <w:t>Se elaborará una relación de las cuentas y documentos por pagar en una desagregación por su vencimiento en días a 90, 180, menor o igual a 365 y mayor a 365. Asimismo, se informará sobre la factibilidad del pago de dichos pasivos</w:t>
      </w:r>
      <w:r w:rsidRPr="00D13804">
        <w:rPr>
          <w:rFonts w:ascii="Soberana Sans" w:hAnsi="Soberana Sans"/>
          <w:sz w:val="22"/>
          <w:szCs w:val="22"/>
          <w:lang w:val="es-MX"/>
        </w:rPr>
        <w:t>.</w:t>
      </w:r>
    </w:p>
    <w:p w:rsidR="006447D7" w:rsidRPr="007F76EC" w:rsidRDefault="006447D7" w:rsidP="006447D7">
      <w:pPr>
        <w:pStyle w:val="ROMANOS"/>
        <w:spacing w:after="0" w:line="240" w:lineRule="auto"/>
        <w:ind w:left="723" w:firstLine="0"/>
        <w:rPr>
          <w:rFonts w:ascii="Soberana Sans" w:hAnsi="Soberana Sans"/>
          <w:sz w:val="22"/>
          <w:szCs w:val="22"/>
          <w:lang w:val="es-MX"/>
        </w:rPr>
      </w:pPr>
    </w:p>
    <w:tbl>
      <w:tblPr>
        <w:tblW w:w="12140" w:type="dxa"/>
        <w:tblInd w:w="889" w:type="dxa"/>
        <w:tblCellMar>
          <w:left w:w="70" w:type="dxa"/>
          <w:right w:w="70" w:type="dxa"/>
        </w:tblCellMar>
        <w:tblLook w:val="04A0" w:firstRow="1" w:lastRow="0" w:firstColumn="1" w:lastColumn="0" w:noHBand="0" w:noVBand="1"/>
      </w:tblPr>
      <w:tblGrid>
        <w:gridCol w:w="6340"/>
        <w:gridCol w:w="1180"/>
        <w:gridCol w:w="1120"/>
        <w:gridCol w:w="960"/>
        <w:gridCol w:w="1488"/>
        <w:gridCol w:w="1052"/>
      </w:tblGrid>
      <w:tr w:rsidR="006447D7" w:rsidRPr="006447D7" w:rsidTr="005266BC">
        <w:trPr>
          <w:trHeight w:val="447"/>
        </w:trPr>
        <w:tc>
          <w:tcPr>
            <w:tcW w:w="6340" w:type="dxa"/>
            <w:tcBorders>
              <w:top w:val="single" w:sz="4" w:space="0" w:color="auto"/>
              <w:left w:val="single" w:sz="4" w:space="0" w:color="auto"/>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DESCRIPCIÓN</w:t>
            </w:r>
          </w:p>
        </w:tc>
        <w:tc>
          <w:tcPr>
            <w:tcW w:w="118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0 A 30</w:t>
            </w:r>
          </w:p>
        </w:tc>
        <w:tc>
          <w:tcPr>
            <w:tcW w:w="112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90 A 180</w:t>
            </w:r>
          </w:p>
        </w:tc>
        <w:tc>
          <w:tcPr>
            <w:tcW w:w="1488"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MÁS DE 180</w:t>
            </w:r>
          </w:p>
        </w:tc>
        <w:tc>
          <w:tcPr>
            <w:tcW w:w="1052"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IMPORTE</w:t>
            </w:r>
          </w:p>
        </w:tc>
      </w:tr>
      <w:tr w:rsidR="006447D7" w:rsidRPr="006447D7" w:rsidTr="005266BC">
        <w:trPr>
          <w:trHeight w:val="327"/>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ÁNGEL FERNANDO DORANTES MARTÍNEZ</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1,840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1,840 </w:t>
            </w:r>
          </w:p>
        </w:tc>
      </w:tr>
      <w:tr w:rsidR="006447D7" w:rsidRPr="006447D7" w:rsidTr="005266BC">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BIONOVA LABORATORIOS, S.A DE C.V</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47,894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8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47,894 </w:t>
            </w:r>
          </w:p>
        </w:tc>
      </w:tr>
      <w:tr w:rsidR="006447D7" w:rsidRPr="006447D7" w:rsidTr="005266BC">
        <w:trPr>
          <w:trHeight w:val="552"/>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BIOTECNOCARE, S.A. DE C.V.</w:t>
            </w:r>
          </w:p>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120" w:type="dxa"/>
            <w:tcBorders>
              <w:top w:val="nil"/>
              <w:left w:val="nil"/>
              <w:bottom w:val="single" w:sz="4" w:space="0" w:color="auto"/>
              <w:right w:val="single" w:sz="4" w:space="0" w:color="auto"/>
            </w:tcBorders>
            <w:shd w:val="clear" w:color="auto" w:fill="auto"/>
            <w:noWrap/>
            <w:vAlign w:val="bottom"/>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483,519</w:t>
            </w:r>
          </w:p>
        </w:tc>
        <w:tc>
          <w:tcPr>
            <w:tcW w:w="960" w:type="dxa"/>
            <w:tcBorders>
              <w:top w:val="nil"/>
              <w:left w:val="nil"/>
              <w:bottom w:val="single" w:sz="4" w:space="0" w:color="auto"/>
              <w:right w:val="single" w:sz="4" w:space="0" w:color="auto"/>
            </w:tcBorders>
            <w:shd w:val="clear" w:color="auto" w:fill="auto"/>
            <w:noWrap/>
            <w:vAlign w:val="bottom"/>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488" w:type="dxa"/>
            <w:tcBorders>
              <w:top w:val="nil"/>
              <w:left w:val="nil"/>
              <w:bottom w:val="single" w:sz="4" w:space="0" w:color="auto"/>
              <w:right w:val="single" w:sz="4" w:space="0" w:color="auto"/>
            </w:tcBorders>
            <w:shd w:val="clear" w:color="auto" w:fill="auto"/>
            <w:noWrap/>
            <w:vAlign w:val="bottom"/>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052" w:type="dxa"/>
            <w:tcBorders>
              <w:top w:val="nil"/>
              <w:left w:val="nil"/>
              <w:bottom w:val="single" w:sz="4" w:space="0" w:color="auto"/>
              <w:right w:val="single" w:sz="4" w:space="0" w:color="auto"/>
            </w:tcBorders>
            <w:shd w:val="clear" w:color="auto" w:fill="auto"/>
            <w:noWrap/>
            <w:vAlign w:val="bottom"/>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483,519</w:t>
            </w:r>
          </w:p>
        </w:tc>
      </w:tr>
      <w:tr w:rsidR="006447D7" w:rsidRPr="006447D7" w:rsidTr="005266BC">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COBITER, S.A DE C.V.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30,822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8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30,822 </w:t>
            </w:r>
          </w:p>
        </w:tc>
      </w:tr>
    </w:tbl>
    <w:p w:rsidR="006447D7" w:rsidRPr="006447D7" w:rsidRDefault="006447D7" w:rsidP="006447D7">
      <w:pPr>
        <w:pStyle w:val="ROMANOS"/>
        <w:spacing w:after="0" w:line="240" w:lineRule="auto"/>
        <w:rPr>
          <w:rFonts w:ascii="Soberana Sans" w:hAnsi="Soberana Sans"/>
          <w:lang w:val="es-MX"/>
        </w:rPr>
      </w:pPr>
    </w:p>
    <w:tbl>
      <w:tblPr>
        <w:tblW w:w="12108" w:type="dxa"/>
        <w:tblInd w:w="921" w:type="dxa"/>
        <w:tblCellMar>
          <w:left w:w="70" w:type="dxa"/>
          <w:right w:w="70" w:type="dxa"/>
        </w:tblCellMar>
        <w:tblLook w:val="04A0" w:firstRow="1" w:lastRow="0" w:firstColumn="1" w:lastColumn="0" w:noHBand="0" w:noVBand="1"/>
      </w:tblPr>
      <w:tblGrid>
        <w:gridCol w:w="6379"/>
        <w:gridCol w:w="1134"/>
        <w:gridCol w:w="1059"/>
        <w:gridCol w:w="932"/>
        <w:gridCol w:w="1180"/>
        <w:gridCol w:w="372"/>
        <w:gridCol w:w="1052"/>
      </w:tblGrid>
      <w:tr w:rsidR="006447D7" w:rsidRPr="006447D7" w:rsidTr="00FC07A6">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0 A 30</w:t>
            </w:r>
          </w:p>
        </w:tc>
        <w:tc>
          <w:tcPr>
            <w:tcW w:w="1059"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30 A 90</w:t>
            </w:r>
          </w:p>
        </w:tc>
        <w:tc>
          <w:tcPr>
            <w:tcW w:w="932"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90 A 180</w:t>
            </w:r>
          </w:p>
        </w:tc>
        <w:tc>
          <w:tcPr>
            <w:tcW w:w="1552" w:type="dxa"/>
            <w:gridSpan w:val="2"/>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MÁS DE 180</w:t>
            </w:r>
          </w:p>
        </w:tc>
        <w:tc>
          <w:tcPr>
            <w:tcW w:w="1052"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IMPORTE</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COM DE PRODUCTOS INSTITUCIONALES, S.A </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55,938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55,938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COM PHARMACEUTICA CONPHARMA,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12,975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12,975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CORPORACIÓN ARMO,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225,711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225,711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CORPORATIVO O2 RESPIRANDO, S. DE R.L</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38,400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38,400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DENTILAB,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290,097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290,097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DIKYSA,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200,370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200,370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DISTRIBUIDORA SEVI,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11,803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11,803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DISTRIBUIDORA DISUR,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38,782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38,782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DISTRIBUIDORA INTERNAL MED EQ MEDICO,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108,300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108,300 </w:t>
            </w:r>
          </w:p>
        </w:tc>
      </w:tr>
      <w:tr w:rsidR="006447D7" w:rsidRPr="006447D7" w:rsidTr="00FC07A6">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ESTEFANÍA LUNA BARRIOS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6,107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6,107 </w:t>
            </w:r>
          </w:p>
        </w:tc>
      </w:tr>
      <w:tr w:rsidR="00FC07A6" w:rsidRPr="006447D7" w:rsidTr="00FC07A6">
        <w:trPr>
          <w:trHeight w:val="300"/>
        </w:trPr>
        <w:tc>
          <w:tcPr>
            <w:tcW w:w="6379" w:type="dxa"/>
            <w:tcBorders>
              <w:top w:val="single" w:sz="4" w:space="0" w:color="auto"/>
              <w:bottom w:val="single" w:sz="4" w:space="0" w:color="auto"/>
            </w:tcBorders>
            <w:shd w:val="clear" w:color="auto" w:fill="auto"/>
            <w:noWrap/>
            <w:vAlign w:val="bottom"/>
          </w:tcPr>
          <w:p w:rsidR="00FC07A6" w:rsidRPr="006447D7" w:rsidRDefault="00FC07A6" w:rsidP="005266BC">
            <w:pPr>
              <w:spacing w:after="0" w:line="240" w:lineRule="auto"/>
              <w:jc w:val="both"/>
              <w:rPr>
                <w:rFonts w:ascii="Soberana Sans" w:eastAsia="Times New Roman" w:hAnsi="Soberana Sans" w:cs="Arial"/>
                <w:color w:val="000000"/>
                <w:sz w:val="18"/>
                <w:szCs w:val="18"/>
                <w:lang w:eastAsia="es-MX"/>
              </w:rPr>
            </w:pPr>
          </w:p>
        </w:tc>
        <w:tc>
          <w:tcPr>
            <w:tcW w:w="1134" w:type="dxa"/>
            <w:tcBorders>
              <w:top w:val="single" w:sz="4" w:space="0" w:color="auto"/>
              <w:bottom w:val="single" w:sz="4" w:space="0" w:color="auto"/>
            </w:tcBorders>
            <w:shd w:val="clear" w:color="auto" w:fill="auto"/>
            <w:noWrap/>
            <w:vAlign w:val="bottom"/>
          </w:tcPr>
          <w:p w:rsidR="00FC07A6" w:rsidRPr="006447D7" w:rsidRDefault="00FC07A6" w:rsidP="005266BC">
            <w:pPr>
              <w:spacing w:after="0" w:line="240" w:lineRule="auto"/>
              <w:jc w:val="both"/>
              <w:rPr>
                <w:rFonts w:ascii="Soberana Sans" w:eastAsia="Times New Roman" w:hAnsi="Soberana Sans" w:cs="Arial"/>
                <w:color w:val="000000"/>
                <w:sz w:val="18"/>
                <w:szCs w:val="18"/>
                <w:lang w:eastAsia="es-MX"/>
              </w:rPr>
            </w:pPr>
          </w:p>
        </w:tc>
        <w:tc>
          <w:tcPr>
            <w:tcW w:w="1059" w:type="dxa"/>
            <w:tcBorders>
              <w:top w:val="single" w:sz="4" w:space="0" w:color="auto"/>
              <w:bottom w:val="single" w:sz="4" w:space="0" w:color="auto"/>
            </w:tcBorders>
            <w:shd w:val="clear" w:color="auto" w:fill="auto"/>
            <w:noWrap/>
            <w:vAlign w:val="bottom"/>
          </w:tcPr>
          <w:p w:rsidR="00FC07A6" w:rsidRPr="006447D7" w:rsidRDefault="00FC07A6" w:rsidP="00FC07A6">
            <w:pPr>
              <w:spacing w:after="0" w:line="240" w:lineRule="auto"/>
              <w:jc w:val="right"/>
              <w:rPr>
                <w:rFonts w:ascii="Soberana Sans" w:eastAsia="Times New Roman" w:hAnsi="Soberana Sans" w:cs="Arial"/>
                <w:color w:val="000000"/>
                <w:sz w:val="18"/>
                <w:szCs w:val="18"/>
                <w:lang w:eastAsia="es-MX"/>
              </w:rPr>
            </w:pPr>
          </w:p>
        </w:tc>
        <w:tc>
          <w:tcPr>
            <w:tcW w:w="932" w:type="dxa"/>
            <w:tcBorders>
              <w:top w:val="single" w:sz="4" w:space="0" w:color="auto"/>
              <w:bottom w:val="single" w:sz="4" w:space="0" w:color="auto"/>
            </w:tcBorders>
            <w:shd w:val="clear" w:color="auto" w:fill="auto"/>
            <w:noWrap/>
            <w:vAlign w:val="bottom"/>
          </w:tcPr>
          <w:p w:rsidR="00FC07A6" w:rsidRPr="006447D7" w:rsidRDefault="00FC07A6" w:rsidP="005266BC">
            <w:pPr>
              <w:spacing w:after="0" w:line="240" w:lineRule="auto"/>
              <w:jc w:val="both"/>
              <w:rPr>
                <w:rFonts w:ascii="Soberana Sans" w:eastAsia="Times New Roman" w:hAnsi="Soberana Sans" w:cs="Arial"/>
                <w:color w:val="000000"/>
                <w:sz w:val="18"/>
                <w:szCs w:val="18"/>
                <w:lang w:eastAsia="es-MX"/>
              </w:rPr>
            </w:pPr>
          </w:p>
        </w:tc>
        <w:tc>
          <w:tcPr>
            <w:tcW w:w="1180" w:type="dxa"/>
            <w:tcBorders>
              <w:top w:val="single" w:sz="4" w:space="0" w:color="auto"/>
              <w:bottom w:val="single" w:sz="4" w:space="0" w:color="auto"/>
            </w:tcBorders>
            <w:shd w:val="clear" w:color="auto" w:fill="auto"/>
            <w:noWrap/>
            <w:vAlign w:val="bottom"/>
          </w:tcPr>
          <w:p w:rsidR="00FC07A6" w:rsidRPr="006447D7" w:rsidRDefault="00FC07A6" w:rsidP="005266BC">
            <w:pPr>
              <w:spacing w:after="0" w:line="240" w:lineRule="auto"/>
              <w:jc w:val="both"/>
              <w:rPr>
                <w:rFonts w:ascii="Soberana Sans" w:eastAsia="Times New Roman" w:hAnsi="Soberana Sans" w:cs="Arial"/>
                <w:color w:val="000000"/>
                <w:sz w:val="18"/>
                <w:szCs w:val="18"/>
                <w:lang w:eastAsia="es-MX"/>
              </w:rPr>
            </w:pPr>
          </w:p>
        </w:tc>
        <w:tc>
          <w:tcPr>
            <w:tcW w:w="1424" w:type="dxa"/>
            <w:gridSpan w:val="2"/>
            <w:tcBorders>
              <w:top w:val="single" w:sz="4" w:space="0" w:color="auto"/>
              <w:bottom w:val="single" w:sz="4" w:space="0" w:color="auto"/>
            </w:tcBorders>
            <w:shd w:val="clear" w:color="auto" w:fill="auto"/>
            <w:noWrap/>
            <w:vAlign w:val="bottom"/>
          </w:tcPr>
          <w:p w:rsidR="00FC07A6" w:rsidRPr="006447D7" w:rsidRDefault="00FC07A6" w:rsidP="00FC07A6">
            <w:pPr>
              <w:spacing w:after="0" w:line="240" w:lineRule="auto"/>
              <w:jc w:val="right"/>
              <w:rPr>
                <w:rFonts w:ascii="Soberana Sans" w:eastAsia="Times New Roman" w:hAnsi="Soberana Sans" w:cs="Arial"/>
                <w:color w:val="000000"/>
                <w:sz w:val="18"/>
                <w:szCs w:val="18"/>
                <w:lang w:eastAsia="es-MX"/>
              </w:rPr>
            </w:pPr>
          </w:p>
        </w:tc>
      </w:tr>
      <w:tr w:rsidR="006447D7" w:rsidRPr="006447D7" w:rsidTr="00FC07A6">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FERNANDO SANLUIS LICONA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9,000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9,000 </w:t>
            </w:r>
          </w:p>
        </w:tc>
      </w:tr>
      <w:tr w:rsidR="006447D7" w:rsidRPr="006447D7" w:rsidTr="00FC07A6">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GALIA TEXTIL, S.A DE C.V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27,876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27,876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GRUPO GOMMAR,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6,143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6,143 </w:t>
            </w:r>
          </w:p>
        </w:tc>
      </w:tr>
      <w:tr w:rsidR="006447D7" w:rsidRPr="006447D7" w:rsidTr="00FC07A6">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GUADALUPE MALDONADO ISLAS</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2,139 </w:t>
            </w:r>
          </w:p>
        </w:tc>
        <w:tc>
          <w:tcPr>
            <w:tcW w:w="9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2,139 </w:t>
            </w:r>
          </w:p>
        </w:tc>
      </w:tr>
    </w:tbl>
    <w:p w:rsidR="006447D7" w:rsidRPr="006447D7" w:rsidRDefault="006447D7" w:rsidP="006447D7">
      <w:pPr>
        <w:pStyle w:val="ROMANOS"/>
        <w:spacing w:after="0" w:line="240" w:lineRule="auto"/>
        <w:rPr>
          <w:rFonts w:ascii="Soberana Sans" w:hAnsi="Soberana Sans"/>
          <w:lang w:val="es-MX"/>
        </w:rPr>
      </w:pPr>
    </w:p>
    <w:tbl>
      <w:tblPr>
        <w:tblW w:w="12049" w:type="dxa"/>
        <w:tblInd w:w="921" w:type="dxa"/>
        <w:tblCellMar>
          <w:left w:w="70" w:type="dxa"/>
          <w:right w:w="70" w:type="dxa"/>
        </w:tblCellMar>
        <w:tblLook w:val="04A0" w:firstRow="1" w:lastRow="0" w:firstColumn="1" w:lastColumn="0" w:noHBand="0" w:noVBand="1"/>
      </w:tblPr>
      <w:tblGrid>
        <w:gridCol w:w="6379"/>
        <w:gridCol w:w="1134"/>
        <w:gridCol w:w="1047"/>
        <w:gridCol w:w="960"/>
        <w:gridCol w:w="1180"/>
        <w:gridCol w:w="1365"/>
      </w:tblGrid>
      <w:tr w:rsidR="006447D7" w:rsidRPr="006447D7" w:rsidTr="005266BC">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90 A 180</w:t>
            </w:r>
          </w:p>
        </w:tc>
        <w:tc>
          <w:tcPr>
            <w:tcW w:w="118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MÁS DE 180</w:t>
            </w:r>
          </w:p>
        </w:tc>
        <w:tc>
          <w:tcPr>
            <w:tcW w:w="1365"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IMPORTE</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HI-TEC MEDICAL DEL SUR,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3,563,567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3,563,567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IMEDIC,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18,694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18,694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INFRA,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75,602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75,602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INSTRUMENTOS Y ACCESORIOS AUTOMATIZADOS,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27,716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27,716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JOSÉ ANTONIO TORRES JAIMEZ</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397,999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397,999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KARLA EILEN ALVARADO MORALES</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118,146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118,146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LAURA ROLDAN VÁZQUEZ</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4,640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4,640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MAPOPA,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201,550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201,550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MARÍA AUXILIO RODRÍGUEZ NAVA</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3,100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3,100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MARÍA DE LOURDES TORRES SOLÍS</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39,999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39,999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MARÍA JESSICA BERTHEAU LÓPEZ</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73,437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73,437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NÉSTOR LIRA PALETA</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3,150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3,150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PABLO CÓSETE BAÑUELOS</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39,093 </w:t>
            </w:r>
          </w:p>
        </w:tc>
        <w:tc>
          <w:tcPr>
            <w:tcW w:w="96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39,093 </w:t>
            </w:r>
          </w:p>
        </w:tc>
      </w:tr>
      <w:tr w:rsidR="006447D7" w:rsidRPr="006447D7" w:rsidTr="005266BC">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lastRenderedPageBreak/>
              <w:t>PRODUCTOS GALENO, S. DE R.L.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23,072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23,072 </w:t>
            </w:r>
          </w:p>
        </w:tc>
      </w:tr>
    </w:tbl>
    <w:p w:rsidR="006447D7" w:rsidRPr="006447D7" w:rsidRDefault="006447D7" w:rsidP="006447D7">
      <w:pPr>
        <w:pStyle w:val="ROMANOS"/>
        <w:spacing w:after="0" w:line="240" w:lineRule="auto"/>
        <w:rPr>
          <w:rFonts w:ascii="Soberana Sans" w:hAnsi="Soberana Sans"/>
          <w:lang w:val="es-MX"/>
        </w:rPr>
      </w:pPr>
    </w:p>
    <w:p w:rsidR="006447D7" w:rsidRPr="006447D7" w:rsidRDefault="006447D7" w:rsidP="006447D7">
      <w:pPr>
        <w:pStyle w:val="ROMANOS"/>
        <w:spacing w:after="0" w:line="240" w:lineRule="auto"/>
        <w:rPr>
          <w:rFonts w:ascii="Soberana Sans" w:hAnsi="Soberana Sans"/>
          <w:lang w:val="es-MX"/>
        </w:rPr>
      </w:pPr>
    </w:p>
    <w:tbl>
      <w:tblPr>
        <w:tblW w:w="12088" w:type="dxa"/>
        <w:tblInd w:w="921" w:type="dxa"/>
        <w:tblCellMar>
          <w:left w:w="70" w:type="dxa"/>
          <w:right w:w="70" w:type="dxa"/>
        </w:tblCellMar>
        <w:tblLook w:val="04A0" w:firstRow="1" w:lastRow="0" w:firstColumn="1" w:lastColumn="0" w:noHBand="0" w:noVBand="1"/>
      </w:tblPr>
      <w:tblGrid>
        <w:gridCol w:w="6379"/>
        <w:gridCol w:w="1134"/>
        <w:gridCol w:w="1047"/>
        <w:gridCol w:w="992"/>
        <w:gridCol w:w="1276"/>
        <w:gridCol w:w="1276"/>
      </w:tblGrid>
      <w:tr w:rsidR="006447D7" w:rsidRPr="006447D7" w:rsidTr="005266BC">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30 A 90</w:t>
            </w:r>
          </w:p>
        </w:tc>
        <w:tc>
          <w:tcPr>
            <w:tcW w:w="992"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90 A 180</w:t>
            </w:r>
          </w:p>
        </w:tc>
        <w:tc>
          <w:tcPr>
            <w:tcW w:w="1276"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MÁS DE 180</w:t>
            </w:r>
          </w:p>
        </w:tc>
        <w:tc>
          <w:tcPr>
            <w:tcW w:w="1276"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FC07A6">
            <w:pPr>
              <w:spacing w:after="0" w:line="240" w:lineRule="auto"/>
              <w:jc w:val="right"/>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IMPORTE</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PRODUCTOS HOSPITALARIO,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41,244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41,244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PROMAEDIX, S. DE R.L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54,857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54,857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PROQUIGAMA,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211,887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211,887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PROVEEDORA MEXICANA DE ARTÍCULOS DE CURACIÓN,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87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87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SALUD DE TLAXCALA </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12,967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12,967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VÍCTOR JOSÉ LEAL CRUZ</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1,798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1,798 </w:t>
            </w:r>
          </w:p>
        </w:tc>
      </w:tr>
      <w:tr w:rsidR="006447D7" w:rsidRPr="006447D7" w:rsidTr="005266BC">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VITTI GRUPO COMERCIALIZADORA, S.A DE C.V.</w:t>
            </w:r>
          </w:p>
        </w:tc>
        <w:tc>
          <w:tcPr>
            <w:tcW w:w="1134"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26,268 </w:t>
            </w:r>
          </w:p>
        </w:tc>
        <w:tc>
          <w:tcPr>
            <w:tcW w:w="99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26,268 </w:t>
            </w:r>
          </w:p>
        </w:tc>
      </w:tr>
      <w:tr w:rsidR="006447D7" w:rsidRPr="006447D7" w:rsidTr="005266BC">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TOTAL GENERAL: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6,536,589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47D7" w:rsidRPr="006447D7" w:rsidRDefault="006447D7" w:rsidP="00FC07A6">
            <w:pPr>
              <w:spacing w:after="0" w:line="240" w:lineRule="auto"/>
              <w:jc w:val="right"/>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6,536,589</w:t>
            </w:r>
          </w:p>
        </w:tc>
      </w:tr>
    </w:tbl>
    <w:p w:rsidR="006447D7" w:rsidRPr="006447D7" w:rsidRDefault="006447D7" w:rsidP="006447D7">
      <w:pPr>
        <w:pStyle w:val="ROMANOS"/>
        <w:spacing w:after="0" w:line="240" w:lineRule="auto"/>
        <w:rPr>
          <w:rFonts w:ascii="Soberana Sans" w:hAnsi="Soberana Sans"/>
          <w:lang w:val="es-MX"/>
        </w:rPr>
      </w:pPr>
    </w:p>
    <w:tbl>
      <w:tblPr>
        <w:tblW w:w="12120" w:type="dxa"/>
        <w:tblInd w:w="921" w:type="dxa"/>
        <w:tblCellMar>
          <w:left w:w="70" w:type="dxa"/>
          <w:right w:w="70" w:type="dxa"/>
        </w:tblCellMar>
        <w:tblLook w:val="04A0" w:firstRow="1" w:lastRow="0" w:firstColumn="1" w:lastColumn="0" w:noHBand="0" w:noVBand="1"/>
      </w:tblPr>
      <w:tblGrid>
        <w:gridCol w:w="6372"/>
        <w:gridCol w:w="1132"/>
        <w:gridCol w:w="1240"/>
        <w:gridCol w:w="958"/>
        <w:gridCol w:w="1178"/>
        <w:gridCol w:w="1240"/>
      </w:tblGrid>
      <w:tr w:rsidR="006447D7" w:rsidRPr="006447D7" w:rsidTr="005266BC">
        <w:trPr>
          <w:trHeight w:val="275"/>
        </w:trPr>
        <w:tc>
          <w:tcPr>
            <w:tcW w:w="6372" w:type="dxa"/>
            <w:tcBorders>
              <w:top w:val="single" w:sz="4" w:space="0" w:color="auto"/>
              <w:left w:val="single" w:sz="4" w:space="0" w:color="auto"/>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DESCRIPCIÓN</w:t>
            </w:r>
          </w:p>
        </w:tc>
        <w:tc>
          <w:tcPr>
            <w:tcW w:w="1132"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0 A 30</w:t>
            </w:r>
          </w:p>
        </w:tc>
        <w:tc>
          <w:tcPr>
            <w:tcW w:w="124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30 A 90</w:t>
            </w:r>
          </w:p>
        </w:tc>
        <w:tc>
          <w:tcPr>
            <w:tcW w:w="958"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90 A 180</w:t>
            </w:r>
          </w:p>
        </w:tc>
        <w:tc>
          <w:tcPr>
            <w:tcW w:w="1178"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MÁS DE 180</w:t>
            </w:r>
          </w:p>
        </w:tc>
        <w:tc>
          <w:tcPr>
            <w:tcW w:w="1240" w:type="dxa"/>
            <w:tcBorders>
              <w:top w:val="single" w:sz="4" w:space="0" w:color="auto"/>
              <w:left w:val="nil"/>
              <w:bottom w:val="nil"/>
              <w:right w:val="single" w:sz="4" w:space="0" w:color="auto"/>
            </w:tcBorders>
            <w:shd w:val="clear" w:color="000000" w:fill="00B050"/>
            <w:noWrap/>
            <w:vAlign w:val="center"/>
            <w:hideMark/>
          </w:tcPr>
          <w:p w:rsidR="006447D7" w:rsidRPr="006447D7" w:rsidRDefault="006447D7" w:rsidP="005266BC">
            <w:pPr>
              <w:spacing w:after="0" w:line="240" w:lineRule="auto"/>
              <w:jc w:val="both"/>
              <w:rPr>
                <w:rFonts w:ascii="Soberana Sans" w:eastAsia="Times New Roman" w:hAnsi="Soberana Sans" w:cs="Arial"/>
                <w:color w:val="FFFFFF"/>
                <w:sz w:val="18"/>
                <w:szCs w:val="18"/>
                <w:lang w:eastAsia="es-MX"/>
              </w:rPr>
            </w:pPr>
            <w:r w:rsidRPr="006447D7">
              <w:rPr>
                <w:rFonts w:ascii="Soberana Sans" w:eastAsia="Times New Roman" w:hAnsi="Soberana Sans" w:cs="Arial"/>
                <w:color w:val="FFFFFF"/>
                <w:sz w:val="18"/>
                <w:szCs w:val="18"/>
                <w:lang w:eastAsia="es-MX"/>
              </w:rPr>
              <w:t>IMPORTE</w:t>
            </w:r>
          </w:p>
        </w:tc>
      </w:tr>
      <w:tr w:rsidR="006447D7" w:rsidRPr="006447D7" w:rsidTr="005266BC">
        <w:trPr>
          <w:trHeight w:val="275"/>
        </w:trPr>
        <w:tc>
          <w:tcPr>
            <w:tcW w:w="6372"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TRANSFERENCIAS OTORGADAS POR PAGAR A CORTO PLAZO</w:t>
            </w:r>
          </w:p>
        </w:tc>
        <w:tc>
          <w:tcPr>
            <w:tcW w:w="11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17,370,051 </w:t>
            </w:r>
          </w:p>
        </w:tc>
        <w:tc>
          <w:tcPr>
            <w:tcW w:w="95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17,370,051 </w:t>
            </w:r>
          </w:p>
        </w:tc>
      </w:tr>
      <w:tr w:rsidR="006447D7" w:rsidRPr="006447D7" w:rsidTr="005266BC">
        <w:trPr>
          <w:trHeight w:val="275"/>
        </w:trPr>
        <w:tc>
          <w:tcPr>
            <w:tcW w:w="6372"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RETENCIONES Y CONTRIBUCIONES POR PAGAR A CORTO PLAZO</w:t>
            </w:r>
          </w:p>
        </w:tc>
        <w:tc>
          <w:tcPr>
            <w:tcW w:w="11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402,740</w:t>
            </w:r>
          </w:p>
        </w:tc>
        <w:tc>
          <w:tcPr>
            <w:tcW w:w="95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402,740</w:t>
            </w:r>
          </w:p>
        </w:tc>
      </w:tr>
      <w:tr w:rsidR="006447D7" w:rsidRPr="006447D7" w:rsidTr="005266BC">
        <w:trPr>
          <w:trHeight w:val="275"/>
        </w:trPr>
        <w:tc>
          <w:tcPr>
            <w:tcW w:w="6372" w:type="dxa"/>
            <w:tcBorders>
              <w:top w:val="nil"/>
              <w:left w:val="single" w:sz="4" w:space="0" w:color="auto"/>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OTRAS CUENTAS POR PAGAR A CORTO PLAZO</w:t>
            </w:r>
          </w:p>
        </w:tc>
        <w:tc>
          <w:tcPr>
            <w:tcW w:w="1132"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22,757,968 </w:t>
            </w:r>
          </w:p>
        </w:tc>
        <w:tc>
          <w:tcPr>
            <w:tcW w:w="95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6447D7" w:rsidRPr="006447D7" w:rsidRDefault="006447D7" w:rsidP="005266BC">
            <w:pPr>
              <w:spacing w:after="0" w:line="240" w:lineRule="auto"/>
              <w:jc w:val="both"/>
              <w:rPr>
                <w:rFonts w:ascii="Soberana Sans" w:eastAsia="Times New Roman" w:hAnsi="Soberana Sans" w:cs="Arial"/>
                <w:color w:val="000000"/>
                <w:sz w:val="18"/>
                <w:szCs w:val="18"/>
                <w:lang w:eastAsia="es-MX"/>
              </w:rPr>
            </w:pPr>
            <w:r w:rsidRPr="006447D7">
              <w:rPr>
                <w:rFonts w:ascii="Soberana Sans" w:eastAsia="Times New Roman" w:hAnsi="Soberana Sans" w:cs="Arial"/>
                <w:color w:val="000000"/>
                <w:sz w:val="18"/>
                <w:szCs w:val="18"/>
                <w:lang w:eastAsia="es-MX"/>
              </w:rPr>
              <w:t xml:space="preserve">   22,757,968</w:t>
            </w:r>
          </w:p>
        </w:tc>
      </w:tr>
    </w:tbl>
    <w:p w:rsidR="006447D7" w:rsidRPr="00D13804" w:rsidRDefault="006447D7" w:rsidP="005241B9">
      <w:pPr>
        <w:pStyle w:val="ROMANOS"/>
        <w:spacing w:after="0" w:line="240" w:lineRule="auto"/>
        <w:ind w:left="0" w:firstLine="0"/>
        <w:rPr>
          <w:rFonts w:ascii="Soberana Sans" w:hAnsi="Soberana Sans"/>
          <w:sz w:val="22"/>
          <w:szCs w:val="22"/>
          <w:lang w:val="es-MX"/>
        </w:rPr>
      </w:pPr>
    </w:p>
    <w:p w:rsidR="006447D7" w:rsidRDefault="006447D7" w:rsidP="00FC07A6">
      <w:pPr>
        <w:pStyle w:val="ROMANOS"/>
        <w:numPr>
          <w:ilvl w:val="0"/>
          <w:numId w:val="18"/>
        </w:numPr>
        <w:spacing w:after="0" w:line="240" w:lineRule="auto"/>
        <w:rPr>
          <w:rFonts w:ascii="Soberana Sans" w:hAnsi="Soberana Sans"/>
          <w:sz w:val="22"/>
          <w:szCs w:val="22"/>
          <w:lang w:val="es-MX"/>
        </w:rPr>
      </w:pPr>
      <w:r w:rsidRPr="00D13804">
        <w:rPr>
          <w:rFonts w:ascii="Soberana Sans" w:hAnsi="Soberana Sans"/>
          <w:sz w:val="22"/>
          <w:szCs w:val="22"/>
          <w:lang w:val="es-MX"/>
        </w:rPr>
        <w:t>No se tiene recursos en fondos de bienes de terceros en administración y/o en garantía.</w:t>
      </w:r>
    </w:p>
    <w:p w:rsidR="00FC07A6" w:rsidRPr="00D13804" w:rsidRDefault="00FC07A6" w:rsidP="00FC07A6">
      <w:pPr>
        <w:pStyle w:val="ROMANOS"/>
        <w:spacing w:after="0" w:line="240" w:lineRule="auto"/>
        <w:ind w:left="723" w:firstLine="0"/>
        <w:rPr>
          <w:rFonts w:ascii="Soberana Sans" w:hAnsi="Soberana Sans"/>
          <w:sz w:val="22"/>
          <w:szCs w:val="22"/>
          <w:lang w:val="es-MX"/>
        </w:rPr>
      </w:pPr>
    </w:p>
    <w:p w:rsidR="006447D7" w:rsidRPr="00D13804" w:rsidRDefault="006447D7" w:rsidP="006447D7">
      <w:pPr>
        <w:pStyle w:val="ROMANOS"/>
        <w:spacing w:after="0" w:line="240" w:lineRule="auto"/>
        <w:rPr>
          <w:rFonts w:ascii="Soberana Sans" w:hAnsi="Soberana Sans"/>
          <w:sz w:val="22"/>
          <w:szCs w:val="22"/>
          <w:lang w:val="es-MX"/>
        </w:rPr>
      </w:pPr>
      <w:r w:rsidRPr="00D13804">
        <w:rPr>
          <w:rFonts w:ascii="Soberana Sans" w:hAnsi="Soberana Sans"/>
          <w:sz w:val="22"/>
          <w:szCs w:val="22"/>
          <w:lang w:val="es-MX"/>
        </w:rPr>
        <w:t>3.</w:t>
      </w:r>
      <w:r w:rsidRPr="00D13804">
        <w:rPr>
          <w:rFonts w:ascii="Soberana Sans" w:hAnsi="Soberana Sans"/>
          <w:sz w:val="22"/>
          <w:szCs w:val="22"/>
          <w:lang w:val="es-MX"/>
        </w:rPr>
        <w:tab/>
        <w:t>No se cuenta con pasivos a largo plazo por el momento.</w:t>
      </w:r>
    </w:p>
    <w:p w:rsidR="005241B9" w:rsidRDefault="005241B9">
      <w:pPr>
        <w:rPr>
          <w:rFonts w:ascii="Soberana Sans" w:eastAsia="Times New Roman" w:hAnsi="Soberana Sans" w:cs="Arial"/>
          <w:lang w:eastAsia="es-ES"/>
        </w:rPr>
      </w:pPr>
      <w:r>
        <w:rPr>
          <w:rFonts w:ascii="Soberana Sans" w:hAnsi="Soberana Sans"/>
        </w:rPr>
        <w:br w:type="page"/>
      </w:r>
    </w:p>
    <w:p w:rsidR="006447D7" w:rsidRPr="00D13804" w:rsidRDefault="006447D7" w:rsidP="006447D7">
      <w:pPr>
        <w:pStyle w:val="ROMANOS"/>
        <w:spacing w:after="0" w:line="240" w:lineRule="auto"/>
        <w:ind w:left="1008" w:firstLine="0"/>
        <w:rPr>
          <w:rFonts w:ascii="Soberana Sans" w:hAnsi="Soberana Sans"/>
          <w:sz w:val="22"/>
          <w:szCs w:val="22"/>
          <w:lang w:val="es-MX"/>
        </w:rPr>
      </w:pPr>
    </w:p>
    <w:p w:rsidR="006447D7" w:rsidRPr="00221B14" w:rsidRDefault="006447D7" w:rsidP="006447D7">
      <w:pPr>
        <w:pStyle w:val="INCISO"/>
        <w:spacing w:after="0" w:line="240" w:lineRule="auto"/>
        <w:ind w:left="360"/>
        <w:rPr>
          <w:rFonts w:ascii="Soberana Sans" w:hAnsi="Soberana Sans"/>
          <w:smallCaps/>
          <w:sz w:val="22"/>
          <w:szCs w:val="22"/>
        </w:rPr>
      </w:pPr>
      <w:r w:rsidRPr="00221B14">
        <w:rPr>
          <w:rFonts w:ascii="Soberana Sans" w:hAnsi="Soberana Sans"/>
          <w:smallCaps/>
          <w:sz w:val="22"/>
          <w:szCs w:val="22"/>
        </w:rPr>
        <w:t>II)</w:t>
      </w:r>
      <w:r w:rsidRPr="00221B14">
        <w:rPr>
          <w:rFonts w:ascii="Soberana Sans" w:hAnsi="Soberana Sans"/>
          <w:smallCaps/>
          <w:sz w:val="22"/>
          <w:szCs w:val="22"/>
        </w:rPr>
        <w:tab/>
        <w:t>Notas al Estado de Actividades</w:t>
      </w:r>
    </w:p>
    <w:p w:rsidR="006447D7" w:rsidRPr="00221B14" w:rsidRDefault="006447D7" w:rsidP="006447D7">
      <w:pPr>
        <w:pStyle w:val="INCISO"/>
        <w:spacing w:after="0" w:line="240" w:lineRule="auto"/>
        <w:ind w:left="360"/>
        <w:rPr>
          <w:rFonts w:ascii="Soberana Sans" w:hAnsi="Soberana Sans"/>
          <w:smallCaps/>
          <w:sz w:val="22"/>
          <w:szCs w:val="22"/>
        </w:rPr>
      </w:pPr>
    </w:p>
    <w:p w:rsidR="006447D7" w:rsidRPr="00221B14" w:rsidRDefault="006447D7" w:rsidP="006447D7">
      <w:pPr>
        <w:pStyle w:val="ROMANOS"/>
        <w:spacing w:after="0" w:line="240" w:lineRule="auto"/>
        <w:rPr>
          <w:rFonts w:ascii="Soberana Sans" w:hAnsi="Soberana Sans"/>
          <w:sz w:val="22"/>
          <w:szCs w:val="22"/>
          <w:lang w:val="es-MX"/>
        </w:rPr>
      </w:pPr>
      <w:r w:rsidRPr="00221B14">
        <w:rPr>
          <w:rFonts w:ascii="Soberana Sans" w:hAnsi="Soberana Sans"/>
          <w:sz w:val="22"/>
          <w:szCs w:val="22"/>
          <w:lang w:val="es-MX"/>
        </w:rPr>
        <w:t>Ingresos de Gestión</w:t>
      </w:r>
    </w:p>
    <w:p w:rsidR="006447D7" w:rsidRPr="005241B9" w:rsidRDefault="006447D7" w:rsidP="006447D7">
      <w:pPr>
        <w:pStyle w:val="ROMANOS"/>
        <w:numPr>
          <w:ilvl w:val="0"/>
          <w:numId w:val="2"/>
        </w:numPr>
        <w:spacing w:after="0" w:line="240" w:lineRule="auto"/>
        <w:rPr>
          <w:rFonts w:ascii="Soberana Sans" w:hAnsi="Soberana Sans"/>
          <w:sz w:val="20"/>
          <w:szCs w:val="22"/>
          <w:lang w:val="es-MX"/>
        </w:rPr>
      </w:pPr>
      <w:r w:rsidRPr="005241B9">
        <w:rPr>
          <w:rFonts w:ascii="Soberana Sans" w:hAnsi="Soberana Sans"/>
          <w:sz w:val="20"/>
          <w:szCs w:val="22"/>
          <w:lang w:val="es-MX"/>
        </w:rPr>
        <w:t xml:space="preserve">Los ingresos reconocidos por OPD Régimen Estatal de Protección Social en Salud, son por participaciones estatales (ASE) y convenios federales (CS Y ASF, SMSXXI, </w:t>
      </w:r>
      <w:proofErr w:type="spellStart"/>
      <w:r w:rsidRPr="005241B9">
        <w:rPr>
          <w:rFonts w:ascii="Soberana Sans" w:hAnsi="Soberana Sans"/>
          <w:sz w:val="20"/>
          <w:szCs w:val="22"/>
          <w:lang w:val="es-MX"/>
        </w:rPr>
        <w:t>FPcGC</w:t>
      </w:r>
      <w:proofErr w:type="spellEnd"/>
      <w:r w:rsidRPr="005241B9">
        <w:rPr>
          <w:rFonts w:ascii="Soberana Sans" w:hAnsi="Soberana Sans"/>
          <w:sz w:val="20"/>
          <w:szCs w:val="22"/>
          <w:lang w:val="es-MX"/>
        </w:rPr>
        <w:t>) e interestatales (Portabilidad 32 X 32).</w:t>
      </w:r>
    </w:p>
    <w:p w:rsidR="006447D7" w:rsidRPr="005241B9" w:rsidRDefault="006447D7" w:rsidP="006447D7">
      <w:pPr>
        <w:pStyle w:val="ROMANOS"/>
        <w:spacing w:after="0" w:line="240" w:lineRule="auto"/>
        <w:ind w:left="648" w:firstLine="0"/>
        <w:rPr>
          <w:rFonts w:ascii="Soberana Sans" w:hAnsi="Soberana Sans"/>
          <w:sz w:val="20"/>
          <w:szCs w:val="22"/>
          <w:lang w:val="es-MX"/>
        </w:rPr>
      </w:pPr>
    </w:p>
    <w:p w:rsidR="006447D7" w:rsidRPr="005241B9" w:rsidRDefault="006447D7" w:rsidP="006447D7">
      <w:pPr>
        <w:pStyle w:val="ROMANOS"/>
        <w:spacing w:after="0" w:line="240" w:lineRule="auto"/>
        <w:ind w:left="648" w:firstLine="0"/>
        <w:rPr>
          <w:rFonts w:ascii="Soberana Sans" w:hAnsi="Soberana Sans"/>
          <w:sz w:val="20"/>
          <w:szCs w:val="22"/>
          <w:lang w:val="es-MX"/>
        </w:rPr>
      </w:pPr>
      <w:r w:rsidRPr="005241B9">
        <w:rPr>
          <w:rFonts w:ascii="Soberana Sans" w:hAnsi="Soberana Sans"/>
          <w:sz w:val="20"/>
          <w:szCs w:val="22"/>
          <w:lang w:val="es-MX"/>
        </w:rPr>
        <w:t>Los recursos radicados por parte de la Secretaria de Planeación y Finanzas del Estado y lo reportado en Estados Financieros difieren por dos puntos que se comentan: el Primero se deriva de dos crédito puente, derivados a que en enero del presente, el OPD Régimen Estatal de Protección Social en Salud en Tlaxcala, carecía de liquides en la Cuota Social y Aportación Solidaria Federal para financiar a OPD Salud de Tlaxcala, para dar cumplimiento a sus obligaciones contractuales del personal. El segundo radica a la cuenta por cobrar a corto plazo entre cuentas que se derivó de los créditos puentes, reintegrando el primer crédito puente a la Secretaria de Planeación y Finanzas, fechado el día 12 de febrero de 2016.</w:t>
      </w:r>
    </w:p>
    <w:p w:rsidR="006447D7" w:rsidRPr="005241B9" w:rsidRDefault="006447D7" w:rsidP="006447D7">
      <w:pPr>
        <w:pStyle w:val="ROMANOS"/>
        <w:spacing w:after="0" w:line="240" w:lineRule="auto"/>
        <w:ind w:left="648" w:firstLine="0"/>
        <w:rPr>
          <w:rFonts w:ascii="Soberana Sans" w:hAnsi="Soberana Sans"/>
          <w:sz w:val="20"/>
          <w:szCs w:val="22"/>
          <w:lang w:val="es-MX"/>
        </w:rPr>
      </w:pPr>
    </w:p>
    <w:p w:rsidR="006447D7" w:rsidRPr="00221B14" w:rsidRDefault="006447D7" w:rsidP="006447D7">
      <w:pPr>
        <w:pStyle w:val="ROMANOS"/>
        <w:spacing w:after="0" w:line="240" w:lineRule="auto"/>
        <w:rPr>
          <w:rFonts w:ascii="Soberana Sans" w:hAnsi="Soberana Sans"/>
          <w:sz w:val="22"/>
          <w:szCs w:val="22"/>
          <w:lang w:val="es-MX"/>
        </w:rPr>
      </w:pPr>
      <w:r w:rsidRPr="00221B14">
        <w:rPr>
          <w:rFonts w:ascii="Soberana Sans" w:hAnsi="Soberana Sans"/>
          <w:sz w:val="22"/>
          <w:szCs w:val="22"/>
          <w:lang w:val="es-MX"/>
        </w:rPr>
        <w:t>Gastos y Otras Pérdidas:</w:t>
      </w:r>
    </w:p>
    <w:p w:rsidR="006447D7" w:rsidRPr="005241B9" w:rsidRDefault="006447D7" w:rsidP="006447D7">
      <w:pPr>
        <w:pStyle w:val="ROMANOS"/>
        <w:numPr>
          <w:ilvl w:val="0"/>
          <w:numId w:val="1"/>
        </w:numPr>
        <w:spacing w:after="0" w:line="240" w:lineRule="auto"/>
        <w:rPr>
          <w:rFonts w:ascii="Soberana Sans" w:hAnsi="Soberana Sans"/>
          <w:sz w:val="20"/>
          <w:szCs w:val="22"/>
          <w:lang w:val="es-MX"/>
        </w:rPr>
      </w:pPr>
      <w:r w:rsidRPr="005241B9">
        <w:rPr>
          <w:rFonts w:ascii="Soberana Sans" w:hAnsi="Soberana Sans"/>
          <w:sz w:val="20"/>
          <w:szCs w:val="22"/>
          <w:lang w:val="es-MX"/>
        </w:rPr>
        <w:t>La cuentas de gastos son las siguientes:</w:t>
      </w:r>
    </w:p>
    <w:p w:rsidR="006447D7" w:rsidRPr="005241B9" w:rsidRDefault="006447D7" w:rsidP="006447D7">
      <w:pPr>
        <w:pStyle w:val="ROMANOS"/>
        <w:spacing w:after="0" w:line="240" w:lineRule="auto"/>
        <w:ind w:left="648" w:firstLine="0"/>
        <w:rPr>
          <w:rFonts w:ascii="Soberana Sans" w:hAnsi="Soberana Sans"/>
          <w:sz w:val="20"/>
          <w:szCs w:val="22"/>
          <w:lang w:val="es-MX"/>
        </w:rPr>
      </w:pPr>
      <w:r w:rsidRPr="005241B9">
        <w:rPr>
          <w:rFonts w:ascii="Soberana Sans" w:hAnsi="Soberana Sans"/>
          <w:sz w:val="20"/>
          <w:szCs w:val="22"/>
          <w:lang w:val="es-MX"/>
        </w:rPr>
        <w:t>Se destina el 94% del recurso ejercido trimestral, para pago de remuneraciones al personal de unidades médicas de OPD Salud de Tlaxcala y áreas administrativas del OPD Régimen Estatal de Protección Social en Salud.</w:t>
      </w:r>
    </w:p>
    <w:p w:rsidR="006447D7" w:rsidRPr="005241B9" w:rsidRDefault="006447D7" w:rsidP="006447D7">
      <w:pPr>
        <w:pStyle w:val="ROMANOS"/>
        <w:spacing w:after="0" w:line="240" w:lineRule="auto"/>
        <w:ind w:left="648" w:firstLine="0"/>
        <w:rPr>
          <w:rFonts w:ascii="Soberana Sans" w:hAnsi="Soberana Sans"/>
          <w:sz w:val="20"/>
          <w:szCs w:val="22"/>
          <w:lang w:val="es-MX"/>
        </w:rPr>
      </w:pPr>
      <w:r w:rsidRPr="005241B9">
        <w:rPr>
          <w:rFonts w:ascii="Soberana Sans" w:hAnsi="Soberana Sans"/>
          <w:sz w:val="20"/>
          <w:szCs w:val="22"/>
          <w:lang w:val="es-MX"/>
        </w:rPr>
        <w:t>Se destina el 1% del recurso ejercido trimestral, para pago de materiales y suministros.</w:t>
      </w:r>
    </w:p>
    <w:p w:rsidR="006447D7" w:rsidRPr="005241B9" w:rsidRDefault="006447D7" w:rsidP="006447D7">
      <w:pPr>
        <w:pStyle w:val="ROMANOS"/>
        <w:spacing w:after="0" w:line="240" w:lineRule="auto"/>
        <w:ind w:left="648" w:firstLine="0"/>
        <w:rPr>
          <w:rFonts w:ascii="Soberana Sans" w:hAnsi="Soberana Sans"/>
          <w:sz w:val="20"/>
          <w:szCs w:val="22"/>
          <w:lang w:val="es-MX"/>
        </w:rPr>
      </w:pPr>
      <w:r w:rsidRPr="005241B9">
        <w:rPr>
          <w:rFonts w:ascii="Soberana Sans" w:hAnsi="Soberana Sans"/>
          <w:sz w:val="20"/>
          <w:szCs w:val="22"/>
          <w:lang w:val="es-MX"/>
        </w:rPr>
        <w:t>Se destina el 5% del recurso ejercido trimestral, al pago de servicios generales.</w:t>
      </w:r>
    </w:p>
    <w:p w:rsidR="006447D7" w:rsidRPr="005241B9" w:rsidRDefault="006447D7" w:rsidP="006447D7">
      <w:pPr>
        <w:pStyle w:val="ROMANOS"/>
        <w:spacing w:after="0" w:line="240" w:lineRule="auto"/>
        <w:ind w:left="648" w:firstLine="0"/>
        <w:rPr>
          <w:rFonts w:ascii="Soberana Sans" w:hAnsi="Soberana Sans"/>
          <w:sz w:val="20"/>
          <w:szCs w:val="22"/>
          <w:lang w:val="es-MX"/>
        </w:rPr>
      </w:pPr>
    </w:p>
    <w:p w:rsidR="006447D7" w:rsidRPr="005241B9" w:rsidRDefault="006447D7" w:rsidP="006447D7">
      <w:pPr>
        <w:pStyle w:val="ROMANOS"/>
        <w:spacing w:after="0" w:line="240" w:lineRule="auto"/>
        <w:ind w:left="648" w:firstLine="0"/>
        <w:rPr>
          <w:rFonts w:ascii="Soberana Sans" w:hAnsi="Soberana Sans"/>
          <w:sz w:val="20"/>
          <w:szCs w:val="22"/>
          <w:lang w:val="es-MX"/>
        </w:rPr>
      </w:pPr>
      <w:r w:rsidRPr="005241B9">
        <w:rPr>
          <w:rFonts w:ascii="Soberana Sans" w:hAnsi="Soberana Sans"/>
          <w:sz w:val="20"/>
          <w:szCs w:val="22"/>
          <w:lang w:val="es-MX"/>
        </w:rPr>
        <w:t>En los estados financieros de se destaca el concepto denominado otros ingresos financieros, en el cual se canalizan los intereses bancarios que se generan en las radicaciones de participaciones y convenios.</w:t>
      </w:r>
    </w:p>
    <w:p w:rsidR="006447D7" w:rsidRPr="005241B9" w:rsidRDefault="006447D7" w:rsidP="006447D7">
      <w:pPr>
        <w:pStyle w:val="ROMANOS"/>
        <w:spacing w:after="0" w:line="240" w:lineRule="auto"/>
        <w:ind w:left="1008" w:firstLine="0"/>
        <w:rPr>
          <w:rFonts w:ascii="Soberana Sans" w:hAnsi="Soberana Sans"/>
          <w:sz w:val="20"/>
          <w:szCs w:val="22"/>
          <w:lang w:val="es-MX"/>
        </w:rPr>
      </w:pPr>
    </w:p>
    <w:p w:rsidR="006447D7" w:rsidRPr="00221B14" w:rsidRDefault="006447D7" w:rsidP="006447D7">
      <w:pPr>
        <w:pStyle w:val="INCISO"/>
        <w:spacing w:after="0" w:line="240" w:lineRule="auto"/>
        <w:ind w:left="360"/>
        <w:rPr>
          <w:rFonts w:ascii="Soberana Sans" w:hAnsi="Soberana Sans"/>
          <w:smallCaps/>
          <w:sz w:val="22"/>
          <w:szCs w:val="22"/>
        </w:rPr>
      </w:pPr>
      <w:r w:rsidRPr="00221B14">
        <w:rPr>
          <w:rFonts w:ascii="Soberana Sans" w:hAnsi="Soberana Sans"/>
          <w:smallCaps/>
          <w:sz w:val="22"/>
          <w:szCs w:val="22"/>
        </w:rPr>
        <w:t>III)</w:t>
      </w:r>
      <w:r w:rsidRPr="00221B14">
        <w:rPr>
          <w:rFonts w:ascii="Soberana Sans" w:hAnsi="Soberana Sans"/>
          <w:smallCaps/>
          <w:sz w:val="22"/>
          <w:szCs w:val="22"/>
        </w:rPr>
        <w:tab/>
        <w:t>Notas al Estado de Variación en la Hacienda Pública</w:t>
      </w:r>
    </w:p>
    <w:p w:rsidR="006447D7" w:rsidRPr="005241B9" w:rsidRDefault="006447D7" w:rsidP="006447D7">
      <w:pPr>
        <w:pStyle w:val="ROMANOS"/>
        <w:spacing w:after="0" w:line="240" w:lineRule="auto"/>
        <w:rPr>
          <w:rFonts w:ascii="Soberana Sans" w:hAnsi="Soberana Sans"/>
          <w:sz w:val="20"/>
          <w:szCs w:val="22"/>
          <w:lang w:val="es-MX"/>
        </w:rPr>
      </w:pPr>
      <w:r w:rsidRPr="005241B9">
        <w:rPr>
          <w:rFonts w:ascii="Soberana Sans" w:hAnsi="Soberana Sans"/>
          <w:sz w:val="20"/>
          <w:szCs w:val="22"/>
          <w:lang w:val="es-MX"/>
        </w:rPr>
        <w:t>1.</w:t>
      </w:r>
      <w:r w:rsidRPr="005241B9">
        <w:rPr>
          <w:rFonts w:ascii="Soberana Sans" w:hAnsi="Soberana Sans"/>
          <w:sz w:val="20"/>
          <w:szCs w:val="22"/>
          <w:lang w:val="es-MX"/>
        </w:rPr>
        <w:tab/>
        <w:t>Durante el ejercicio se tuvieron modificaciones al patrimonio</w:t>
      </w:r>
      <w:r w:rsidR="00FC07A6">
        <w:rPr>
          <w:rFonts w:ascii="Soberana Sans" w:hAnsi="Soberana Sans"/>
          <w:sz w:val="20"/>
          <w:szCs w:val="22"/>
          <w:lang w:val="es-MX"/>
        </w:rPr>
        <w:t>, derivado a compromisos contraídos con los proveedores.</w:t>
      </w:r>
    </w:p>
    <w:p w:rsidR="006447D7" w:rsidRPr="005241B9" w:rsidRDefault="006447D7" w:rsidP="006447D7">
      <w:pPr>
        <w:pStyle w:val="ROMANOS"/>
        <w:spacing w:after="0" w:line="240" w:lineRule="auto"/>
        <w:rPr>
          <w:rFonts w:ascii="Soberana Sans" w:hAnsi="Soberana Sans"/>
          <w:sz w:val="20"/>
          <w:szCs w:val="22"/>
          <w:lang w:val="es-MX"/>
        </w:rPr>
      </w:pPr>
      <w:r w:rsidRPr="005241B9">
        <w:rPr>
          <w:rFonts w:ascii="Soberana Sans" w:hAnsi="Soberana Sans"/>
          <w:sz w:val="20"/>
          <w:szCs w:val="22"/>
          <w:lang w:val="es-MX"/>
        </w:rPr>
        <w:t>2.</w:t>
      </w:r>
      <w:r w:rsidRPr="005241B9">
        <w:rPr>
          <w:rFonts w:ascii="Soberana Sans" w:hAnsi="Soberana Sans"/>
          <w:sz w:val="20"/>
          <w:szCs w:val="22"/>
          <w:lang w:val="es-MX"/>
        </w:rPr>
        <w:tab/>
        <w:t>La modificación al patrimonio corresponde al result</w:t>
      </w:r>
      <w:r w:rsidR="00FC07A6">
        <w:rPr>
          <w:rFonts w:ascii="Soberana Sans" w:hAnsi="Soberana Sans"/>
          <w:sz w:val="20"/>
          <w:szCs w:val="22"/>
          <w:lang w:val="es-MX"/>
        </w:rPr>
        <w:t>ado de reintegro de proveedores y pagos, dando cumplimiento a los compromisos contraídos.</w:t>
      </w:r>
    </w:p>
    <w:p w:rsidR="006447D7" w:rsidRPr="00D13804" w:rsidRDefault="006447D7" w:rsidP="006447D7">
      <w:pPr>
        <w:pStyle w:val="ROMANOS"/>
        <w:spacing w:after="0" w:line="240" w:lineRule="auto"/>
        <w:rPr>
          <w:rFonts w:ascii="Soberana Sans" w:hAnsi="Soberana Sans"/>
          <w:sz w:val="22"/>
          <w:szCs w:val="22"/>
          <w:lang w:val="es-MX"/>
        </w:rPr>
      </w:pPr>
    </w:p>
    <w:p w:rsidR="006447D7" w:rsidRPr="00D13804" w:rsidRDefault="006447D7" w:rsidP="006447D7">
      <w:pPr>
        <w:pStyle w:val="ROMANOS"/>
        <w:spacing w:after="0" w:line="240" w:lineRule="auto"/>
        <w:ind w:left="1008" w:firstLine="0"/>
        <w:rPr>
          <w:rFonts w:ascii="Soberana Sans" w:hAnsi="Soberana Sans"/>
          <w:sz w:val="22"/>
          <w:szCs w:val="22"/>
          <w:lang w:val="es-MX"/>
        </w:rPr>
      </w:pPr>
    </w:p>
    <w:p w:rsidR="005241B9"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241B9" w:rsidRDefault="005241B9">
      <w:pPr>
        <w:rPr>
          <w:rFonts w:ascii="Soberana Sans Light" w:eastAsia="Times New Roman" w:hAnsi="Soberana Sans Light" w:cs="Arial"/>
          <w:lang w:eastAsia="es-ES"/>
        </w:rPr>
      </w:pPr>
      <w:r>
        <w:rPr>
          <w:rFonts w:ascii="Soberana Sans Light" w:hAnsi="Soberana Sans Light"/>
        </w:rPr>
        <w:br w:type="page"/>
      </w:r>
    </w:p>
    <w:p w:rsidR="00540418" w:rsidRPr="00221B14" w:rsidRDefault="00540418" w:rsidP="00540418">
      <w:pPr>
        <w:pStyle w:val="Texto"/>
        <w:spacing w:after="0" w:line="240" w:lineRule="exact"/>
        <w:rPr>
          <w:rFonts w:ascii="Soberana Sans Light" w:hAnsi="Soberana Sans Light"/>
          <w:sz w:val="24"/>
          <w:szCs w:val="22"/>
          <w:lang w:val="es-MX"/>
        </w:rPr>
      </w:pPr>
    </w:p>
    <w:p w:rsidR="005241B9" w:rsidRPr="00221B14" w:rsidRDefault="005241B9" w:rsidP="005241B9">
      <w:pPr>
        <w:pStyle w:val="INCISO"/>
        <w:spacing w:after="0" w:line="240" w:lineRule="auto"/>
        <w:ind w:left="360"/>
        <w:rPr>
          <w:rFonts w:ascii="Soberana Sans" w:hAnsi="Soberana Sans"/>
          <w:smallCaps/>
          <w:sz w:val="22"/>
          <w:szCs w:val="22"/>
        </w:rPr>
      </w:pPr>
      <w:r w:rsidRPr="00221B14">
        <w:rPr>
          <w:rFonts w:ascii="Soberana Sans" w:hAnsi="Soberana Sans"/>
          <w:smallCaps/>
          <w:sz w:val="22"/>
          <w:szCs w:val="22"/>
        </w:rPr>
        <w:t>IV)</w:t>
      </w:r>
      <w:r w:rsidRPr="00221B14">
        <w:rPr>
          <w:rFonts w:ascii="Soberana Sans" w:hAnsi="Soberana Sans"/>
          <w:smallCaps/>
          <w:sz w:val="22"/>
          <w:szCs w:val="22"/>
        </w:rPr>
        <w:tab/>
        <w:t xml:space="preserve">Notas al Estado de Flujos de Efectivo </w:t>
      </w:r>
    </w:p>
    <w:p w:rsidR="005241B9" w:rsidRPr="00221B14" w:rsidRDefault="005241B9" w:rsidP="005241B9">
      <w:pPr>
        <w:pStyle w:val="INCISO"/>
        <w:spacing w:after="0" w:line="240" w:lineRule="auto"/>
        <w:ind w:left="360"/>
        <w:rPr>
          <w:rFonts w:ascii="Soberana Sans" w:hAnsi="Soberana Sans"/>
          <w:smallCaps/>
          <w:sz w:val="22"/>
          <w:szCs w:val="22"/>
        </w:rPr>
      </w:pPr>
    </w:p>
    <w:p w:rsidR="005241B9" w:rsidRPr="00221B14" w:rsidRDefault="005241B9" w:rsidP="005241B9">
      <w:pPr>
        <w:pStyle w:val="ROMANOS"/>
        <w:spacing w:after="0" w:line="240" w:lineRule="auto"/>
        <w:rPr>
          <w:rFonts w:ascii="Soberana Sans" w:hAnsi="Soberana Sans"/>
          <w:sz w:val="22"/>
          <w:szCs w:val="22"/>
          <w:lang w:val="es-MX"/>
        </w:rPr>
      </w:pPr>
      <w:r w:rsidRPr="00221B14">
        <w:rPr>
          <w:rFonts w:ascii="Soberana Sans" w:hAnsi="Soberana Sans"/>
          <w:sz w:val="22"/>
          <w:szCs w:val="22"/>
          <w:lang w:val="es-MX"/>
        </w:rPr>
        <w:t>Efectivo y equivalentes</w:t>
      </w:r>
    </w:p>
    <w:p w:rsidR="005241B9" w:rsidRPr="005241B9" w:rsidRDefault="005241B9" w:rsidP="005241B9">
      <w:pPr>
        <w:pStyle w:val="ROMANOS"/>
        <w:numPr>
          <w:ilvl w:val="0"/>
          <w:numId w:val="3"/>
        </w:numPr>
        <w:spacing w:after="0" w:line="240" w:lineRule="auto"/>
        <w:rPr>
          <w:rFonts w:ascii="Soberana Sans" w:hAnsi="Soberana Sans"/>
          <w:sz w:val="20"/>
          <w:szCs w:val="22"/>
          <w:lang w:val="es-MX"/>
        </w:rPr>
      </w:pPr>
      <w:r w:rsidRPr="005241B9">
        <w:rPr>
          <w:rFonts w:ascii="Soberana Sans" w:hAnsi="Soberana Sans"/>
          <w:sz w:val="20"/>
          <w:szCs w:val="22"/>
          <w:lang w:val="es-MX"/>
        </w:rPr>
        <w:t>El análisis del saldo inicial y final que figuran en la última parte del Estado de Flujo de Efectivo en la cuenta de efectivo y equivalentes es como sigue:</w:t>
      </w:r>
    </w:p>
    <w:p w:rsidR="005241B9" w:rsidRPr="005241B9" w:rsidRDefault="005241B9" w:rsidP="005241B9">
      <w:pPr>
        <w:pStyle w:val="ROMANOS"/>
        <w:spacing w:after="0" w:line="240" w:lineRule="auto"/>
        <w:ind w:left="0" w:firstLine="0"/>
        <w:rPr>
          <w:rFonts w:ascii="Soberana Sans" w:hAnsi="Soberana Sans"/>
          <w:sz w:val="20"/>
          <w:szCs w:val="22"/>
          <w:lang w:val="es-MX"/>
        </w:rPr>
      </w:pPr>
    </w:p>
    <w:tbl>
      <w:tblPr>
        <w:tblW w:w="0" w:type="auto"/>
        <w:jc w:val="center"/>
        <w:tblLayout w:type="fixed"/>
        <w:tblLook w:val="0000" w:firstRow="0" w:lastRow="0" w:firstColumn="0" w:lastColumn="0" w:noHBand="0" w:noVBand="0"/>
      </w:tblPr>
      <w:tblGrid>
        <w:gridCol w:w="5591"/>
        <w:gridCol w:w="1661"/>
        <w:gridCol w:w="1781"/>
      </w:tblGrid>
      <w:tr w:rsidR="005241B9" w:rsidRPr="005241B9" w:rsidTr="005266BC">
        <w:trPr>
          <w:cantSplit/>
          <w:trHeight w:val="261"/>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FC07A6" w:rsidP="005266BC">
            <w:pPr>
              <w:pStyle w:val="Texto"/>
              <w:spacing w:after="0" w:line="240" w:lineRule="auto"/>
              <w:ind w:firstLine="0"/>
              <w:rPr>
                <w:rFonts w:ascii="Soberana Sans" w:hAnsi="Soberana Sans"/>
                <w:sz w:val="20"/>
                <w:szCs w:val="22"/>
                <w:lang w:val="es-MX"/>
              </w:rPr>
            </w:pPr>
            <w:r>
              <w:rPr>
                <w:rFonts w:ascii="Soberana Sans" w:hAnsi="Soberana Sans"/>
                <w:sz w:val="20"/>
                <w:szCs w:val="22"/>
                <w:lang w:val="es-MX"/>
              </w:rPr>
              <w:t>Descripción</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r w:rsidRPr="005241B9">
              <w:rPr>
                <w:rFonts w:ascii="Soberana Sans" w:hAnsi="Soberana Sans"/>
                <w:sz w:val="20"/>
                <w:szCs w:val="22"/>
                <w:lang w:val="es-MX"/>
              </w:rPr>
              <w:t>2016</w:t>
            </w: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r w:rsidRPr="005241B9">
              <w:rPr>
                <w:rFonts w:ascii="Soberana Sans" w:hAnsi="Soberana Sans"/>
                <w:sz w:val="20"/>
                <w:szCs w:val="22"/>
                <w:lang w:val="es-MX"/>
              </w:rPr>
              <w:t>2015</w:t>
            </w:r>
          </w:p>
        </w:tc>
      </w:tr>
      <w:tr w:rsidR="005241B9" w:rsidRPr="005241B9" w:rsidTr="005266BC">
        <w:trPr>
          <w:cantSplit/>
          <w:trHeight w:val="797"/>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5241B9" w:rsidP="005266BC">
            <w:pPr>
              <w:pStyle w:val="Texto"/>
              <w:spacing w:after="0" w:line="240" w:lineRule="auto"/>
              <w:ind w:firstLine="0"/>
              <w:rPr>
                <w:rFonts w:ascii="Soberana Sans" w:hAnsi="Soberana Sans"/>
                <w:sz w:val="20"/>
                <w:szCs w:val="22"/>
                <w:lang w:val="es-MX"/>
              </w:rPr>
            </w:pPr>
            <w:r w:rsidRPr="005241B9">
              <w:rPr>
                <w:rFonts w:ascii="Soberana Sans" w:hAnsi="Soberana Sans"/>
                <w:sz w:val="20"/>
                <w:szCs w:val="22"/>
                <w:lang w:val="es-MX"/>
              </w:rPr>
              <w:t>Efectivo en Bancos –Tesorería</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r w:rsidRPr="005241B9">
              <w:rPr>
                <w:rFonts w:ascii="Soberana Sans" w:hAnsi="Soberana Sans"/>
                <w:sz w:val="20"/>
                <w:szCs w:val="22"/>
                <w:lang w:val="es-MX"/>
              </w:rPr>
              <w:t>425,340,720</w:t>
            </w:r>
          </w:p>
          <w:p w:rsidR="005241B9" w:rsidRPr="005241B9" w:rsidRDefault="005241B9" w:rsidP="00FC07A6">
            <w:pPr>
              <w:pStyle w:val="Texto"/>
              <w:spacing w:after="0" w:line="240" w:lineRule="auto"/>
              <w:ind w:firstLine="0"/>
              <w:jc w:val="right"/>
              <w:rPr>
                <w:rFonts w:ascii="Soberana Sans" w:hAnsi="Soberana Sans"/>
                <w:sz w:val="20"/>
                <w:szCs w:val="22"/>
                <w:lang w:val="es-MX"/>
              </w:rPr>
            </w:pP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r w:rsidRPr="005241B9">
              <w:rPr>
                <w:rFonts w:ascii="Soberana Sans" w:hAnsi="Soberana Sans"/>
                <w:sz w:val="20"/>
                <w:szCs w:val="22"/>
                <w:lang w:val="es-MX"/>
              </w:rPr>
              <w:t>129,869,822</w:t>
            </w:r>
          </w:p>
        </w:tc>
      </w:tr>
      <w:tr w:rsidR="005241B9" w:rsidRPr="005241B9" w:rsidTr="005266BC">
        <w:trPr>
          <w:cantSplit/>
          <w:trHeight w:val="273"/>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5241B9" w:rsidP="005266BC">
            <w:pPr>
              <w:pStyle w:val="Texto"/>
              <w:spacing w:after="0" w:line="240" w:lineRule="auto"/>
              <w:ind w:firstLine="0"/>
              <w:rPr>
                <w:rFonts w:ascii="Soberana Sans" w:hAnsi="Soberana Sans"/>
                <w:sz w:val="20"/>
                <w:szCs w:val="22"/>
                <w:lang w:val="es-MX"/>
              </w:rPr>
            </w:pPr>
            <w:r w:rsidRPr="005241B9">
              <w:rPr>
                <w:rFonts w:ascii="Soberana Sans" w:hAnsi="Soberana Sans"/>
                <w:sz w:val="20"/>
                <w:szCs w:val="22"/>
                <w:lang w:val="es-MX"/>
              </w:rPr>
              <w:t>Efectivo en Bancos- Dependencias</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r>
      <w:tr w:rsidR="005241B9" w:rsidRPr="005241B9" w:rsidTr="005266BC">
        <w:trPr>
          <w:cantSplit/>
          <w:trHeight w:val="261"/>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5241B9" w:rsidP="005266BC">
            <w:pPr>
              <w:pStyle w:val="Texto"/>
              <w:spacing w:after="0" w:line="240" w:lineRule="auto"/>
              <w:ind w:firstLine="0"/>
              <w:rPr>
                <w:rFonts w:ascii="Soberana Sans" w:hAnsi="Soberana Sans"/>
                <w:sz w:val="20"/>
                <w:szCs w:val="22"/>
                <w:lang w:val="es-MX"/>
              </w:rPr>
            </w:pPr>
            <w:r w:rsidRPr="005241B9">
              <w:rPr>
                <w:rFonts w:ascii="Soberana Sans" w:hAnsi="Soberana Sans"/>
                <w:sz w:val="20"/>
                <w:szCs w:val="22"/>
                <w:lang w:val="es-MX"/>
              </w:rPr>
              <w:t xml:space="preserve">Inversiones temporales (hasta 3 meses) </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r>
      <w:tr w:rsidR="005241B9" w:rsidRPr="005241B9" w:rsidTr="005266BC">
        <w:trPr>
          <w:cantSplit/>
          <w:trHeight w:val="273"/>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5241B9" w:rsidP="005266BC">
            <w:pPr>
              <w:pStyle w:val="Texto"/>
              <w:spacing w:after="0" w:line="240" w:lineRule="auto"/>
              <w:ind w:firstLine="0"/>
              <w:rPr>
                <w:rFonts w:ascii="Soberana Sans" w:hAnsi="Soberana Sans"/>
                <w:sz w:val="20"/>
                <w:szCs w:val="22"/>
                <w:lang w:val="es-MX"/>
              </w:rPr>
            </w:pPr>
            <w:r w:rsidRPr="005241B9">
              <w:rPr>
                <w:rFonts w:ascii="Soberana Sans" w:hAnsi="Soberana Sans"/>
                <w:sz w:val="20"/>
                <w:szCs w:val="22"/>
                <w:lang w:val="es-MX"/>
              </w:rPr>
              <w:t>Fondos con afectación específica</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r>
      <w:tr w:rsidR="005241B9" w:rsidRPr="005241B9" w:rsidTr="005266BC">
        <w:trPr>
          <w:cantSplit/>
          <w:trHeight w:val="261"/>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5241B9" w:rsidP="005266BC">
            <w:pPr>
              <w:pStyle w:val="Texto"/>
              <w:spacing w:after="0" w:line="240" w:lineRule="auto"/>
              <w:ind w:firstLine="0"/>
              <w:rPr>
                <w:rFonts w:ascii="Soberana Sans" w:hAnsi="Soberana Sans"/>
                <w:sz w:val="20"/>
                <w:szCs w:val="22"/>
                <w:lang w:val="es-MX"/>
              </w:rPr>
            </w:pPr>
            <w:r w:rsidRPr="005241B9">
              <w:rPr>
                <w:rFonts w:ascii="Soberana Sans" w:hAnsi="Soberana Sans"/>
                <w:sz w:val="20"/>
                <w:szCs w:val="22"/>
                <w:lang w:val="es-MX"/>
              </w:rPr>
              <w:t>Depósitos de fondos de terceros y otros</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p>
        </w:tc>
      </w:tr>
      <w:tr w:rsidR="005241B9" w:rsidRPr="005241B9" w:rsidTr="005266BC">
        <w:trPr>
          <w:cantSplit/>
          <w:trHeight w:val="534"/>
          <w:jc w:val="center"/>
        </w:trPr>
        <w:tc>
          <w:tcPr>
            <w:tcW w:w="5591" w:type="dxa"/>
            <w:tcBorders>
              <w:top w:val="single" w:sz="6" w:space="0" w:color="auto"/>
              <w:left w:val="single" w:sz="6" w:space="0" w:color="auto"/>
              <w:bottom w:val="single" w:sz="6" w:space="0" w:color="auto"/>
              <w:right w:val="single" w:sz="6" w:space="0" w:color="auto"/>
            </w:tcBorders>
          </w:tcPr>
          <w:p w:rsidR="005241B9" w:rsidRPr="005241B9" w:rsidRDefault="005241B9" w:rsidP="005266BC">
            <w:pPr>
              <w:pStyle w:val="Texto"/>
              <w:spacing w:after="0" w:line="240" w:lineRule="auto"/>
              <w:ind w:firstLine="0"/>
              <w:rPr>
                <w:rFonts w:ascii="Soberana Sans" w:hAnsi="Soberana Sans"/>
                <w:sz w:val="20"/>
                <w:szCs w:val="22"/>
                <w:lang w:val="es-MX"/>
              </w:rPr>
            </w:pPr>
            <w:r w:rsidRPr="005241B9">
              <w:rPr>
                <w:rFonts w:ascii="Soberana Sans" w:hAnsi="Soberana Sans"/>
                <w:sz w:val="20"/>
                <w:szCs w:val="22"/>
                <w:lang w:val="es-MX"/>
              </w:rPr>
              <w:t>Total de Efectivo y Equivalentes</w:t>
            </w:r>
          </w:p>
        </w:tc>
        <w:tc>
          <w:tcPr>
            <w:tcW w:w="166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r w:rsidRPr="005241B9">
              <w:rPr>
                <w:rFonts w:ascii="Soberana Sans" w:hAnsi="Soberana Sans"/>
                <w:sz w:val="20"/>
                <w:szCs w:val="22"/>
                <w:lang w:val="es-MX"/>
              </w:rPr>
              <w:t>425,340,720</w:t>
            </w:r>
          </w:p>
        </w:tc>
        <w:tc>
          <w:tcPr>
            <w:tcW w:w="1781" w:type="dxa"/>
            <w:tcBorders>
              <w:top w:val="single" w:sz="6" w:space="0" w:color="auto"/>
              <w:left w:val="single" w:sz="6" w:space="0" w:color="auto"/>
              <w:bottom w:val="single" w:sz="6" w:space="0" w:color="auto"/>
              <w:right w:val="single" w:sz="6" w:space="0" w:color="auto"/>
            </w:tcBorders>
          </w:tcPr>
          <w:p w:rsidR="005241B9" w:rsidRPr="005241B9" w:rsidRDefault="005241B9" w:rsidP="00FC07A6">
            <w:pPr>
              <w:pStyle w:val="Texto"/>
              <w:spacing w:after="0" w:line="240" w:lineRule="auto"/>
              <w:ind w:firstLine="0"/>
              <w:jc w:val="right"/>
              <w:rPr>
                <w:rFonts w:ascii="Soberana Sans" w:hAnsi="Soberana Sans"/>
                <w:sz w:val="20"/>
                <w:szCs w:val="22"/>
                <w:lang w:val="es-MX"/>
              </w:rPr>
            </w:pPr>
            <w:r w:rsidRPr="005241B9">
              <w:rPr>
                <w:rFonts w:ascii="Soberana Sans" w:hAnsi="Soberana Sans"/>
                <w:sz w:val="20"/>
                <w:szCs w:val="22"/>
                <w:lang w:val="es-MX"/>
              </w:rPr>
              <w:t>129,869,822</w:t>
            </w:r>
          </w:p>
        </w:tc>
      </w:tr>
    </w:tbl>
    <w:p w:rsidR="005241B9" w:rsidRPr="005241B9" w:rsidRDefault="005241B9" w:rsidP="005241B9">
      <w:pPr>
        <w:pStyle w:val="Texto"/>
        <w:spacing w:after="0" w:line="240" w:lineRule="auto"/>
        <w:rPr>
          <w:rFonts w:ascii="Soberana Sans" w:hAnsi="Soberana Sans"/>
          <w:sz w:val="20"/>
          <w:szCs w:val="22"/>
          <w:lang w:val="es-MX"/>
        </w:rPr>
      </w:pPr>
    </w:p>
    <w:p w:rsidR="005241B9" w:rsidRPr="005241B9" w:rsidRDefault="005241B9" w:rsidP="005241B9">
      <w:pPr>
        <w:pStyle w:val="Texto"/>
        <w:spacing w:after="0" w:line="240" w:lineRule="auto"/>
        <w:rPr>
          <w:rFonts w:ascii="Soberana Sans" w:hAnsi="Soberana Sans"/>
          <w:sz w:val="20"/>
          <w:szCs w:val="22"/>
          <w:lang w:val="es-MX"/>
        </w:rPr>
      </w:pPr>
      <w:r w:rsidRPr="005241B9">
        <w:rPr>
          <w:rFonts w:ascii="Soberana Sans" w:hAnsi="Soberana Sans"/>
          <w:sz w:val="20"/>
          <w:szCs w:val="22"/>
          <w:lang w:val="es-MX"/>
        </w:rPr>
        <w:t>Con el propósito de cumplir con lo dispuesto en el Artículo Sexto Transitorio del Decreto número 140.- mediante el cual se reforman diversos disposiciones de la Ley de Salud del Estado de Tlaxcala, publicado el Diario Oficial del Gobierno del Estado de Tlaxcala, el 16 de octubre de 2015,  que para mayor precisión se trascribe a continuación: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Régimen Estatal de Protección Social en Salud en Tlaxcala, mediante el proceso de entrega-recepción correspondiente";  con fecha 06 de abril del presente de referencia 5018/da/2016/278 girado por OPD Salud de Tlaxcala, se recibió balanza de saldos iniciales por parte de OPD Salud de Tlaxcala; mismos que corresponden a los recursos presupuestales del ejercicio 2015 de la Cuota Social y Aportación Solidaria Federal, Seguro Médico Siglo XXI y Fondo de Protección contra Gastos Catastróficos.</w:t>
      </w:r>
    </w:p>
    <w:p w:rsidR="005241B9" w:rsidRPr="005241B9" w:rsidRDefault="005241B9" w:rsidP="005241B9">
      <w:pPr>
        <w:pStyle w:val="Texto"/>
        <w:spacing w:after="0" w:line="240" w:lineRule="auto"/>
        <w:rPr>
          <w:rFonts w:ascii="Soberana Sans" w:hAnsi="Soberana Sans"/>
          <w:sz w:val="20"/>
          <w:szCs w:val="22"/>
          <w:lang w:val="es-MX"/>
        </w:rPr>
      </w:pPr>
    </w:p>
    <w:p w:rsidR="005241B9" w:rsidRPr="005241B9" w:rsidRDefault="005241B9" w:rsidP="005241B9">
      <w:pPr>
        <w:pStyle w:val="Texto"/>
        <w:spacing w:after="0" w:line="240" w:lineRule="auto"/>
        <w:rPr>
          <w:rFonts w:ascii="Soberana Sans" w:hAnsi="Soberana Sans"/>
          <w:sz w:val="20"/>
          <w:szCs w:val="22"/>
          <w:lang w:val="es-MX"/>
        </w:rPr>
      </w:pPr>
    </w:p>
    <w:p w:rsidR="005241B9" w:rsidRPr="005241B9" w:rsidRDefault="005266BC" w:rsidP="005241B9">
      <w:pPr>
        <w:pStyle w:val="ROMANOS"/>
        <w:numPr>
          <w:ilvl w:val="0"/>
          <w:numId w:val="3"/>
        </w:numPr>
        <w:spacing w:after="0" w:line="240" w:lineRule="auto"/>
        <w:rPr>
          <w:rFonts w:ascii="Soberana Sans" w:hAnsi="Soberana Sans"/>
          <w:sz w:val="20"/>
          <w:szCs w:val="22"/>
          <w:lang w:val="es-MX"/>
        </w:rPr>
      </w:pPr>
      <w:r>
        <w:rPr>
          <w:rFonts w:ascii="Soberana Sans" w:hAnsi="Soberana Sans"/>
          <w:sz w:val="20"/>
          <w:szCs w:val="22"/>
          <w:lang w:val="es-MX"/>
        </w:rPr>
        <w:t>En el ejercicio 2016,</w:t>
      </w:r>
      <w:r w:rsidR="005241B9" w:rsidRPr="005241B9">
        <w:rPr>
          <w:rFonts w:ascii="Soberana Sans" w:hAnsi="Soberana Sans"/>
          <w:sz w:val="20"/>
          <w:szCs w:val="22"/>
          <w:lang w:val="es-MX"/>
        </w:rPr>
        <w:t xml:space="preserve"> se han realizado adquisiciones de bienes muebles</w:t>
      </w:r>
      <w:r w:rsidR="00594EE7">
        <w:rPr>
          <w:rFonts w:ascii="Soberana Sans" w:hAnsi="Soberana Sans"/>
          <w:sz w:val="20"/>
          <w:szCs w:val="22"/>
          <w:lang w:val="es-MX"/>
        </w:rPr>
        <w:t xml:space="preserve"> por un importe de 8,143.00,</w:t>
      </w:r>
      <w:r w:rsidR="005241B9" w:rsidRPr="005241B9">
        <w:rPr>
          <w:rFonts w:ascii="Soberana Sans" w:hAnsi="Soberana Sans"/>
          <w:sz w:val="20"/>
          <w:szCs w:val="22"/>
          <w:lang w:val="es-MX"/>
        </w:rPr>
        <w:t xml:space="preserve"> e inmuebles</w:t>
      </w:r>
      <w:r w:rsidR="00594EE7">
        <w:rPr>
          <w:rFonts w:ascii="Soberana Sans" w:hAnsi="Soberana Sans"/>
          <w:sz w:val="20"/>
          <w:szCs w:val="22"/>
          <w:lang w:val="es-MX"/>
        </w:rPr>
        <w:t xml:space="preserve"> hasta el momento no se cuenta</w:t>
      </w:r>
      <w:r w:rsidR="005241B9" w:rsidRPr="005241B9">
        <w:rPr>
          <w:rFonts w:ascii="Soberana Sans" w:hAnsi="Soberana Sans"/>
          <w:sz w:val="20"/>
          <w:szCs w:val="22"/>
          <w:lang w:val="es-MX"/>
        </w:rPr>
        <w:t>.</w:t>
      </w:r>
    </w:p>
    <w:p w:rsidR="005241B9" w:rsidRPr="005241B9" w:rsidRDefault="005241B9" w:rsidP="005241B9">
      <w:pPr>
        <w:pStyle w:val="ROMANOS"/>
        <w:spacing w:after="0" w:line="240" w:lineRule="auto"/>
        <w:ind w:left="648" w:firstLine="0"/>
        <w:rPr>
          <w:rFonts w:ascii="Soberana Sans" w:hAnsi="Soberana Sans"/>
          <w:sz w:val="20"/>
          <w:szCs w:val="22"/>
          <w:lang w:val="es-MX"/>
        </w:rPr>
      </w:pPr>
    </w:p>
    <w:p w:rsidR="005241B9" w:rsidRDefault="005241B9" w:rsidP="005241B9">
      <w:pPr>
        <w:pStyle w:val="ROMANOS"/>
        <w:numPr>
          <w:ilvl w:val="0"/>
          <w:numId w:val="3"/>
        </w:numPr>
        <w:spacing w:after="0" w:line="240" w:lineRule="auto"/>
        <w:rPr>
          <w:rFonts w:ascii="Soberana Sans" w:hAnsi="Soberana Sans"/>
          <w:sz w:val="20"/>
          <w:szCs w:val="22"/>
          <w:lang w:val="es-MX"/>
        </w:rPr>
      </w:pPr>
      <w:r w:rsidRPr="005241B9">
        <w:rPr>
          <w:rFonts w:ascii="Soberana Sans" w:hAnsi="Soberana Sans"/>
          <w:sz w:val="20"/>
          <w:szCs w:val="22"/>
          <w:lang w:val="es-MX"/>
        </w:rPr>
        <w:t xml:space="preserve">Conciliación de los Flujos de Efectivo Netos de las Actividades de Operación, no se determinaron durante el trimestre rubros extraordinarios. </w:t>
      </w:r>
    </w:p>
    <w:p w:rsidR="005241B9" w:rsidRDefault="005241B9">
      <w:pPr>
        <w:rPr>
          <w:rFonts w:ascii="Soberana Sans" w:eastAsia="Times New Roman" w:hAnsi="Soberana Sans" w:cs="Arial"/>
          <w:sz w:val="20"/>
          <w:lang w:eastAsia="es-ES"/>
        </w:rPr>
      </w:pPr>
      <w:r>
        <w:rPr>
          <w:rFonts w:ascii="Soberana Sans" w:hAnsi="Soberana Sans"/>
          <w:sz w:val="20"/>
        </w:rPr>
        <w:br w:type="page"/>
      </w:r>
    </w:p>
    <w:p w:rsidR="005241B9" w:rsidRPr="005241B9" w:rsidRDefault="005241B9" w:rsidP="005241B9">
      <w:pPr>
        <w:pStyle w:val="ROMANOS"/>
        <w:spacing w:after="0" w:line="240" w:lineRule="auto"/>
        <w:ind w:left="648" w:firstLine="0"/>
        <w:rPr>
          <w:rFonts w:ascii="Soberana Sans" w:hAnsi="Soberana Sans"/>
          <w:sz w:val="20"/>
          <w:szCs w:val="22"/>
          <w:lang w:val="es-MX"/>
        </w:rPr>
      </w:pPr>
    </w:p>
    <w:p w:rsidR="005241B9" w:rsidRPr="00221B14" w:rsidRDefault="005241B9" w:rsidP="005241B9">
      <w:pPr>
        <w:pStyle w:val="ROMANOS"/>
        <w:spacing w:after="0" w:line="240" w:lineRule="auto"/>
        <w:rPr>
          <w:rFonts w:ascii="Soberana Sans" w:hAnsi="Soberana Sans"/>
          <w:sz w:val="22"/>
          <w:szCs w:val="22"/>
          <w:lang w:val="es-MX"/>
        </w:rPr>
      </w:pPr>
    </w:p>
    <w:p w:rsidR="005241B9" w:rsidRPr="00221B14" w:rsidRDefault="005241B9" w:rsidP="005241B9">
      <w:pPr>
        <w:pStyle w:val="INCISO"/>
        <w:spacing w:after="0" w:line="240" w:lineRule="auto"/>
        <w:ind w:left="360"/>
        <w:rPr>
          <w:rFonts w:ascii="Soberana Sans" w:hAnsi="Soberana Sans"/>
          <w:smallCaps/>
          <w:sz w:val="20"/>
          <w:szCs w:val="22"/>
        </w:rPr>
      </w:pPr>
      <w:r w:rsidRPr="00221B14">
        <w:rPr>
          <w:rFonts w:ascii="Soberana Sans" w:hAnsi="Soberana Sans"/>
          <w:smallCaps/>
          <w:sz w:val="22"/>
          <w:szCs w:val="22"/>
        </w:rPr>
        <w:t>V) Conciliación entre los ingresos presupuestarios y contables, así como entre los egresos presupuestarios y los gastos contables</w:t>
      </w:r>
    </w:p>
    <w:p w:rsidR="005241B9" w:rsidRPr="005241B9" w:rsidRDefault="005241B9" w:rsidP="005241B9">
      <w:pPr>
        <w:pStyle w:val="Texto"/>
        <w:spacing w:after="0" w:line="240" w:lineRule="auto"/>
        <w:rPr>
          <w:rFonts w:ascii="Soberana Sans" w:hAnsi="Soberana Sans"/>
          <w:b/>
          <w:smallCaps/>
          <w:sz w:val="20"/>
          <w:szCs w:val="22"/>
          <w:lang w:val="es-MX"/>
        </w:rPr>
      </w:pPr>
    </w:p>
    <w:p w:rsidR="005241B9" w:rsidRPr="005241B9" w:rsidRDefault="005241B9" w:rsidP="005241B9">
      <w:pPr>
        <w:pStyle w:val="Texto"/>
        <w:spacing w:after="0" w:line="240" w:lineRule="auto"/>
        <w:rPr>
          <w:rFonts w:ascii="Soberana Sans" w:hAnsi="Soberana Sans"/>
          <w:sz w:val="20"/>
          <w:szCs w:val="22"/>
          <w:lang w:val="es-MX"/>
        </w:rPr>
      </w:pPr>
      <w:r w:rsidRPr="005241B9">
        <w:rPr>
          <w:rFonts w:ascii="Soberana Sans" w:hAnsi="Soberana Sans"/>
          <w:sz w:val="20"/>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241B9" w:rsidRPr="005241B9" w:rsidRDefault="005241B9" w:rsidP="00540418">
      <w:pPr>
        <w:pStyle w:val="Texto"/>
        <w:spacing w:after="0" w:line="240" w:lineRule="exact"/>
        <w:rPr>
          <w:rFonts w:ascii="Soberana Sans Light" w:hAnsi="Soberana Sans Light"/>
          <w:sz w:val="20"/>
          <w:szCs w:val="22"/>
          <w:lang w:val="es-MX"/>
        </w:rPr>
      </w:pPr>
    </w:p>
    <w:p w:rsidR="007E1E3D" w:rsidRPr="005241B9" w:rsidRDefault="005266BC" w:rsidP="00B849EE">
      <w:pPr>
        <w:pStyle w:val="Texto"/>
        <w:spacing w:after="0" w:line="240" w:lineRule="exact"/>
        <w:ind w:firstLine="0"/>
        <w:rPr>
          <w:rFonts w:ascii="Soberana Sans Light" w:hAnsi="Soberana Sans Light"/>
          <w:sz w:val="20"/>
          <w:szCs w:val="22"/>
          <w:lang w:val="es-MX"/>
        </w:rPr>
      </w:pPr>
      <w:r>
        <w:rPr>
          <w:rFonts w:ascii="Soberana Sans Light" w:hAnsi="Soberana Sans Light"/>
          <w:noProof/>
          <w:sz w:val="20"/>
          <w:szCs w:val="22"/>
          <w:lang w:val="es-MX" w:eastAsia="es-MX"/>
        </w:rPr>
        <w:object w:dxaOrig="23568" w:dyaOrig="15536">
          <v:shape id="_x0000_s1028" type="#_x0000_t75" style="position:absolute;left:0;text-align:left;margin-left:60.75pt;margin-top:23.95pt;width:567.1pt;height:271.4pt;z-index:251663360;mso-position-horizontal-relative:text;mso-position-vertical-relative:text;mso-width-relative:page;mso-height-relative:page">
            <v:imagedata r:id="rId22" o:title=""/>
            <w10:wrap type="topAndBottom"/>
          </v:shape>
          <o:OLEObject Type="Embed" ProgID="Excel.Sheet.12" ShapeID="_x0000_s1028" DrawAspect="Content" ObjectID="_1529299578" r:id="rId23"/>
        </w:object>
      </w:r>
    </w:p>
    <w:p w:rsidR="00CE6657" w:rsidRDefault="00CE6657" w:rsidP="00B849EE">
      <w:pPr>
        <w:pStyle w:val="Texto"/>
        <w:spacing w:after="0" w:line="240" w:lineRule="exact"/>
        <w:ind w:firstLine="0"/>
        <w:rPr>
          <w:rFonts w:ascii="Soberana Sans Light" w:hAnsi="Soberana Sans Light"/>
          <w:sz w:val="22"/>
          <w:szCs w:val="22"/>
          <w:lang w:val="es-MX"/>
        </w:rPr>
      </w:pPr>
    </w:p>
    <w:p w:rsidR="00C71EF2" w:rsidRDefault="00C71EF2" w:rsidP="00B849EE">
      <w:pPr>
        <w:pStyle w:val="Texto"/>
        <w:spacing w:after="0" w:line="240" w:lineRule="exact"/>
        <w:ind w:firstLine="0"/>
        <w:rPr>
          <w:rFonts w:ascii="Soberana Sans Light" w:hAnsi="Soberana Sans Light"/>
          <w:sz w:val="22"/>
          <w:szCs w:val="22"/>
          <w:lang w:val="es-MX"/>
        </w:rPr>
      </w:pPr>
    </w:p>
    <w:p w:rsidR="00540418" w:rsidRDefault="00540418" w:rsidP="00B849EE">
      <w:pPr>
        <w:pStyle w:val="Texto"/>
        <w:spacing w:after="0" w:line="240" w:lineRule="exact"/>
        <w:ind w:firstLine="0"/>
        <w:rPr>
          <w:rFonts w:ascii="Soberana Sans Light" w:hAnsi="Soberana Sans Light"/>
          <w:sz w:val="22"/>
          <w:szCs w:val="22"/>
          <w:lang w:val="es-MX"/>
        </w:rPr>
      </w:pP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7765D0" w:rsidRDefault="005266BC"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23568" w:dyaOrig="15536">
          <v:shape id="_x0000_s1089" type="#_x0000_t75" style="position:absolute;left:0;text-align:left;margin-left:59.3pt;margin-top:12.1pt;width:557.05pt;height:410.7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29299579" r:id="rId25"/>
        </w:object>
      </w: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2E455C" w:rsidRDefault="002E455C" w:rsidP="00540418">
      <w:pPr>
        <w:pStyle w:val="Texto"/>
        <w:spacing w:after="0" w:line="240" w:lineRule="exact"/>
        <w:jc w:val="center"/>
        <w:rPr>
          <w:rFonts w:ascii="Soberana Sans Light" w:hAnsi="Soberana Sans Light"/>
          <w:b/>
          <w:smallCaps/>
          <w:sz w:val="22"/>
          <w:szCs w:val="22"/>
          <w:lang w:val="es-MX"/>
        </w:rPr>
      </w:pPr>
    </w:p>
    <w:p w:rsidR="00CC5E8E" w:rsidRPr="00540418" w:rsidRDefault="00CC5E8E" w:rsidP="00540418">
      <w:pPr>
        <w:pStyle w:val="Texto"/>
        <w:spacing w:after="0" w:line="240" w:lineRule="exact"/>
        <w:jc w:val="center"/>
        <w:rPr>
          <w:rFonts w:ascii="Soberana Sans Light" w:hAnsi="Soberana Sans Light"/>
          <w:b/>
          <w:smallCaps/>
          <w:sz w:val="22"/>
          <w:szCs w:val="22"/>
          <w:lang w:val="es-MX"/>
        </w:rPr>
      </w:pPr>
    </w:p>
    <w:p w:rsidR="00CE45A6" w:rsidRDefault="00CE45A6" w:rsidP="00540418">
      <w:pPr>
        <w:pStyle w:val="Texto"/>
        <w:spacing w:after="0" w:line="240" w:lineRule="exact"/>
        <w:ind w:firstLine="0"/>
        <w:jc w:val="center"/>
        <w:rPr>
          <w:rFonts w:ascii="Soberana Sans Light" w:hAnsi="Soberana Sans Light"/>
          <w:sz w:val="22"/>
          <w:szCs w:val="22"/>
        </w:rPr>
      </w:pPr>
    </w:p>
    <w:p w:rsidR="0008596E" w:rsidRDefault="0008596E" w:rsidP="00540418">
      <w:pPr>
        <w:pStyle w:val="Texto"/>
        <w:spacing w:after="0" w:line="240" w:lineRule="exact"/>
        <w:ind w:firstLine="0"/>
        <w:jc w:val="center"/>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 xml:space="preserve">NOTAS DE </w:t>
      </w:r>
      <w:r w:rsidRPr="00221B14">
        <w:rPr>
          <w:rFonts w:ascii="Soberana Sans Light" w:hAnsi="Soberana Sans Light"/>
          <w:b/>
          <w:sz w:val="22"/>
          <w:szCs w:val="22"/>
          <w:lang w:val="es-MX"/>
        </w:rPr>
        <w:t>MEMORIA</w:t>
      </w:r>
      <w:r w:rsidRPr="00540418">
        <w:rPr>
          <w:rFonts w:ascii="Soberana Sans Light" w:hAnsi="Soberana Sans Light"/>
          <w:b/>
          <w:sz w:val="22"/>
          <w:szCs w:val="22"/>
          <w:lang w:val="es-MX"/>
        </w:rPr>
        <w:t xml:space="preserve">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p>
    <w:p w:rsidR="00540418" w:rsidRPr="00221B14" w:rsidRDefault="00540418" w:rsidP="00540418">
      <w:pPr>
        <w:pStyle w:val="Texto"/>
        <w:spacing w:after="0" w:line="240" w:lineRule="exact"/>
        <w:rPr>
          <w:rFonts w:ascii="Soberana Sans Light" w:hAnsi="Soberana Sans Light"/>
          <w:sz w:val="22"/>
          <w:szCs w:val="22"/>
        </w:rPr>
      </w:pPr>
      <w:r w:rsidRPr="00221B14">
        <w:rPr>
          <w:rFonts w:ascii="Soberana Sans Light" w:hAnsi="Soberana Sans Light"/>
          <w:sz w:val="22"/>
          <w:szCs w:val="22"/>
        </w:rPr>
        <w:t>Cuentas de Orden Contables</w:t>
      </w:r>
    </w:p>
    <w:p w:rsidR="00572E71" w:rsidRDefault="00572E71" w:rsidP="00540418">
      <w:pPr>
        <w:pStyle w:val="Texto"/>
        <w:spacing w:after="0" w:line="240" w:lineRule="exact"/>
        <w:rPr>
          <w:rFonts w:ascii="Soberana Sans Light" w:hAnsi="Soberana Sans Light"/>
          <w:sz w:val="22"/>
          <w:szCs w:val="22"/>
        </w:rPr>
      </w:pPr>
    </w:p>
    <w:p w:rsidR="00572E71" w:rsidRPr="00572E71" w:rsidRDefault="00572E71" w:rsidP="00540418">
      <w:pPr>
        <w:pStyle w:val="Texto"/>
        <w:spacing w:after="0" w:line="240" w:lineRule="exact"/>
        <w:rPr>
          <w:rFonts w:ascii="Soberana Sans Light" w:hAnsi="Soberana Sans Light"/>
          <w:sz w:val="22"/>
          <w:szCs w:val="22"/>
        </w:rPr>
      </w:pPr>
      <w:r>
        <w:rPr>
          <w:rFonts w:ascii="Soberana Sans Light" w:hAnsi="Soberana Sans Light"/>
          <w:sz w:val="22"/>
          <w:szCs w:val="22"/>
        </w:rPr>
        <w:t>No Aplica.</w:t>
      </w:r>
    </w:p>
    <w:p w:rsidR="00294534" w:rsidRPr="00294534" w:rsidRDefault="00294534" w:rsidP="00294534">
      <w:pPr>
        <w:pStyle w:val="Texto"/>
        <w:spacing w:after="0" w:line="240" w:lineRule="auto"/>
        <w:ind w:firstLine="0"/>
        <w:rPr>
          <w:rFonts w:ascii="Soberana Sans" w:hAnsi="Soberana Sans"/>
          <w:sz w:val="20"/>
          <w:szCs w:val="22"/>
          <w:lang w:val="es-MX"/>
        </w:rPr>
      </w:pPr>
    </w:p>
    <w:p w:rsidR="00294534" w:rsidRPr="00294534" w:rsidRDefault="00294534" w:rsidP="00294534">
      <w:pPr>
        <w:pStyle w:val="Texto"/>
        <w:spacing w:after="0" w:line="240" w:lineRule="auto"/>
        <w:rPr>
          <w:rFonts w:ascii="Soberana Sans" w:hAnsi="Soberana Sans"/>
          <w:sz w:val="20"/>
          <w:szCs w:val="22"/>
        </w:rPr>
      </w:pPr>
    </w:p>
    <w:p w:rsidR="00294534" w:rsidRPr="00294534" w:rsidRDefault="00294534" w:rsidP="00294534">
      <w:pPr>
        <w:pStyle w:val="Texto"/>
        <w:spacing w:after="0" w:line="240" w:lineRule="auto"/>
        <w:ind w:firstLine="0"/>
        <w:jc w:val="center"/>
        <w:rPr>
          <w:rFonts w:ascii="Soberana Sans" w:hAnsi="Soberana Sans"/>
          <w:sz w:val="22"/>
          <w:szCs w:val="22"/>
          <w:lang w:val="es-MX"/>
        </w:rPr>
      </w:pPr>
      <w:r w:rsidRPr="00294534">
        <w:rPr>
          <w:rFonts w:ascii="Soberana Sans" w:hAnsi="Soberana Sans"/>
          <w:sz w:val="22"/>
          <w:szCs w:val="22"/>
          <w:lang w:val="es-MX"/>
        </w:rPr>
        <w:t>c) NOTAS DE GESTIÓN ADMINISTRATIVA</w:t>
      </w:r>
    </w:p>
    <w:p w:rsidR="00294534" w:rsidRPr="00294534" w:rsidRDefault="00294534" w:rsidP="00294534">
      <w:pPr>
        <w:pStyle w:val="Texto"/>
        <w:spacing w:after="0" w:line="240" w:lineRule="auto"/>
        <w:ind w:firstLine="0"/>
        <w:rPr>
          <w:rFonts w:ascii="Soberana Sans" w:hAnsi="Soberana Sans"/>
          <w:b/>
          <w:sz w:val="20"/>
          <w:szCs w:val="22"/>
          <w:lang w:val="es-MX"/>
        </w:rPr>
      </w:pPr>
    </w:p>
    <w:p w:rsidR="00294534" w:rsidRPr="00294534" w:rsidRDefault="00294534" w:rsidP="00294534">
      <w:pPr>
        <w:pStyle w:val="Texto"/>
        <w:spacing w:after="0" w:line="240" w:lineRule="auto"/>
        <w:rPr>
          <w:rFonts w:ascii="Soberana Sans" w:hAnsi="Soberana Sans"/>
          <w:sz w:val="22"/>
          <w:szCs w:val="22"/>
        </w:rPr>
      </w:pPr>
      <w:r w:rsidRPr="00294534">
        <w:rPr>
          <w:rFonts w:ascii="Soberana Sans" w:hAnsi="Soberana Sans"/>
          <w:sz w:val="22"/>
          <w:szCs w:val="22"/>
          <w:lang w:val="es-MX"/>
        </w:rPr>
        <w:t>1.</w:t>
      </w:r>
      <w:r w:rsidRPr="00294534">
        <w:rPr>
          <w:rFonts w:ascii="Soberana Sans" w:hAnsi="Soberana Sans"/>
          <w:sz w:val="22"/>
          <w:szCs w:val="22"/>
          <w:lang w:val="es-MX"/>
        </w:rPr>
        <w:tab/>
        <w:t>Introducción</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Los Estados Financieros de los entes públicos, proveen de información financiera a los principales usuarios de la misma, al Congreso y a los ciudadanos.</w:t>
      </w:r>
    </w:p>
    <w:p w:rsidR="00294534" w:rsidRPr="00294534" w:rsidRDefault="00294534" w:rsidP="00294534">
      <w:pPr>
        <w:pStyle w:val="Texto"/>
        <w:spacing w:after="0" w:line="240" w:lineRule="auto"/>
        <w:rPr>
          <w:rFonts w:ascii="Soberana Sans" w:hAnsi="Soberana Sans"/>
          <w:sz w:val="20"/>
          <w:szCs w:val="22"/>
        </w:rPr>
      </w:pP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94534" w:rsidRPr="00294534" w:rsidRDefault="00294534" w:rsidP="00294534">
      <w:pPr>
        <w:pStyle w:val="Texto"/>
        <w:spacing w:after="0" w:line="240" w:lineRule="auto"/>
        <w:rPr>
          <w:rFonts w:ascii="Soberana Sans" w:hAnsi="Soberana Sans"/>
          <w:sz w:val="20"/>
          <w:szCs w:val="22"/>
        </w:rPr>
      </w:pPr>
    </w:p>
    <w:p w:rsidR="00294534" w:rsidRPr="00294534" w:rsidRDefault="00294534" w:rsidP="00294534">
      <w:pPr>
        <w:pStyle w:val="Texto"/>
        <w:spacing w:after="0" w:line="240" w:lineRule="auto"/>
        <w:rPr>
          <w:rFonts w:ascii="Soberana Sans" w:hAnsi="Soberana Sans"/>
          <w:sz w:val="22"/>
          <w:szCs w:val="22"/>
          <w:lang w:val="es-MX"/>
        </w:rPr>
      </w:pPr>
      <w:r w:rsidRPr="00294534">
        <w:rPr>
          <w:rFonts w:ascii="Soberana Sans" w:hAnsi="Soberana Sans"/>
          <w:sz w:val="22"/>
          <w:szCs w:val="22"/>
          <w:lang w:val="es-MX"/>
        </w:rPr>
        <w:t>2.</w:t>
      </w:r>
      <w:r w:rsidRPr="00294534">
        <w:rPr>
          <w:rFonts w:ascii="Soberana Sans" w:hAnsi="Soberana Sans"/>
          <w:sz w:val="22"/>
          <w:szCs w:val="22"/>
          <w:lang w:val="es-MX"/>
        </w:rPr>
        <w:tab/>
        <w:t>Panorama Económico y Financiero</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La condiciones Económicas financieras con las que opera el OPD Régimen Estatal de Protección Social en Salud, para el cumplimiento del objeto por el cual fue creado. Los recursos destinados para su operación son de carácter federal y en menor porcentaje de carácter estatal, con el fin de cumplir las metas e indicadores establecidos, situación que se puede corroborar al verificar el cumplimiento de los mismos, el impacto y destino de los recursos se ve reflejado en beneficio de la población Tlaxcalteca.</w:t>
      </w:r>
    </w:p>
    <w:p w:rsidR="00294534" w:rsidRDefault="00294534">
      <w:pPr>
        <w:rPr>
          <w:rFonts w:ascii="Soberana Sans" w:eastAsia="Times New Roman" w:hAnsi="Soberana Sans" w:cs="Arial"/>
          <w:sz w:val="20"/>
          <w:lang w:val="es-ES" w:eastAsia="es-ES"/>
        </w:rPr>
      </w:pPr>
      <w:r>
        <w:rPr>
          <w:rFonts w:ascii="Soberana Sans" w:hAnsi="Soberana Sans"/>
          <w:sz w:val="20"/>
        </w:rPr>
        <w:br w:type="page"/>
      </w:r>
    </w:p>
    <w:p w:rsidR="00294534" w:rsidRPr="00294534" w:rsidRDefault="00294534" w:rsidP="00294534">
      <w:pPr>
        <w:pStyle w:val="Texto"/>
        <w:spacing w:after="0" w:line="240" w:lineRule="auto"/>
        <w:rPr>
          <w:rFonts w:ascii="Soberana Sans" w:hAnsi="Soberana Sans"/>
          <w:sz w:val="20"/>
          <w:szCs w:val="22"/>
        </w:rPr>
      </w:pPr>
    </w:p>
    <w:p w:rsidR="00294534" w:rsidRPr="00294534" w:rsidRDefault="00294534" w:rsidP="00294534">
      <w:pPr>
        <w:pStyle w:val="Texto"/>
        <w:spacing w:after="0" w:line="240" w:lineRule="auto"/>
        <w:rPr>
          <w:rFonts w:ascii="Soberana Sans" w:hAnsi="Soberana Sans"/>
          <w:sz w:val="22"/>
          <w:szCs w:val="22"/>
        </w:rPr>
      </w:pPr>
    </w:p>
    <w:p w:rsidR="00294534" w:rsidRPr="00294534" w:rsidRDefault="00294534" w:rsidP="00294534">
      <w:pPr>
        <w:pStyle w:val="Texto"/>
        <w:spacing w:after="0" w:line="240" w:lineRule="auto"/>
        <w:rPr>
          <w:rFonts w:ascii="Soberana Sans" w:hAnsi="Soberana Sans"/>
          <w:sz w:val="22"/>
          <w:szCs w:val="22"/>
          <w:lang w:val="es-MX"/>
        </w:rPr>
      </w:pPr>
      <w:r w:rsidRPr="00294534">
        <w:rPr>
          <w:rFonts w:ascii="Soberana Sans" w:hAnsi="Soberana Sans"/>
          <w:sz w:val="22"/>
          <w:szCs w:val="22"/>
          <w:lang w:val="es-MX"/>
        </w:rPr>
        <w:t>3.</w:t>
      </w:r>
      <w:r w:rsidRPr="00294534">
        <w:rPr>
          <w:rFonts w:ascii="Soberana Sans" w:hAnsi="Soberana Sans"/>
          <w:sz w:val="22"/>
          <w:szCs w:val="22"/>
          <w:lang w:val="es-MX"/>
        </w:rPr>
        <w:tab/>
        <w:t>Autorización e Historia</w:t>
      </w:r>
    </w:p>
    <w:p w:rsidR="00294534" w:rsidRPr="00294534" w:rsidRDefault="00294534" w:rsidP="00294534">
      <w:pPr>
        <w:pStyle w:val="INCISO"/>
        <w:spacing w:after="0" w:line="240" w:lineRule="auto"/>
        <w:ind w:left="0" w:firstLine="284"/>
        <w:rPr>
          <w:rFonts w:ascii="Soberana Sans" w:hAnsi="Soberana Sans"/>
          <w:sz w:val="20"/>
          <w:szCs w:val="22"/>
        </w:rPr>
      </w:pPr>
      <w:r w:rsidRPr="00294534">
        <w:rPr>
          <w:rFonts w:ascii="Soberana Sans" w:hAnsi="Soberana Sans"/>
          <w:sz w:val="20"/>
          <w:szCs w:val="22"/>
        </w:rPr>
        <w:t>Régimen Estatal de Protección Social en Salud, fue creado como un Organismo Público Descentralizado mediante decreto N° 140 publicado en el Periódico Oficial del Gobierno del Estado de Tlaxcala el 16 de octubre de 2015 y que a la fecha se encuentra vigente.</w:t>
      </w: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pStyle w:val="Texto"/>
        <w:spacing w:after="0" w:line="240" w:lineRule="auto"/>
        <w:rPr>
          <w:rFonts w:ascii="Soberana Sans" w:hAnsi="Soberana Sans"/>
          <w:sz w:val="22"/>
          <w:szCs w:val="22"/>
          <w:lang w:val="es-MX"/>
        </w:rPr>
      </w:pPr>
      <w:r w:rsidRPr="00294534">
        <w:rPr>
          <w:rFonts w:ascii="Soberana Sans" w:hAnsi="Soberana Sans"/>
          <w:sz w:val="22"/>
          <w:szCs w:val="22"/>
          <w:lang w:val="es-MX"/>
        </w:rPr>
        <w:t>4.</w:t>
      </w:r>
      <w:r w:rsidRPr="00294534">
        <w:rPr>
          <w:rFonts w:ascii="Soberana Sans" w:hAnsi="Soberana Sans"/>
          <w:sz w:val="22"/>
          <w:szCs w:val="22"/>
          <w:lang w:val="es-MX"/>
        </w:rPr>
        <w:tab/>
        <w:t>Organización y Objeto Social</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Se informará sobre:</w:t>
      </w:r>
    </w:p>
    <w:p w:rsidR="00294534" w:rsidRPr="00294534" w:rsidRDefault="00294534" w:rsidP="00294534">
      <w:pPr>
        <w:pStyle w:val="INCISO"/>
        <w:spacing w:after="0" w:line="240" w:lineRule="auto"/>
        <w:rPr>
          <w:rFonts w:ascii="Soberana Sans" w:hAnsi="Soberana Sans"/>
          <w:color w:val="000000" w:themeColor="text1"/>
          <w:sz w:val="20"/>
          <w:szCs w:val="22"/>
        </w:rPr>
      </w:pPr>
      <w:r w:rsidRPr="00294534">
        <w:rPr>
          <w:rFonts w:ascii="Soberana Sans" w:hAnsi="Soberana Sans"/>
          <w:color w:val="000000" w:themeColor="text1"/>
          <w:sz w:val="20"/>
          <w:szCs w:val="22"/>
        </w:rPr>
        <w:t>a)</w:t>
      </w:r>
      <w:r w:rsidRPr="00294534">
        <w:rPr>
          <w:rFonts w:ascii="Soberana Sans" w:hAnsi="Soberana Sans"/>
          <w:color w:val="000000" w:themeColor="text1"/>
          <w:sz w:val="20"/>
          <w:szCs w:val="22"/>
        </w:rPr>
        <w:tab/>
        <w:t>Encargado de garantizar las acciones de protección social en salud mediante el financiamiento y la coordinación eficiente, oportuna y sistemática de la provisión de los servicios de salud a la persona en el sistema.</w:t>
      </w:r>
    </w:p>
    <w:p w:rsidR="00294534" w:rsidRPr="00294534" w:rsidRDefault="00294534" w:rsidP="00294534">
      <w:pPr>
        <w:pStyle w:val="INCISO"/>
        <w:spacing w:after="0" w:line="240" w:lineRule="auto"/>
        <w:rPr>
          <w:rFonts w:ascii="Soberana Sans" w:hAnsi="Soberana Sans"/>
          <w:color w:val="000000" w:themeColor="text1"/>
          <w:sz w:val="20"/>
          <w:szCs w:val="22"/>
        </w:rPr>
      </w:pPr>
    </w:p>
    <w:p w:rsidR="00294534" w:rsidRPr="00294534" w:rsidRDefault="00294534" w:rsidP="00294534">
      <w:pPr>
        <w:pStyle w:val="INCISO"/>
        <w:spacing w:after="0" w:line="240" w:lineRule="auto"/>
        <w:rPr>
          <w:rFonts w:ascii="Soberana Sans" w:hAnsi="Soberana Sans"/>
          <w:color w:val="000000" w:themeColor="text1"/>
          <w:sz w:val="20"/>
          <w:szCs w:val="22"/>
        </w:rPr>
      </w:pPr>
    </w:p>
    <w:p w:rsidR="00294534" w:rsidRPr="00294534" w:rsidRDefault="00294534" w:rsidP="00294534">
      <w:pPr>
        <w:pStyle w:val="INCISO"/>
        <w:spacing w:after="0" w:line="240" w:lineRule="auto"/>
        <w:rPr>
          <w:rFonts w:ascii="Soberana Sans" w:hAnsi="Soberana Sans"/>
          <w:color w:val="000000" w:themeColor="text1"/>
          <w:sz w:val="20"/>
          <w:szCs w:val="22"/>
        </w:rPr>
      </w:pPr>
      <w:r w:rsidRPr="00294534">
        <w:rPr>
          <w:rFonts w:ascii="Soberana Sans" w:hAnsi="Soberana Sans"/>
          <w:color w:val="000000" w:themeColor="text1"/>
          <w:sz w:val="20"/>
          <w:szCs w:val="22"/>
        </w:rPr>
        <w:t>b)</w:t>
      </w:r>
      <w:r w:rsidRPr="00294534">
        <w:rPr>
          <w:rFonts w:ascii="Soberana Sans" w:hAnsi="Soberana Sans"/>
          <w:color w:val="000000" w:themeColor="text1"/>
          <w:sz w:val="20"/>
          <w:szCs w:val="22"/>
        </w:rPr>
        <w:tab/>
        <w:t xml:space="preserve">La protección social en salud es un mecanismo por el cual el Estado garantizará el acceso efectivo, oportuno, de calidad, sin desembolso al momento de utilización y sin discriminación a los servicios médicos-quirúrgicos, farmacéuticos y hospitalarios que satisfagan de manera integral las  necesidades de salud, mediante la combinación de intervenciones de promociones de la salud ,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de primer nivel de atención, así como de consulta externa y hospitalaria para las especialidades básicas de: medicinas interna, cirugía general, ginecoobstetricia, pediatría y geriatría, en el segundo nivel de atención. </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c)</w:t>
      </w:r>
      <w:r w:rsidRPr="00294534">
        <w:rPr>
          <w:rFonts w:ascii="Soberana Sans" w:hAnsi="Soberana Sans"/>
          <w:sz w:val="20"/>
          <w:szCs w:val="22"/>
        </w:rPr>
        <w:tab/>
        <w:t>El ejercicio fiscal de la presente cuenta pública, comprende del 01 de enero al 31 de marzo de 2016.</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d)</w:t>
      </w:r>
      <w:r w:rsidRPr="00294534">
        <w:rPr>
          <w:rFonts w:ascii="Soberana Sans" w:hAnsi="Soberana Sans"/>
          <w:sz w:val="20"/>
          <w:szCs w:val="22"/>
        </w:rPr>
        <w:tab/>
        <w:t>Régimen Estatal de Protección Social en Salud está constituido como un Organismo Público Descentralizado del Gobierno del Estado de Tlaxcala.</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e)</w:t>
      </w:r>
      <w:r w:rsidRPr="00294534">
        <w:rPr>
          <w:rFonts w:ascii="Soberana Sans" w:hAnsi="Soberana Sans"/>
          <w:sz w:val="20"/>
          <w:szCs w:val="22"/>
        </w:rPr>
        <w:tab/>
        <w:t xml:space="preserve">Consideraciones fiscales del ente: </w:t>
      </w: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pStyle w:val="INCISO"/>
        <w:numPr>
          <w:ilvl w:val="0"/>
          <w:numId w:val="19"/>
        </w:numPr>
        <w:spacing w:after="0" w:line="240" w:lineRule="auto"/>
        <w:rPr>
          <w:rFonts w:ascii="Soberana Sans" w:hAnsi="Soberana Sans"/>
          <w:sz w:val="20"/>
          <w:szCs w:val="22"/>
        </w:rPr>
      </w:pPr>
      <w:r w:rsidRPr="00294534">
        <w:rPr>
          <w:rFonts w:ascii="Soberana Sans" w:hAnsi="Soberana Sans"/>
          <w:sz w:val="20"/>
          <w:szCs w:val="22"/>
        </w:rPr>
        <w:t>Declaración informativa de proveedores.</w:t>
      </w:r>
    </w:p>
    <w:p w:rsidR="00294534" w:rsidRPr="00294534" w:rsidRDefault="00294534" w:rsidP="00294534">
      <w:pPr>
        <w:pStyle w:val="INCISO"/>
        <w:numPr>
          <w:ilvl w:val="0"/>
          <w:numId w:val="19"/>
        </w:numPr>
        <w:spacing w:after="0" w:line="240" w:lineRule="auto"/>
        <w:rPr>
          <w:rFonts w:ascii="Soberana Sans" w:hAnsi="Soberana Sans"/>
          <w:sz w:val="20"/>
          <w:szCs w:val="22"/>
        </w:rPr>
      </w:pPr>
      <w:r w:rsidRPr="00294534">
        <w:rPr>
          <w:rFonts w:ascii="Soberana Sans" w:hAnsi="Soberana Sans"/>
          <w:sz w:val="20"/>
          <w:szCs w:val="22"/>
        </w:rPr>
        <w:t>Entero de retenciones mensuales de ISR por sueldos y salarios.</w:t>
      </w:r>
    </w:p>
    <w:p w:rsidR="00294534" w:rsidRPr="00294534" w:rsidRDefault="00294534" w:rsidP="00294534">
      <w:pPr>
        <w:pStyle w:val="INCISO"/>
        <w:numPr>
          <w:ilvl w:val="0"/>
          <w:numId w:val="19"/>
        </w:numPr>
        <w:spacing w:after="0" w:line="240" w:lineRule="auto"/>
        <w:rPr>
          <w:rFonts w:ascii="Soberana Sans" w:hAnsi="Soberana Sans"/>
          <w:sz w:val="20"/>
          <w:szCs w:val="22"/>
        </w:rPr>
      </w:pPr>
      <w:r w:rsidRPr="00294534">
        <w:rPr>
          <w:rFonts w:ascii="Soberana Sans" w:hAnsi="Soberana Sans"/>
          <w:sz w:val="20"/>
          <w:szCs w:val="22"/>
        </w:rPr>
        <w:t>Declaración anual informativa de los ingresos obtenidos y gastos efectuados del régimen de personas morales con fines no lucrativos.</w:t>
      </w: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spacing w:line="240" w:lineRule="auto"/>
        <w:jc w:val="both"/>
        <w:rPr>
          <w:rFonts w:ascii="Soberana Sans" w:eastAsia="Times New Roman" w:hAnsi="Soberana Sans" w:cs="Arial"/>
          <w:sz w:val="20"/>
          <w:lang w:val="es-ES" w:eastAsia="es-ES"/>
        </w:rPr>
      </w:pPr>
    </w:p>
    <w:p w:rsidR="00294534" w:rsidRPr="00294534" w:rsidRDefault="00294534" w:rsidP="00294534">
      <w:pPr>
        <w:spacing w:line="240" w:lineRule="auto"/>
        <w:jc w:val="both"/>
        <w:rPr>
          <w:rFonts w:ascii="Soberana Sans" w:hAnsi="Soberana Sans" w:cs="Arial"/>
          <w:sz w:val="20"/>
        </w:rPr>
      </w:pPr>
      <w:r w:rsidRPr="00294534">
        <w:rPr>
          <w:rFonts w:ascii="Soberana Sans" w:hAnsi="Soberana Sans" w:cs="Arial"/>
          <w:noProof/>
          <w:sz w:val="20"/>
          <w:lang w:eastAsia="es-MX"/>
        </w:rPr>
        <w:lastRenderedPageBreak/>
        <w:drawing>
          <wp:anchor distT="0" distB="0" distL="114300" distR="114300" simplePos="0" relativeHeight="251670528" behindDoc="1" locked="0" layoutInCell="1" allowOverlap="1" wp14:anchorId="49422A94" wp14:editId="0A685A78">
            <wp:simplePos x="0" y="0"/>
            <wp:positionH relativeFrom="margin">
              <wp:posOffset>-349370</wp:posOffset>
            </wp:positionH>
            <wp:positionV relativeFrom="paragraph">
              <wp:posOffset>168873</wp:posOffset>
            </wp:positionV>
            <wp:extent cx="9385300" cy="5003321"/>
            <wp:effectExtent l="0" t="0" r="6350" b="698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9067" t="11128" r="11520" b="6912"/>
                    <a:stretch/>
                  </pic:blipFill>
                  <pic:spPr bwMode="auto">
                    <a:xfrm>
                      <a:off x="0" y="0"/>
                      <a:ext cx="9385885" cy="5003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4534">
        <w:rPr>
          <w:rFonts w:ascii="Soberana Sans" w:hAnsi="Soberana Sans" w:cs="Arial"/>
          <w:sz w:val="20"/>
        </w:rPr>
        <w:t>f)</w:t>
      </w:r>
      <w:r w:rsidRPr="00294534">
        <w:rPr>
          <w:rFonts w:ascii="Soberana Sans" w:hAnsi="Soberana Sans" w:cs="Arial"/>
          <w:sz w:val="20"/>
        </w:rPr>
        <w:tab/>
        <w:t>Estructura organizacional básica.</w:t>
      </w: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21B14">
      <w:pPr>
        <w:pStyle w:val="INCISO"/>
        <w:spacing w:after="0" w:line="240" w:lineRule="auto"/>
        <w:ind w:left="0" w:firstLine="0"/>
        <w:rPr>
          <w:rFonts w:ascii="Soberana Sans" w:hAnsi="Soberana Sans"/>
          <w:sz w:val="20"/>
          <w:szCs w:val="22"/>
        </w:rPr>
      </w:pPr>
    </w:p>
    <w:p w:rsidR="00294534" w:rsidRPr="00294534" w:rsidRDefault="00294534" w:rsidP="00221B14">
      <w:pPr>
        <w:pStyle w:val="INCISO"/>
        <w:spacing w:after="0" w:line="240" w:lineRule="auto"/>
        <w:rPr>
          <w:rFonts w:ascii="Soberana Sans" w:hAnsi="Soberana Sans"/>
          <w:sz w:val="20"/>
          <w:szCs w:val="22"/>
        </w:rPr>
      </w:pPr>
      <w:r w:rsidRPr="00294534">
        <w:rPr>
          <w:rFonts w:ascii="Soberana Sans" w:hAnsi="Soberana Sans"/>
          <w:sz w:val="20"/>
          <w:szCs w:val="22"/>
        </w:rPr>
        <w:lastRenderedPageBreak/>
        <w:t>g)   Régimen Estatal de Protección Social en Salud no es fideicomitente o fi</w:t>
      </w:r>
      <w:r w:rsidR="00221B14">
        <w:rPr>
          <w:rFonts w:ascii="Soberana Sans" w:hAnsi="Soberana Sans"/>
          <w:sz w:val="20"/>
          <w:szCs w:val="22"/>
        </w:rPr>
        <w:t>duciario, mandatos y análogos.</w:t>
      </w:r>
    </w:p>
    <w:p w:rsidR="00294534" w:rsidRPr="00294534" w:rsidRDefault="00294534" w:rsidP="00294534">
      <w:pPr>
        <w:pStyle w:val="INCISO"/>
        <w:spacing w:after="0" w:line="240" w:lineRule="auto"/>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5.</w:t>
      </w:r>
      <w:r w:rsidRPr="00221B14">
        <w:rPr>
          <w:rFonts w:ascii="Soberana Sans" w:hAnsi="Soberana Sans"/>
          <w:sz w:val="22"/>
          <w:szCs w:val="22"/>
          <w:lang w:val="es-MX"/>
        </w:rPr>
        <w:tab/>
        <w:t>Bases de Preparación de los Estados Financieros</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Se informará sobre:</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a)</w:t>
      </w:r>
      <w:r w:rsidRPr="00294534">
        <w:rPr>
          <w:rFonts w:ascii="Soberana Sans" w:hAnsi="Soberana Sans"/>
          <w:sz w:val="20"/>
          <w:szCs w:val="22"/>
        </w:rPr>
        <w:tab/>
        <w:t>Para la preparación de los presentes Estados Financieros se ha observado la normatividad emitida por el CONAC y las disposiciones legales aplicables.</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b)</w:t>
      </w:r>
      <w:r w:rsidRPr="00294534">
        <w:rPr>
          <w:rFonts w:ascii="Soberana Sans" w:hAnsi="Soberana Sans"/>
          <w:sz w:val="20"/>
          <w:szCs w:val="22"/>
        </w:rPr>
        <w:tab/>
        <w:t>La normatividad aplicada para el reconocimiento, valuación y revelación de los diferentes rubros de la información financiera, así como las bases de medición utilizadas para la elaboración de los estados financieros corresponden a la normatividad emitida por el CONAC.</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c)</w:t>
      </w:r>
      <w:r w:rsidRPr="00294534">
        <w:rPr>
          <w:rFonts w:ascii="Soberana Sans" w:hAnsi="Soberana Sans"/>
          <w:sz w:val="20"/>
          <w:szCs w:val="22"/>
        </w:rPr>
        <w:tab/>
        <w:t xml:space="preserve">Postulados básicos considerados fueron: </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 xml:space="preserve">1.- Sustancia Económica. </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2.- Entes Públicos.</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3.- Existencia Permanente.</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4.- Revelación Suficiente.</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5.- Importancia Relativa.</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6.- Registro e Integración Presupuestaria.</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7.- Consolidación de la Información Financiera.</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8.- Devengo Contable.</w:t>
      </w:r>
    </w:p>
    <w:p w:rsidR="00294534" w:rsidRPr="00294534" w:rsidRDefault="00294534" w:rsidP="00294534">
      <w:pPr>
        <w:pStyle w:val="INCISO"/>
        <w:tabs>
          <w:tab w:val="left" w:pos="3450"/>
        </w:tabs>
        <w:spacing w:after="0" w:line="240" w:lineRule="auto"/>
        <w:ind w:firstLine="54"/>
        <w:rPr>
          <w:rFonts w:ascii="Soberana Sans" w:hAnsi="Soberana Sans"/>
          <w:sz w:val="20"/>
          <w:szCs w:val="22"/>
        </w:rPr>
      </w:pPr>
      <w:r w:rsidRPr="00294534">
        <w:rPr>
          <w:rFonts w:ascii="Soberana Sans" w:hAnsi="Soberana Sans"/>
          <w:sz w:val="20"/>
          <w:szCs w:val="22"/>
        </w:rPr>
        <w:t xml:space="preserve">9.- Valuación. </w:t>
      </w:r>
      <w:r w:rsidRPr="00294534">
        <w:rPr>
          <w:rFonts w:ascii="Soberana Sans" w:hAnsi="Soberana Sans"/>
          <w:sz w:val="20"/>
          <w:szCs w:val="22"/>
        </w:rPr>
        <w:tab/>
      </w:r>
    </w:p>
    <w:p w:rsidR="00294534" w:rsidRPr="00294534" w:rsidRDefault="00294534" w:rsidP="00294534">
      <w:pPr>
        <w:pStyle w:val="INCISO"/>
        <w:tabs>
          <w:tab w:val="left" w:pos="3450"/>
        </w:tabs>
        <w:spacing w:after="0" w:line="240" w:lineRule="auto"/>
        <w:ind w:firstLine="54"/>
        <w:rPr>
          <w:rFonts w:ascii="Soberana Sans" w:hAnsi="Soberana Sans"/>
          <w:sz w:val="20"/>
          <w:szCs w:val="22"/>
        </w:rPr>
      </w:pPr>
      <w:r w:rsidRPr="00294534">
        <w:rPr>
          <w:rFonts w:ascii="Soberana Sans" w:hAnsi="Soberana Sans"/>
          <w:sz w:val="20"/>
          <w:szCs w:val="22"/>
        </w:rPr>
        <w:t>10.- Dualidad Económica.</w:t>
      </w:r>
    </w:p>
    <w:p w:rsidR="00294534" w:rsidRPr="00294534" w:rsidRDefault="00294534" w:rsidP="00294534">
      <w:pPr>
        <w:pStyle w:val="INCISO"/>
        <w:spacing w:after="0" w:line="240" w:lineRule="auto"/>
        <w:ind w:firstLine="54"/>
        <w:rPr>
          <w:rFonts w:ascii="Soberana Sans" w:hAnsi="Soberana Sans"/>
          <w:sz w:val="20"/>
          <w:szCs w:val="22"/>
        </w:rPr>
      </w:pPr>
      <w:r w:rsidRPr="00294534">
        <w:rPr>
          <w:rFonts w:ascii="Soberana Sans" w:hAnsi="Soberana Sans"/>
          <w:sz w:val="20"/>
          <w:szCs w:val="22"/>
        </w:rPr>
        <w:t>11.- Consistencia.</w:t>
      </w:r>
    </w:p>
    <w:p w:rsidR="00294534" w:rsidRPr="00294534" w:rsidRDefault="00294534" w:rsidP="00294534">
      <w:pPr>
        <w:pStyle w:val="INCISO"/>
        <w:spacing w:after="0" w:line="240" w:lineRule="auto"/>
        <w:rPr>
          <w:rFonts w:ascii="Soberana Sans" w:hAnsi="Soberana Sans"/>
          <w:sz w:val="20"/>
          <w:szCs w:val="22"/>
        </w:rPr>
      </w:pP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d)</w:t>
      </w:r>
      <w:r w:rsidRPr="00294534">
        <w:rPr>
          <w:rFonts w:ascii="Soberana Sans" w:hAnsi="Soberana Sans"/>
          <w:sz w:val="20"/>
          <w:szCs w:val="22"/>
        </w:rPr>
        <w:tab/>
        <w:t>Para la preparación de los Estados Financieros no se ocupó normatividad supletoria.</w:t>
      </w:r>
    </w:p>
    <w:p w:rsidR="00294534" w:rsidRPr="00294534" w:rsidRDefault="00294534" w:rsidP="00294534">
      <w:pPr>
        <w:pStyle w:val="INCISO"/>
        <w:spacing w:after="0" w:line="240" w:lineRule="auto"/>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6.</w:t>
      </w:r>
      <w:r w:rsidRPr="00221B14">
        <w:rPr>
          <w:rFonts w:ascii="Soberana Sans" w:hAnsi="Soberana Sans"/>
          <w:sz w:val="22"/>
          <w:szCs w:val="22"/>
          <w:lang w:val="es-MX"/>
        </w:rPr>
        <w:tab/>
        <w:t>Políticas de Contabilidad Significativas</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Se informará sobre:</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a)</w:t>
      </w:r>
      <w:r w:rsidRPr="00294534">
        <w:rPr>
          <w:rFonts w:ascii="Soberana Sans" w:hAnsi="Soberana Sans"/>
          <w:sz w:val="20"/>
          <w:szCs w:val="22"/>
        </w:rPr>
        <w:tab/>
        <w:t>Durante el trimestre no se cuenta con activos de ningún tipo.</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b)</w:t>
      </w:r>
      <w:r w:rsidRPr="00294534">
        <w:rPr>
          <w:rFonts w:ascii="Soberana Sans" w:hAnsi="Soberana Sans"/>
          <w:sz w:val="20"/>
          <w:szCs w:val="22"/>
        </w:rPr>
        <w:tab/>
        <w:t>No se realizaron operaciones en el extranjero.</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c)</w:t>
      </w:r>
      <w:r w:rsidRPr="00294534">
        <w:rPr>
          <w:rFonts w:ascii="Soberana Sans" w:hAnsi="Soberana Sans"/>
          <w:sz w:val="20"/>
          <w:szCs w:val="22"/>
        </w:rPr>
        <w:tab/>
        <w:t>No se realiza inversión en el sector paraestatal.</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d)</w:t>
      </w:r>
      <w:r w:rsidRPr="00294534">
        <w:rPr>
          <w:rFonts w:ascii="Soberana Sans" w:hAnsi="Soberana Sans"/>
          <w:sz w:val="20"/>
          <w:szCs w:val="22"/>
        </w:rPr>
        <w:tab/>
        <w:t>No se cuenta con ningún método de evaluación de inventarios.</w:t>
      </w:r>
    </w:p>
    <w:p w:rsidR="00294534" w:rsidRPr="00294534" w:rsidRDefault="00294534" w:rsidP="00294534">
      <w:pPr>
        <w:pStyle w:val="INCISO"/>
        <w:spacing w:after="0" w:line="240" w:lineRule="auto"/>
        <w:rPr>
          <w:rFonts w:ascii="Soberana Sans" w:hAnsi="Soberana Sans"/>
          <w:color w:val="FF0000"/>
          <w:sz w:val="20"/>
          <w:szCs w:val="22"/>
        </w:rPr>
      </w:pPr>
      <w:r w:rsidRPr="00294534">
        <w:rPr>
          <w:rFonts w:ascii="Soberana Sans" w:hAnsi="Soberana Sans"/>
          <w:sz w:val="20"/>
          <w:szCs w:val="22"/>
        </w:rPr>
        <w:t>e)</w:t>
      </w:r>
      <w:r w:rsidRPr="00294534">
        <w:rPr>
          <w:rFonts w:ascii="Soberana Sans" w:hAnsi="Soberana Sans"/>
          <w:sz w:val="20"/>
          <w:szCs w:val="22"/>
        </w:rPr>
        <w:tab/>
        <w:t>No aplica</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f)</w:t>
      </w:r>
      <w:r w:rsidRPr="00294534">
        <w:rPr>
          <w:rFonts w:ascii="Soberana Sans" w:hAnsi="Soberana Sans"/>
          <w:sz w:val="20"/>
          <w:szCs w:val="22"/>
        </w:rPr>
        <w:tab/>
        <w:t>No se calcularon provisiones durante el trimestre.</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g)</w:t>
      </w:r>
      <w:r w:rsidRPr="00294534">
        <w:rPr>
          <w:rFonts w:ascii="Soberana Sans" w:hAnsi="Soberana Sans"/>
          <w:sz w:val="20"/>
          <w:szCs w:val="22"/>
        </w:rPr>
        <w:tab/>
        <w:t>No se determinaron reservas durante el trimestre.</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h)</w:t>
      </w:r>
      <w:r w:rsidRPr="00294534">
        <w:rPr>
          <w:rFonts w:ascii="Soberana Sans" w:hAnsi="Soberana Sans"/>
          <w:sz w:val="20"/>
          <w:szCs w:val="22"/>
        </w:rPr>
        <w:tab/>
        <w:t>Apegado a las políticas contables corresponden a los establecidos en la Normatividad emitida por la CONAC.</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i)</w:t>
      </w:r>
      <w:r w:rsidRPr="00294534">
        <w:rPr>
          <w:rFonts w:ascii="Soberana Sans" w:hAnsi="Soberana Sans"/>
          <w:sz w:val="20"/>
          <w:szCs w:val="22"/>
        </w:rPr>
        <w:tab/>
        <w:t>No se efectuaron reclasificaciones por cambios de operaciones del trimestre.</w:t>
      </w:r>
    </w:p>
    <w:p w:rsid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j)</w:t>
      </w:r>
      <w:r w:rsidRPr="00294534">
        <w:rPr>
          <w:rFonts w:ascii="Soberana Sans" w:hAnsi="Soberana Sans"/>
          <w:sz w:val="20"/>
          <w:szCs w:val="22"/>
        </w:rPr>
        <w:tab/>
        <w:t>No se efectuaron depuración ni cancelación de saldos en el trimestre.</w:t>
      </w:r>
    </w:p>
    <w:p w:rsidR="00594EE7" w:rsidRPr="00294534" w:rsidRDefault="00594EE7" w:rsidP="00294534">
      <w:pPr>
        <w:pStyle w:val="INCISO"/>
        <w:spacing w:after="0" w:line="240" w:lineRule="auto"/>
        <w:rPr>
          <w:rFonts w:ascii="Soberana Sans" w:hAnsi="Soberana Sans"/>
          <w:sz w:val="20"/>
          <w:szCs w:val="22"/>
        </w:rPr>
      </w:pPr>
    </w:p>
    <w:p w:rsidR="00294534" w:rsidRPr="00294534" w:rsidRDefault="00294534" w:rsidP="00294534">
      <w:pPr>
        <w:pStyle w:val="INCISO"/>
        <w:spacing w:after="0" w:line="240" w:lineRule="auto"/>
        <w:ind w:left="0" w:firstLine="0"/>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7.</w:t>
      </w:r>
      <w:r w:rsidRPr="00221B14">
        <w:rPr>
          <w:rFonts w:ascii="Soberana Sans" w:hAnsi="Soberana Sans"/>
          <w:sz w:val="22"/>
          <w:szCs w:val="22"/>
          <w:lang w:val="es-MX"/>
        </w:rPr>
        <w:tab/>
        <w:t>Posición en Moneda Extranjera y Protección por Riesgo Cambiario</w:t>
      </w:r>
    </w:p>
    <w:p w:rsidR="00294534" w:rsidRPr="00294534" w:rsidRDefault="00294534" w:rsidP="00294534">
      <w:pPr>
        <w:pStyle w:val="Texto"/>
        <w:spacing w:after="0" w:line="240" w:lineRule="auto"/>
        <w:rPr>
          <w:rFonts w:ascii="Soberana Sans" w:hAnsi="Soberana Sans"/>
          <w:b/>
          <w:sz w:val="20"/>
          <w:szCs w:val="22"/>
          <w:lang w:val="es-MX"/>
        </w:rPr>
      </w:pPr>
    </w:p>
    <w:p w:rsidR="00294534" w:rsidRPr="00294534" w:rsidRDefault="00294534" w:rsidP="00294534">
      <w:pPr>
        <w:pStyle w:val="Texto"/>
        <w:spacing w:after="0" w:line="240" w:lineRule="auto"/>
        <w:rPr>
          <w:rFonts w:ascii="Soberana Sans" w:hAnsi="Soberana Sans"/>
          <w:b/>
          <w:sz w:val="20"/>
          <w:szCs w:val="22"/>
          <w:lang w:val="es-MX"/>
        </w:rPr>
      </w:pPr>
      <w:r w:rsidRPr="00294534">
        <w:rPr>
          <w:rFonts w:ascii="Soberana Sans" w:hAnsi="Soberana Sans"/>
          <w:sz w:val="20"/>
          <w:szCs w:val="22"/>
        </w:rPr>
        <w:t>OPD Régimen Estatal de Protección Social en Salud, no cuenta con activos o pasivos en moneda extranjera.</w:t>
      </w:r>
    </w:p>
    <w:p w:rsidR="00294534" w:rsidRPr="00221B14" w:rsidRDefault="00294534" w:rsidP="00294534">
      <w:pPr>
        <w:pStyle w:val="Texto"/>
        <w:spacing w:after="0" w:line="240" w:lineRule="auto"/>
        <w:rPr>
          <w:rFonts w:ascii="Soberana Sans" w:hAnsi="Soberana Sans"/>
          <w:sz w:val="22"/>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8. Reporte Analítico del Activo</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Debe mostrar la siguiente información:</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a)</w:t>
      </w:r>
      <w:r w:rsidRPr="00294534">
        <w:rPr>
          <w:rFonts w:ascii="Soberana Sans" w:hAnsi="Soberana Sans"/>
          <w:sz w:val="20"/>
          <w:szCs w:val="22"/>
        </w:rPr>
        <w:tab/>
        <w:t>Durante el trimestre no se registraron activos, por lo que no se realizaron depreciaciones.</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b)</w:t>
      </w:r>
      <w:r w:rsidRPr="00294534">
        <w:rPr>
          <w:rFonts w:ascii="Soberana Sans" w:hAnsi="Soberana Sans"/>
          <w:sz w:val="20"/>
          <w:szCs w:val="22"/>
        </w:rPr>
        <w:tab/>
        <w:t>No se realizaron cambios en el porcentaje de depreciación o valor residual de los activos como lo explica el inciso a).</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c)</w:t>
      </w:r>
      <w:r w:rsidRPr="00294534">
        <w:rPr>
          <w:rFonts w:ascii="Soberana Sans" w:hAnsi="Soberana Sans"/>
          <w:sz w:val="20"/>
          <w:szCs w:val="22"/>
        </w:rPr>
        <w:tab/>
        <w:t xml:space="preserve">No existieron importe de gastos capitalizados en el ejercicio, tanto financieros como de investigación y desarrollo. </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d)</w:t>
      </w:r>
      <w:r w:rsidRPr="00294534">
        <w:rPr>
          <w:rFonts w:ascii="Soberana Sans" w:hAnsi="Soberana Sans"/>
          <w:sz w:val="20"/>
          <w:szCs w:val="22"/>
        </w:rPr>
        <w:tab/>
        <w:t>No se tuvieron riegos por tipo de cambio o tipo de interés de las inversiones financieras.</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e)</w:t>
      </w:r>
      <w:r w:rsidRPr="00294534">
        <w:rPr>
          <w:rFonts w:ascii="Soberana Sans" w:hAnsi="Soberana Sans"/>
          <w:sz w:val="20"/>
          <w:szCs w:val="22"/>
        </w:rPr>
        <w:tab/>
        <w:t>No se cuenta con Inmuebles por el momento.</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f)</w:t>
      </w:r>
      <w:r w:rsidRPr="00294534">
        <w:rPr>
          <w:rFonts w:ascii="Soberana Sans" w:hAnsi="Soberana Sans"/>
          <w:sz w:val="20"/>
          <w:szCs w:val="22"/>
        </w:rPr>
        <w:tab/>
        <w:t>No se cuentan con activos registrados en el trimestre.</w:t>
      </w:r>
    </w:p>
    <w:p w:rsidR="00294534" w:rsidRPr="00294534" w:rsidRDefault="00294534" w:rsidP="00294534">
      <w:pPr>
        <w:pStyle w:val="INCISO"/>
        <w:spacing w:after="0" w:line="240" w:lineRule="auto"/>
        <w:ind w:left="0" w:firstLine="0"/>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0"/>
          <w:szCs w:val="22"/>
          <w:lang w:val="es-MX"/>
        </w:rPr>
      </w:pPr>
      <w:r w:rsidRPr="00221B14">
        <w:rPr>
          <w:rFonts w:ascii="Soberana Sans" w:hAnsi="Soberana Sans"/>
          <w:sz w:val="22"/>
          <w:szCs w:val="22"/>
          <w:lang w:val="es-MX"/>
        </w:rPr>
        <w:t>9.</w:t>
      </w:r>
      <w:r w:rsidRPr="00221B14">
        <w:rPr>
          <w:rFonts w:ascii="Soberana Sans" w:hAnsi="Soberana Sans"/>
          <w:sz w:val="22"/>
          <w:szCs w:val="22"/>
          <w:lang w:val="es-MX"/>
        </w:rPr>
        <w:tab/>
        <w:t>Fideicomisos, Mandatos y Análogos</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No se tiene fideicomisos perten</w:t>
      </w:r>
      <w:r w:rsidR="00221B14">
        <w:rPr>
          <w:rFonts w:ascii="Soberana Sans" w:hAnsi="Soberana Sans"/>
          <w:sz w:val="20"/>
          <w:szCs w:val="22"/>
        </w:rPr>
        <w:t>ecientes a OPD Régimen Estatal en</w:t>
      </w:r>
      <w:r w:rsidRPr="00294534">
        <w:rPr>
          <w:rFonts w:ascii="Soberana Sans" w:hAnsi="Soberana Sans"/>
          <w:sz w:val="20"/>
          <w:szCs w:val="22"/>
        </w:rPr>
        <w:t xml:space="preserve"> Protección social en Salud.</w:t>
      </w:r>
    </w:p>
    <w:p w:rsidR="00294534" w:rsidRPr="00294534" w:rsidRDefault="00294534" w:rsidP="00294534">
      <w:pPr>
        <w:pStyle w:val="INCISO"/>
        <w:spacing w:after="0" w:line="240" w:lineRule="auto"/>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10.</w:t>
      </w:r>
      <w:r w:rsidRPr="00221B14">
        <w:rPr>
          <w:rFonts w:ascii="Soberana Sans" w:hAnsi="Soberana Sans"/>
          <w:sz w:val="22"/>
          <w:szCs w:val="22"/>
          <w:lang w:val="es-MX"/>
        </w:rPr>
        <w:tab/>
        <w:t>Reporte de la Recaudación</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No se cuenta con ingresos propios.</w:t>
      </w:r>
    </w:p>
    <w:p w:rsidR="00294534" w:rsidRPr="00294534" w:rsidRDefault="00294534" w:rsidP="00294534">
      <w:pPr>
        <w:pStyle w:val="INCISO"/>
        <w:spacing w:after="0" w:line="240" w:lineRule="auto"/>
        <w:ind w:left="0" w:firstLine="0"/>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0"/>
          <w:szCs w:val="22"/>
          <w:lang w:val="es-MX"/>
        </w:rPr>
      </w:pPr>
      <w:r w:rsidRPr="00221B14">
        <w:rPr>
          <w:rFonts w:ascii="Soberana Sans" w:hAnsi="Soberana Sans"/>
          <w:sz w:val="22"/>
          <w:szCs w:val="22"/>
          <w:lang w:val="es-MX"/>
        </w:rPr>
        <w:t>11.</w:t>
      </w:r>
      <w:r w:rsidRPr="00221B14">
        <w:rPr>
          <w:rFonts w:ascii="Soberana Sans" w:hAnsi="Soberana Sans"/>
          <w:sz w:val="22"/>
          <w:szCs w:val="22"/>
          <w:lang w:val="es-MX"/>
        </w:rPr>
        <w:tab/>
        <w:t>Información sobre la Deuda y el Reporte Analítico de la Deuda</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 xml:space="preserve">       OPD Régimen Estatal de Protección social en Salud, no tiene deuda pública contratada.</w:t>
      </w:r>
    </w:p>
    <w:p w:rsidR="00294534" w:rsidRPr="00294534" w:rsidRDefault="00294534" w:rsidP="00294534">
      <w:pPr>
        <w:pStyle w:val="Texto"/>
        <w:spacing w:after="0" w:line="240" w:lineRule="auto"/>
        <w:rPr>
          <w:rFonts w:ascii="Soberana Sans" w:hAnsi="Soberana Sans"/>
          <w:b/>
          <w:sz w:val="20"/>
          <w:szCs w:val="22"/>
          <w:lang w:val="es-MX"/>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12. Calificaciones otorgadas</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 xml:space="preserve">      No se tiene ninguna calificación crediticia.</w:t>
      </w:r>
    </w:p>
    <w:p w:rsidR="00294534" w:rsidRPr="00294534" w:rsidRDefault="00294534" w:rsidP="00294534">
      <w:pPr>
        <w:pStyle w:val="Texto"/>
        <w:spacing w:after="0" w:line="240" w:lineRule="auto"/>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13.</w:t>
      </w:r>
      <w:r w:rsidRPr="00221B14">
        <w:rPr>
          <w:rFonts w:ascii="Soberana Sans" w:hAnsi="Soberana Sans"/>
          <w:sz w:val="22"/>
          <w:szCs w:val="22"/>
          <w:lang w:val="es-MX"/>
        </w:rPr>
        <w:tab/>
        <w:t>Proceso de Mejora</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Se informará de:</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a)</w:t>
      </w:r>
      <w:r w:rsidRPr="00294534">
        <w:rPr>
          <w:rFonts w:ascii="Soberana Sans" w:hAnsi="Soberana Sans"/>
          <w:sz w:val="20"/>
          <w:szCs w:val="22"/>
        </w:rPr>
        <w:tab/>
        <w:t>Principales Políticas de control interno</w:t>
      </w:r>
    </w:p>
    <w:p w:rsidR="00294534" w:rsidRPr="00294534" w:rsidRDefault="00294534" w:rsidP="00294534">
      <w:pPr>
        <w:pStyle w:val="INCISO"/>
        <w:spacing w:after="0" w:line="240" w:lineRule="auto"/>
        <w:rPr>
          <w:rFonts w:ascii="Soberana Sans" w:hAnsi="Soberana Sans"/>
          <w:sz w:val="20"/>
          <w:szCs w:val="22"/>
        </w:rPr>
      </w:pPr>
      <w:r w:rsidRPr="00294534">
        <w:rPr>
          <w:rFonts w:ascii="Soberana Sans" w:hAnsi="Soberana Sans"/>
          <w:sz w:val="20"/>
          <w:szCs w:val="22"/>
        </w:rPr>
        <w:t>b)</w:t>
      </w:r>
      <w:r w:rsidRPr="00294534">
        <w:rPr>
          <w:rFonts w:ascii="Soberana Sans" w:hAnsi="Soberana Sans"/>
          <w:sz w:val="20"/>
          <w:szCs w:val="22"/>
        </w:rPr>
        <w:tab/>
        <w:t>Medidas de desempeño financiero, metas y alcance.</w:t>
      </w:r>
    </w:p>
    <w:p w:rsidR="00294534" w:rsidRPr="00294534" w:rsidRDefault="00294534" w:rsidP="00294534">
      <w:pPr>
        <w:pStyle w:val="INCISO"/>
        <w:spacing w:after="0" w:line="240" w:lineRule="auto"/>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14.</w:t>
      </w:r>
      <w:r w:rsidRPr="00221B14">
        <w:rPr>
          <w:rFonts w:ascii="Soberana Sans" w:hAnsi="Soberana Sans"/>
          <w:sz w:val="22"/>
          <w:szCs w:val="22"/>
          <w:lang w:val="es-MX"/>
        </w:rPr>
        <w:tab/>
        <w:t>Información por Segmentos</w:t>
      </w:r>
    </w:p>
    <w:p w:rsidR="00294534" w:rsidRDefault="00294534" w:rsidP="00294534">
      <w:pPr>
        <w:pStyle w:val="Texto"/>
        <w:spacing w:after="0" w:line="240" w:lineRule="auto"/>
        <w:rPr>
          <w:rFonts w:ascii="Soberana Sans" w:hAnsi="Soberana Sans"/>
          <w:sz w:val="20"/>
          <w:szCs w:val="22"/>
          <w:lang w:val="es-MX"/>
        </w:rPr>
      </w:pPr>
      <w:r w:rsidRPr="00294534">
        <w:rPr>
          <w:rFonts w:ascii="Soberana Sans" w:hAnsi="Soberana Sans"/>
          <w:sz w:val="20"/>
          <w:szCs w:val="22"/>
          <w:lang w:val="es-MX"/>
        </w:rPr>
        <w:t xml:space="preserve">        No aplica.</w:t>
      </w:r>
    </w:p>
    <w:p w:rsidR="00594EE7" w:rsidRPr="00294534" w:rsidRDefault="00594EE7" w:rsidP="00294534">
      <w:pPr>
        <w:pStyle w:val="Texto"/>
        <w:spacing w:after="0" w:line="240" w:lineRule="auto"/>
        <w:rPr>
          <w:rFonts w:ascii="Soberana Sans" w:hAnsi="Soberana Sans"/>
          <w:sz w:val="20"/>
          <w:szCs w:val="22"/>
          <w:lang w:val="es-MX"/>
        </w:rPr>
      </w:pPr>
      <w:bookmarkStart w:id="7" w:name="_GoBack"/>
      <w:bookmarkEnd w:id="7"/>
    </w:p>
    <w:p w:rsidR="00294534" w:rsidRPr="00294534" w:rsidRDefault="00294534" w:rsidP="00294534">
      <w:pPr>
        <w:pStyle w:val="Texto"/>
        <w:spacing w:after="0" w:line="240" w:lineRule="auto"/>
        <w:rPr>
          <w:rFonts w:ascii="Soberana Sans" w:hAnsi="Soberana Sans"/>
          <w:sz w:val="20"/>
          <w:szCs w:val="22"/>
          <w:lang w:val="es-MX"/>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lastRenderedPageBreak/>
        <w:t>15.</w:t>
      </w:r>
      <w:r w:rsidRPr="00221B14">
        <w:rPr>
          <w:rFonts w:ascii="Soberana Sans" w:hAnsi="Soberana Sans"/>
          <w:sz w:val="22"/>
          <w:szCs w:val="22"/>
          <w:lang w:val="es-MX"/>
        </w:rPr>
        <w:tab/>
        <w:t>Eventos Posteriores al Cierre</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294534" w:rsidRPr="00294534" w:rsidRDefault="00294534" w:rsidP="00294534">
      <w:pPr>
        <w:pStyle w:val="Texto"/>
        <w:spacing w:after="0" w:line="240" w:lineRule="auto"/>
        <w:ind w:firstLine="0"/>
        <w:rPr>
          <w:rFonts w:ascii="Soberana Sans" w:hAnsi="Soberana Sans"/>
          <w:sz w:val="20"/>
          <w:szCs w:val="22"/>
        </w:rPr>
      </w:pPr>
    </w:p>
    <w:p w:rsidR="00294534" w:rsidRPr="00221B14" w:rsidRDefault="00294534" w:rsidP="00294534">
      <w:pPr>
        <w:pStyle w:val="Texto"/>
        <w:spacing w:after="0" w:line="240" w:lineRule="auto"/>
        <w:rPr>
          <w:rFonts w:ascii="Soberana Sans" w:hAnsi="Soberana Sans"/>
          <w:sz w:val="22"/>
          <w:szCs w:val="22"/>
          <w:lang w:val="es-MX"/>
        </w:rPr>
      </w:pPr>
      <w:r w:rsidRPr="00221B14">
        <w:rPr>
          <w:rFonts w:ascii="Soberana Sans" w:hAnsi="Soberana Sans"/>
          <w:sz w:val="22"/>
          <w:szCs w:val="22"/>
          <w:lang w:val="es-MX"/>
        </w:rPr>
        <w:t>16.</w:t>
      </w:r>
      <w:r w:rsidRPr="00221B14">
        <w:rPr>
          <w:rFonts w:ascii="Soberana Sans" w:hAnsi="Soberana Sans"/>
          <w:sz w:val="22"/>
          <w:szCs w:val="22"/>
          <w:lang w:val="es-MX"/>
        </w:rPr>
        <w:tab/>
        <w:t>Partes Relacionadas</w:t>
      </w:r>
    </w:p>
    <w:p w:rsidR="00294534" w:rsidRPr="00294534" w:rsidRDefault="00294534" w:rsidP="00294534">
      <w:pPr>
        <w:pStyle w:val="Texto"/>
        <w:spacing w:after="0" w:line="240" w:lineRule="auto"/>
        <w:rPr>
          <w:rFonts w:ascii="Soberana Sans" w:hAnsi="Soberana Sans"/>
          <w:sz w:val="20"/>
          <w:szCs w:val="22"/>
        </w:rPr>
      </w:pPr>
      <w:r w:rsidRPr="00294534">
        <w:rPr>
          <w:rFonts w:ascii="Soberana Sans" w:hAnsi="Soberana Sans"/>
          <w:sz w:val="20"/>
          <w:szCs w:val="22"/>
        </w:rPr>
        <w:t>No se tienen partes relacionadas que pudieran ejercer influencia significativa sobre la toma de decisiones financieras y operativas.</w:t>
      </w:r>
    </w:p>
    <w:p w:rsidR="00294534" w:rsidRPr="00221B14" w:rsidRDefault="00294534" w:rsidP="00294534">
      <w:pPr>
        <w:pStyle w:val="Texto"/>
        <w:spacing w:after="0" w:line="240" w:lineRule="auto"/>
        <w:rPr>
          <w:rFonts w:ascii="Soberana Sans" w:hAnsi="Soberana Sans"/>
          <w:sz w:val="22"/>
          <w:szCs w:val="22"/>
        </w:rPr>
      </w:pPr>
    </w:p>
    <w:p w:rsidR="00294534" w:rsidRPr="00221B14" w:rsidRDefault="00294534" w:rsidP="00294534">
      <w:pPr>
        <w:pStyle w:val="Texto"/>
        <w:spacing w:after="0" w:line="240" w:lineRule="auto"/>
        <w:ind w:firstLine="289"/>
        <w:rPr>
          <w:rFonts w:ascii="Soberana Sans" w:hAnsi="Soberana Sans"/>
          <w:sz w:val="22"/>
          <w:szCs w:val="22"/>
          <w:lang w:val="es-MX"/>
        </w:rPr>
      </w:pPr>
      <w:r w:rsidRPr="00221B14">
        <w:rPr>
          <w:rFonts w:ascii="Soberana Sans" w:hAnsi="Soberana Sans"/>
          <w:sz w:val="22"/>
          <w:szCs w:val="22"/>
          <w:lang w:val="es-MX"/>
        </w:rPr>
        <w:t>17.</w:t>
      </w:r>
      <w:r w:rsidRPr="00221B14">
        <w:rPr>
          <w:rFonts w:ascii="Soberana Sans" w:hAnsi="Soberana Sans"/>
          <w:sz w:val="22"/>
          <w:szCs w:val="22"/>
          <w:lang w:val="es-MX"/>
        </w:rPr>
        <w:tab/>
        <w:t>Responsabilidad Sobre la Presentación Razonable de la Información Contable</w:t>
      </w:r>
    </w:p>
    <w:p w:rsidR="00294534" w:rsidRPr="00294534" w:rsidRDefault="00294534" w:rsidP="00294534">
      <w:pPr>
        <w:pStyle w:val="Texto"/>
        <w:spacing w:line="240" w:lineRule="auto"/>
        <w:rPr>
          <w:rFonts w:ascii="Soberana Sans" w:hAnsi="Soberana Sans"/>
          <w:sz w:val="20"/>
          <w:szCs w:val="22"/>
        </w:rPr>
      </w:pPr>
      <w:r w:rsidRPr="00294534">
        <w:rPr>
          <w:rFonts w:ascii="Soberana Sans" w:hAnsi="Soberana Sans"/>
          <w:sz w:val="20"/>
          <w:szCs w:val="22"/>
        </w:rPr>
        <w:t xml:space="preserve"> Bajo protesta de decir verdad declaramos que los Estados Financieros y sus notas, son razonablemente correctos y son responsabilidad del emisor. </w:t>
      </w: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Default="00221B14" w:rsidP="00221B14">
      <w:pPr>
        <w:pStyle w:val="INCISO"/>
        <w:spacing w:after="0" w:line="240" w:lineRule="exact"/>
        <w:ind w:left="0" w:firstLine="0"/>
        <w:rPr>
          <w:rFonts w:ascii="Soberana Sans Light" w:hAnsi="Soberana Sans Light"/>
          <w:sz w:val="22"/>
          <w:szCs w:val="22"/>
        </w:rPr>
      </w:pPr>
    </w:p>
    <w:p w:rsidR="00221B14" w:rsidRPr="00540418" w:rsidRDefault="00221B14" w:rsidP="00221B14">
      <w:pPr>
        <w:pStyle w:val="INCISO"/>
        <w:spacing w:after="0" w:line="240" w:lineRule="exact"/>
        <w:ind w:left="0" w:firstLine="0"/>
        <w:rPr>
          <w:rFonts w:ascii="Soberana Sans Light" w:hAnsi="Soberana Sans Light"/>
          <w:sz w:val="22"/>
          <w:szCs w:val="22"/>
        </w:rPr>
      </w:pPr>
    </w:p>
    <w:p w:rsidR="00294534" w:rsidRPr="00D13804" w:rsidRDefault="00294534" w:rsidP="00294534">
      <w:pPr>
        <w:pStyle w:val="Texto"/>
        <w:spacing w:after="0" w:line="240" w:lineRule="auto"/>
        <w:rPr>
          <w:rFonts w:ascii="Soberana Sans" w:hAnsi="Soberana Sans"/>
          <w:sz w:val="22"/>
          <w:szCs w:val="22"/>
        </w:rPr>
      </w:pPr>
      <w:r w:rsidRPr="00D13804">
        <w:rPr>
          <w:rFonts w:ascii="Soberana Sans" w:hAnsi="Soberana Sans"/>
          <w:noProof/>
          <w:sz w:val="22"/>
          <w:szCs w:val="22"/>
          <w:lang w:val="es-MX" w:eastAsia="es-MX"/>
        </w:rPr>
        <mc:AlternateContent>
          <mc:Choice Requires="wps">
            <w:drawing>
              <wp:anchor distT="0" distB="0" distL="114300" distR="114300" simplePos="0" relativeHeight="251669504" behindDoc="0" locked="0" layoutInCell="1" allowOverlap="1" wp14:anchorId="7648A882" wp14:editId="5C756EBF">
                <wp:simplePos x="0" y="0"/>
                <wp:positionH relativeFrom="column">
                  <wp:posOffset>4981106</wp:posOffset>
                </wp:positionH>
                <wp:positionV relativeFrom="paragraph">
                  <wp:posOffset>127083</wp:posOffset>
                </wp:positionV>
                <wp:extent cx="3521075" cy="1457011"/>
                <wp:effectExtent l="0" t="0" r="3175" b="0"/>
                <wp:wrapNone/>
                <wp:docPr id="5" name="Cuadro de texto 5"/>
                <wp:cNvGraphicFramePr/>
                <a:graphic xmlns:a="http://schemas.openxmlformats.org/drawingml/2006/main">
                  <a:graphicData uri="http://schemas.microsoft.com/office/word/2010/wordprocessingShape">
                    <wps:wsp>
                      <wps:cNvSpPr txBox="1"/>
                      <wps:spPr>
                        <a:xfrm>
                          <a:off x="0" y="0"/>
                          <a:ext cx="3521075" cy="1457011"/>
                        </a:xfrm>
                        <a:prstGeom prst="rect">
                          <a:avLst/>
                        </a:prstGeom>
                        <a:solidFill>
                          <a:sysClr val="window" lastClr="FFFFFF"/>
                        </a:solidFill>
                        <a:ln w="6350">
                          <a:noFill/>
                        </a:ln>
                        <a:effectLst/>
                      </wps:spPr>
                      <wps:txbx>
                        <w:txbxContent>
                          <w:p w:rsidR="005266BC" w:rsidRDefault="005266BC" w:rsidP="00294534">
                            <w:pPr>
                              <w:jc w:val="center"/>
                            </w:pPr>
                            <w:r w:rsidRPr="00BC4F00">
                              <w:t>C.P. José Guadalupe Gutiérrez Aguilar</w:t>
                            </w:r>
                            <w:r w:rsidRPr="00BC4F00">
                              <w:tab/>
                            </w:r>
                          </w:p>
                          <w:p w:rsidR="005266BC" w:rsidRDefault="005266BC" w:rsidP="00294534">
                            <w:pPr>
                              <w:jc w:val="center"/>
                            </w:pPr>
                          </w:p>
                          <w:p w:rsidR="005266BC" w:rsidRDefault="005266BC" w:rsidP="00294534">
                            <w:pPr>
                              <w:jc w:val="center"/>
                            </w:pPr>
                            <w:r>
                              <w:t xml:space="preserve">Encargado de Administración y Financiamiento </w:t>
                            </w:r>
                            <w:r w:rsidRPr="00D16A04">
                              <w:t>del OPD Régimen Estatal de Protección Social en Salud en Tlaxcala.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8A882" id="_x0000_t202" coordsize="21600,21600" o:spt="202" path="m,l,21600r21600,l21600,xe">
                <v:stroke joinstyle="miter"/>
                <v:path gradientshapeok="t" o:connecttype="rect"/>
              </v:shapetype>
              <v:shape id="Cuadro de texto 5" o:spid="_x0000_s1026" type="#_x0000_t202" style="position:absolute;left:0;text-align:left;margin-left:392.2pt;margin-top:10pt;width:277.25pt;height:11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" fillcolor="window" stroked="f" strokeweight=".5pt">
                <v:textbox>
                  <w:txbxContent>
                    <w:p w:rsidR="005266BC" w:rsidRDefault="005266BC" w:rsidP="00294534">
                      <w:pPr>
                        <w:jc w:val="center"/>
                      </w:pPr>
                      <w:r w:rsidRPr="00BC4F00">
                        <w:t>C.P. José Guadalupe Gutiérrez Aguilar</w:t>
                      </w:r>
                      <w:r w:rsidRPr="00BC4F00">
                        <w:tab/>
                      </w:r>
                    </w:p>
                    <w:p w:rsidR="005266BC" w:rsidRDefault="005266BC" w:rsidP="00294534">
                      <w:pPr>
                        <w:jc w:val="center"/>
                      </w:pPr>
                    </w:p>
                    <w:p w:rsidR="005266BC" w:rsidRDefault="005266BC" w:rsidP="00294534">
                      <w:pPr>
                        <w:jc w:val="center"/>
                      </w:pPr>
                      <w:r>
                        <w:t xml:space="preserve">Encargado de Administración y Financiamiento </w:t>
                      </w:r>
                      <w:r w:rsidRPr="00D16A04">
                        <w:t>del OPD Régimen Estatal de Protección Social en Salud en Tlaxcala.</w:t>
                      </w:r>
                    </w:p>
                  </w:txbxContent>
                </v:textbox>
              </v:shape>
            </w:pict>
          </mc:Fallback>
        </mc:AlternateContent>
      </w:r>
    </w:p>
    <w:p w:rsidR="00294534" w:rsidRPr="00D13804" w:rsidRDefault="00294534" w:rsidP="00294534">
      <w:pPr>
        <w:pStyle w:val="Texto"/>
        <w:spacing w:after="0" w:line="240" w:lineRule="auto"/>
        <w:rPr>
          <w:rFonts w:ascii="Soberana Sans" w:hAnsi="Soberana Sans"/>
          <w:sz w:val="22"/>
          <w:szCs w:val="22"/>
        </w:rPr>
      </w:pPr>
      <w:r w:rsidRPr="00D13804">
        <w:rPr>
          <w:rFonts w:ascii="Soberana Sans" w:hAnsi="Soberana Sans"/>
          <w:noProof/>
          <w:sz w:val="22"/>
          <w:szCs w:val="22"/>
          <w:lang w:val="es-MX" w:eastAsia="es-MX"/>
        </w:rPr>
        <mc:AlternateContent>
          <mc:Choice Requires="wps">
            <w:drawing>
              <wp:anchor distT="0" distB="0" distL="114300" distR="114300" simplePos="0" relativeHeight="251668480" behindDoc="0" locked="0" layoutInCell="1" allowOverlap="1" wp14:anchorId="20268867" wp14:editId="014BAA4B">
                <wp:simplePos x="0" y="0"/>
                <wp:positionH relativeFrom="column">
                  <wp:posOffset>301266</wp:posOffset>
                </wp:positionH>
                <wp:positionV relativeFrom="paragraph">
                  <wp:posOffset>11678</wp:posOffset>
                </wp:positionV>
                <wp:extent cx="3521075" cy="1537398"/>
                <wp:effectExtent l="0" t="0" r="3175" b="5715"/>
                <wp:wrapNone/>
                <wp:docPr id="14" name="Cuadro de texto 14"/>
                <wp:cNvGraphicFramePr/>
                <a:graphic xmlns:a="http://schemas.openxmlformats.org/drawingml/2006/main">
                  <a:graphicData uri="http://schemas.microsoft.com/office/word/2010/wordprocessingShape">
                    <wps:wsp>
                      <wps:cNvSpPr txBox="1"/>
                      <wps:spPr>
                        <a:xfrm>
                          <a:off x="0" y="0"/>
                          <a:ext cx="3521075" cy="1537398"/>
                        </a:xfrm>
                        <a:prstGeom prst="rect">
                          <a:avLst/>
                        </a:prstGeom>
                        <a:solidFill>
                          <a:sysClr val="window" lastClr="FFFFFF"/>
                        </a:solidFill>
                        <a:ln w="6350">
                          <a:noFill/>
                        </a:ln>
                        <a:effectLst/>
                      </wps:spPr>
                      <wps:txbx>
                        <w:txbxContent>
                          <w:p w:rsidR="005266BC" w:rsidRDefault="005266BC" w:rsidP="00294534">
                            <w:pPr>
                              <w:jc w:val="center"/>
                            </w:pPr>
                            <w:r>
                              <w:t>Dr. José Hipólito Sánchez Hernández</w:t>
                            </w:r>
                          </w:p>
                          <w:p w:rsidR="005266BC" w:rsidRDefault="005266BC" w:rsidP="00294534">
                            <w:pPr>
                              <w:jc w:val="center"/>
                            </w:pPr>
                          </w:p>
                          <w:p w:rsidR="005266BC" w:rsidRDefault="005266BC" w:rsidP="00294534">
                            <w:pPr>
                              <w:jc w:val="center"/>
                            </w:pPr>
                            <w:r>
                              <w:t xml:space="preserve">Director General </w:t>
                            </w:r>
                            <w:r w:rsidRPr="00D16A04">
                              <w:t>del OPD Régimen Estatal de Protección Social en Salud en Tlaxcala.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68867" id="Cuadro de texto 14" o:spid="_x0000_s1027" type="#_x0000_t202" style="position:absolute;left:0;text-align:left;margin-left:23.7pt;margin-top:.9pt;width:277.25pt;height:12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" fillcolor="window" stroked="f" strokeweight=".5pt">
                <v:textbox>
                  <w:txbxContent>
                    <w:p w:rsidR="005266BC" w:rsidRDefault="005266BC" w:rsidP="00294534">
                      <w:pPr>
                        <w:jc w:val="center"/>
                      </w:pPr>
                      <w:r>
                        <w:t>Dr. José Hipólito Sánchez Hernández</w:t>
                      </w:r>
                    </w:p>
                    <w:p w:rsidR="005266BC" w:rsidRDefault="005266BC" w:rsidP="00294534">
                      <w:pPr>
                        <w:jc w:val="center"/>
                      </w:pPr>
                    </w:p>
                    <w:p w:rsidR="005266BC" w:rsidRDefault="005266BC" w:rsidP="00294534">
                      <w:pPr>
                        <w:jc w:val="center"/>
                      </w:pPr>
                      <w:r>
                        <w:t xml:space="preserve">Director General </w:t>
                      </w:r>
                      <w:r w:rsidRPr="00D16A04">
                        <w:t>del OPD Régimen Estatal de Protección Social en Salud en Tlaxcala.</w:t>
                      </w:r>
                    </w:p>
                  </w:txbxContent>
                </v:textbox>
              </v:shape>
            </w:pict>
          </mc:Fallback>
        </mc:AlternateContent>
      </w:r>
    </w:p>
    <w:p w:rsidR="00294534" w:rsidRPr="00D13804" w:rsidRDefault="00294534" w:rsidP="00294534">
      <w:pPr>
        <w:pStyle w:val="Texto"/>
        <w:spacing w:after="0" w:line="240" w:lineRule="auto"/>
        <w:rPr>
          <w:rFonts w:ascii="Soberana Sans" w:hAnsi="Soberana Sans"/>
          <w:sz w:val="22"/>
          <w:szCs w:val="22"/>
        </w:rPr>
      </w:pPr>
    </w:p>
    <w:p w:rsidR="00294534" w:rsidRPr="00D13804" w:rsidRDefault="00294534" w:rsidP="00294534">
      <w:pPr>
        <w:pStyle w:val="Texto"/>
        <w:spacing w:after="0" w:line="240" w:lineRule="auto"/>
        <w:rPr>
          <w:rFonts w:ascii="Soberana Sans" w:hAnsi="Soberana Sans"/>
          <w:sz w:val="22"/>
          <w:szCs w:val="22"/>
        </w:rPr>
      </w:pPr>
    </w:p>
    <w:p w:rsidR="00294534" w:rsidRPr="00D13804" w:rsidRDefault="00294534" w:rsidP="00294534">
      <w:pPr>
        <w:pStyle w:val="Texto"/>
        <w:spacing w:after="0" w:line="240" w:lineRule="auto"/>
        <w:rPr>
          <w:rFonts w:ascii="Soberana Sans" w:hAnsi="Soberana Sans"/>
          <w:sz w:val="22"/>
          <w:szCs w:val="22"/>
        </w:rPr>
      </w:pPr>
    </w:p>
    <w:p w:rsidR="00294534" w:rsidRPr="00D13804" w:rsidRDefault="00294534" w:rsidP="00294534">
      <w:pPr>
        <w:pStyle w:val="Texto"/>
        <w:spacing w:after="0" w:line="240" w:lineRule="auto"/>
        <w:rPr>
          <w:rFonts w:ascii="Soberana Sans" w:hAnsi="Soberana Sans"/>
          <w:sz w:val="22"/>
          <w:szCs w:val="22"/>
        </w:rPr>
      </w:pPr>
    </w:p>
    <w:p w:rsidR="00294534" w:rsidRPr="00D13804" w:rsidRDefault="00294534" w:rsidP="00294534">
      <w:pPr>
        <w:pStyle w:val="Texto"/>
        <w:spacing w:after="0" w:line="240" w:lineRule="auto"/>
        <w:rPr>
          <w:rFonts w:ascii="Soberana Sans" w:hAnsi="Soberana Sans"/>
          <w:sz w:val="22"/>
          <w:szCs w:val="22"/>
        </w:rPr>
      </w:pPr>
    </w:p>
    <w:p w:rsidR="00001107" w:rsidRDefault="00001107" w:rsidP="00540418">
      <w:pPr>
        <w:pStyle w:val="Texto"/>
        <w:spacing w:after="0" w:line="240" w:lineRule="exact"/>
        <w:rPr>
          <w:rFonts w:ascii="Soberana Sans Light" w:hAnsi="Soberana Sans Light"/>
          <w:sz w:val="22"/>
          <w:szCs w:val="22"/>
        </w:rPr>
      </w:pPr>
    </w:p>
    <w:sectPr w:rsidR="00001107"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20" w:rsidRDefault="00663620" w:rsidP="00EA5418">
      <w:pPr>
        <w:spacing w:after="0" w:line="240" w:lineRule="auto"/>
      </w:pPr>
      <w:r>
        <w:separator/>
      </w:r>
    </w:p>
  </w:endnote>
  <w:endnote w:type="continuationSeparator" w:id="0">
    <w:p w:rsidR="00663620" w:rsidRDefault="0066362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BC" w:rsidRPr="0013011C" w:rsidRDefault="005266B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45AF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94EE7" w:rsidRPr="00594EE7">
          <w:rPr>
            <w:rFonts w:ascii="Soberana Sans Light" w:hAnsi="Soberana Sans Light"/>
            <w:noProof/>
            <w:lang w:val="es-ES"/>
          </w:rPr>
          <w:t>22</w:t>
        </w:r>
        <w:r w:rsidRPr="0013011C">
          <w:rPr>
            <w:rFonts w:ascii="Soberana Sans Light" w:hAnsi="Soberana Sans Light"/>
          </w:rPr>
          <w:fldChar w:fldCharType="end"/>
        </w:r>
      </w:sdtContent>
    </w:sdt>
  </w:p>
  <w:p w:rsidR="005266BC" w:rsidRDefault="005266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BC" w:rsidRPr="008E3652" w:rsidRDefault="005266B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9B2C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94EE7" w:rsidRPr="00594EE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20" w:rsidRDefault="00663620" w:rsidP="00EA5418">
      <w:pPr>
        <w:spacing w:after="0" w:line="240" w:lineRule="auto"/>
      </w:pPr>
      <w:r>
        <w:separator/>
      </w:r>
    </w:p>
  </w:footnote>
  <w:footnote w:type="continuationSeparator" w:id="0">
    <w:p w:rsidR="00663620" w:rsidRDefault="0066362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BC" w:rsidRDefault="005266B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BC" w:rsidRPr="0046043B" w:rsidRDefault="005266BC" w:rsidP="00040466">
                            <w:pPr>
                              <w:spacing w:after="120"/>
                              <w:jc w:val="right"/>
                              <w:rPr>
                                <w:rFonts w:ascii="Soberana Titular" w:hAnsi="Soberana Titular" w:cs="Arial"/>
                                <w:color w:val="808080" w:themeColor="background1" w:themeShade="80"/>
                                <w:sz w:val="20"/>
                                <w:szCs w:val="20"/>
                              </w:rPr>
                            </w:pPr>
                            <w:r w:rsidRPr="0046043B">
                              <w:rPr>
                                <w:rFonts w:ascii="Soberana Titular" w:hAnsi="Soberana Titular" w:cs="Arial"/>
                                <w:color w:val="808080" w:themeColor="background1" w:themeShade="80"/>
                                <w:sz w:val="20"/>
                                <w:szCs w:val="20"/>
                              </w:rPr>
                              <w:t>CUENTA PÚBLICA</w:t>
                            </w:r>
                          </w:p>
                          <w:p w:rsidR="005266BC" w:rsidRDefault="005266B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266BC" w:rsidRPr="00275FC6" w:rsidRDefault="005266B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BC" w:rsidRDefault="005266B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5266BC" w:rsidRDefault="005266B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266BC" w:rsidRPr="00275FC6" w:rsidRDefault="005266B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2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F61FF" w:rsidRPr="0046043B" w:rsidRDefault="00AF61FF" w:rsidP="00040466">
                      <w:pPr>
                        <w:spacing w:after="120"/>
                        <w:jc w:val="right"/>
                        <w:rPr>
                          <w:rFonts w:ascii="Soberana Titular" w:hAnsi="Soberana Titular" w:cs="Arial"/>
                          <w:color w:val="808080" w:themeColor="background1" w:themeShade="80"/>
                          <w:sz w:val="20"/>
                          <w:szCs w:val="20"/>
                        </w:rPr>
                      </w:pPr>
                      <w:r w:rsidRPr="0046043B">
                        <w:rPr>
                          <w:rFonts w:ascii="Soberana Titular" w:hAnsi="Soberana Titular" w:cs="Arial"/>
                          <w:color w:val="808080" w:themeColor="background1" w:themeShade="80"/>
                          <w:sz w:val="20"/>
                          <w:szCs w:val="20"/>
                        </w:rPr>
                        <w:t>CUENTA PÚBLICA</w:t>
                      </w:r>
                    </w:p>
                    <w:p w:rsidR="00AF61FF" w:rsidRDefault="00AF61F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F61FF" w:rsidRPr="00275FC6" w:rsidRDefault="00AF61FF"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F61FF" w:rsidRDefault="00AF61F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F61FF" w:rsidRDefault="00AF61F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F61FF" w:rsidRPr="00275FC6" w:rsidRDefault="00AF61F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2511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BC" w:rsidRPr="0013011C" w:rsidRDefault="005266B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CCF8E"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347CC7"/>
    <w:multiLevelType w:val="hybridMultilevel"/>
    <w:tmpl w:val="F5DCA3F8"/>
    <w:lvl w:ilvl="0" w:tplc="6C0A25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6">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4AEE4CA2"/>
    <w:multiLevelType w:val="hybridMultilevel"/>
    <w:tmpl w:val="62326EF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E74C0D"/>
    <w:multiLevelType w:val="hybridMultilevel"/>
    <w:tmpl w:val="FA4E4D36"/>
    <w:lvl w:ilvl="0" w:tplc="1422B9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9E1FF3"/>
    <w:multiLevelType w:val="hybridMultilevel"/>
    <w:tmpl w:val="1ACE9384"/>
    <w:lvl w:ilvl="0" w:tplc="0B6C855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DB568D4"/>
    <w:multiLevelType w:val="hybridMultilevel"/>
    <w:tmpl w:val="A7003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7"/>
  </w:num>
  <w:num w:numId="6">
    <w:abstractNumId w:val="12"/>
  </w:num>
  <w:num w:numId="7">
    <w:abstractNumId w:val="10"/>
  </w:num>
  <w:num w:numId="8">
    <w:abstractNumId w:val="5"/>
  </w:num>
  <w:num w:numId="9">
    <w:abstractNumId w:val="3"/>
  </w:num>
  <w:num w:numId="10">
    <w:abstractNumId w:val="16"/>
  </w:num>
  <w:num w:numId="11">
    <w:abstractNumId w:val="8"/>
  </w:num>
  <w:num w:numId="12">
    <w:abstractNumId w:val="4"/>
  </w:num>
  <w:num w:numId="13">
    <w:abstractNumId w:val="0"/>
  </w:num>
  <w:num w:numId="14">
    <w:abstractNumId w:val="11"/>
  </w:num>
  <w:num w:numId="15">
    <w:abstractNumId w:val="17"/>
  </w:num>
  <w:num w:numId="16">
    <w:abstractNumId w:val="18"/>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36B47"/>
    <w:rsid w:val="00040466"/>
    <w:rsid w:val="000416B9"/>
    <w:rsid w:val="00045A10"/>
    <w:rsid w:val="0005301E"/>
    <w:rsid w:val="0005647D"/>
    <w:rsid w:val="00064580"/>
    <w:rsid w:val="000774A1"/>
    <w:rsid w:val="0008596E"/>
    <w:rsid w:val="0009198E"/>
    <w:rsid w:val="000A0F20"/>
    <w:rsid w:val="000A3D50"/>
    <w:rsid w:val="000C6484"/>
    <w:rsid w:val="000D23EE"/>
    <w:rsid w:val="000E1B92"/>
    <w:rsid w:val="0010747A"/>
    <w:rsid w:val="00113371"/>
    <w:rsid w:val="0013011C"/>
    <w:rsid w:val="001577D2"/>
    <w:rsid w:val="00165BB4"/>
    <w:rsid w:val="00175E05"/>
    <w:rsid w:val="001813CB"/>
    <w:rsid w:val="0018632D"/>
    <w:rsid w:val="0018645D"/>
    <w:rsid w:val="001A7588"/>
    <w:rsid w:val="001B1361"/>
    <w:rsid w:val="001B1B72"/>
    <w:rsid w:val="001B6054"/>
    <w:rsid w:val="001C456B"/>
    <w:rsid w:val="001C492C"/>
    <w:rsid w:val="001C54A1"/>
    <w:rsid w:val="001C698D"/>
    <w:rsid w:val="001C6F6E"/>
    <w:rsid w:val="001C6FD8"/>
    <w:rsid w:val="001D16EC"/>
    <w:rsid w:val="001E7072"/>
    <w:rsid w:val="001F6002"/>
    <w:rsid w:val="002011C4"/>
    <w:rsid w:val="00203C04"/>
    <w:rsid w:val="00204C86"/>
    <w:rsid w:val="0021252E"/>
    <w:rsid w:val="00212E3A"/>
    <w:rsid w:val="00221B14"/>
    <w:rsid w:val="00222906"/>
    <w:rsid w:val="00234D56"/>
    <w:rsid w:val="00237FEE"/>
    <w:rsid w:val="00242192"/>
    <w:rsid w:val="0024299D"/>
    <w:rsid w:val="00244468"/>
    <w:rsid w:val="00245213"/>
    <w:rsid w:val="0025507C"/>
    <w:rsid w:val="00264426"/>
    <w:rsid w:val="002767BA"/>
    <w:rsid w:val="0027764E"/>
    <w:rsid w:val="00281325"/>
    <w:rsid w:val="0028701B"/>
    <w:rsid w:val="0029351F"/>
    <w:rsid w:val="00294534"/>
    <w:rsid w:val="002976F3"/>
    <w:rsid w:val="002A03B0"/>
    <w:rsid w:val="002A0E88"/>
    <w:rsid w:val="002A70B3"/>
    <w:rsid w:val="002B10C2"/>
    <w:rsid w:val="002B3EBB"/>
    <w:rsid w:val="002C15D7"/>
    <w:rsid w:val="002C7ECC"/>
    <w:rsid w:val="002E455C"/>
    <w:rsid w:val="00302A4C"/>
    <w:rsid w:val="00317C10"/>
    <w:rsid w:val="00322576"/>
    <w:rsid w:val="0034217D"/>
    <w:rsid w:val="00347C15"/>
    <w:rsid w:val="00350B70"/>
    <w:rsid w:val="00363D0E"/>
    <w:rsid w:val="00370885"/>
    <w:rsid w:val="00372F40"/>
    <w:rsid w:val="003765B4"/>
    <w:rsid w:val="00384982"/>
    <w:rsid w:val="00386FA6"/>
    <w:rsid w:val="00393C8B"/>
    <w:rsid w:val="003942D6"/>
    <w:rsid w:val="00396C2B"/>
    <w:rsid w:val="003A0303"/>
    <w:rsid w:val="003B3E24"/>
    <w:rsid w:val="003B5140"/>
    <w:rsid w:val="003C228B"/>
    <w:rsid w:val="003C5CC1"/>
    <w:rsid w:val="003D29A7"/>
    <w:rsid w:val="003D5DBF"/>
    <w:rsid w:val="003E7FD0"/>
    <w:rsid w:val="003F0AA7"/>
    <w:rsid w:val="003F0EA4"/>
    <w:rsid w:val="00401F1F"/>
    <w:rsid w:val="0040251E"/>
    <w:rsid w:val="004103E7"/>
    <w:rsid w:val="00410C85"/>
    <w:rsid w:val="00420410"/>
    <w:rsid w:val="00426260"/>
    <w:rsid w:val="00426807"/>
    <w:rsid w:val="004311BE"/>
    <w:rsid w:val="0044253C"/>
    <w:rsid w:val="004513B4"/>
    <w:rsid w:val="004516F8"/>
    <w:rsid w:val="0046043B"/>
    <w:rsid w:val="00462D71"/>
    <w:rsid w:val="004643AD"/>
    <w:rsid w:val="004714CF"/>
    <w:rsid w:val="0047648A"/>
    <w:rsid w:val="00481282"/>
    <w:rsid w:val="00484C0D"/>
    <w:rsid w:val="00497D8B"/>
    <w:rsid w:val="004B0FE1"/>
    <w:rsid w:val="004C0973"/>
    <w:rsid w:val="004C140B"/>
    <w:rsid w:val="004D06DD"/>
    <w:rsid w:val="004D41B8"/>
    <w:rsid w:val="004D67A9"/>
    <w:rsid w:val="004D7636"/>
    <w:rsid w:val="004E2F50"/>
    <w:rsid w:val="004E644E"/>
    <w:rsid w:val="004F5641"/>
    <w:rsid w:val="005202DC"/>
    <w:rsid w:val="00522632"/>
    <w:rsid w:val="00522DB2"/>
    <w:rsid w:val="00522EF3"/>
    <w:rsid w:val="005241B9"/>
    <w:rsid w:val="005266BC"/>
    <w:rsid w:val="005402F5"/>
    <w:rsid w:val="00540418"/>
    <w:rsid w:val="00543F49"/>
    <w:rsid w:val="00545736"/>
    <w:rsid w:val="0055296A"/>
    <w:rsid w:val="005562F3"/>
    <w:rsid w:val="0056673C"/>
    <w:rsid w:val="00572E71"/>
    <w:rsid w:val="00573756"/>
    <w:rsid w:val="00574266"/>
    <w:rsid w:val="00594EE7"/>
    <w:rsid w:val="005A28D7"/>
    <w:rsid w:val="005A7E93"/>
    <w:rsid w:val="005B789D"/>
    <w:rsid w:val="005B78F0"/>
    <w:rsid w:val="005B7ABF"/>
    <w:rsid w:val="005C5020"/>
    <w:rsid w:val="005C621F"/>
    <w:rsid w:val="005D3D25"/>
    <w:rsid w:val="005F40F5"/>
    <w:rsid w:val="00633599"/>
    <w:rsid w:val="006447D7"/>
    <w:rsid w:val="00645480"/>
    <w:rsid w:val="006460B1"/>
    <w:rsid w:val="0064647A"/>
    <w:rsid w:val="006578BD"/>
    <w:rsid w:val="00663620"/>
    <w:rsid w:val="006945F7"/>
    <w:rsid w:val="006B1FE7"/>
    <w:rsid w:val="006B6C7C"/>
    <w:rsid w:val="006B7DAD"/>
    <w:rsid w:val="006C057C"/>
    <w:rsid w:val="006C7EEF"/>
    <w:rsid w:val="006D7194"/>
    <w:rsid w:val="006E77DD"/>
    <w:rsid w:val="006F052F"/>
    <w:rsid w:val="006F0683"/>
    <w:rsid w:val="006F58E3"/>
    <w:rsid w:val="007209F2"/>
    <w:rsid w:val="00722E42"/>
    <w:rsid w:val="00741934"/>
    <w:rsid w:val="007563BA"/>
    <w:rsid w:val="007577BB"/>
    <w:rsid w:val="007606DB"/>
    <w:rsid w:val="00763A9A"/>
    <w:rsid w:val="007765D0"/>
    <w:rsid w:val="0079582C"/>
    <w:rsid w:val="007B0055"/>
    <w:rsid w:val="007B7D8D"/>
    <w:rsid w:val="007C00B7"/>
    <w:rsid w:val="007C0583"/>
    <w:rsid w:val="007C7F6A"/>
    <w:rsid w:val="007D4EDE"/>
    <w:rsid w:val="007D6E9A"/>
    <w:rsid w:val="007E099E"/>
    <w:rsid w:val="007E1E3D"/>
    <w:rsid w:val="007F0D13"/>
    <w:rsid w:val="00805B30"/>
    <w:rsid w:val="00811DAC"/>
    <w:rsid w:val="0082183C"/>
    <w:rsid w:val="0082438A"/>
    <w:rsid w:val="00832CCD"/>
    <w:rsid w:val="008358B8"/>
    <w:rsid w:val="008564B4"/>
    <w:rsid w:val="00864F2C"/>
    <w:rsid w:val="00872FA0"/>
    <w:rsid w:val="008853B3"/>
    <w:rsid w:val="0089054E"/>
    <w:rsid w:val="008909EA"/>
    <w:rsid w:val="008966DD"/>
    <w:rsid w:val="008A6E4D"/>
    <w:rsid w:val="008A793D"/>
    <w:rsid w:val="008B0017"/>
    <w:rsid w:val="008B462D"/>
    <w:rsid w:val="008C481A"/>
    <w:rsid w:val="008E3652"/>
    <w:rsid w:val="008F06B2"/>
    <w:rsid w:val="008F6D58"/>
    <w:rsid w:val="008F7013"/>
    <w:rsid w:val="00900D9D"/>
    <w:rsid w:val="009020F5"/>
    <w:rsid w:val="00904C81"/>
    <w:rsid w:val="00916ABE"/>
    <w:rsid w:val="00920DD6"/>
    <w:rsid w:val="0093492C"/>
    <w:rsid w:val="00957043"/>
    <w:rsid w:val="009812AC"/>
    <w:rsid w:val="0098744D"/>
    <w:rsid w:val="00987DAA"/>
    <w:rsid w:val="009943DA"/>
    <w:rsid w:val="009B28D1"/>
    <w:rsid w:val="009B2B60"/>
    <w:rsid w:val="009C18C6"/>
    <w:rsid w:val="009C25DB"/>
    <w:rsid w:val="009C2BD0"/>
    <w:rsid w:val="009D5D4C"/>
    <w:rsid w:val="009D723B"/>
    <w:rsid w:val="009E2097"/>
    <w:rsid w:val="009F23C4"/>
    <w:rsid w:val="00A00F9A"/>
    <w:rsid w:val="00A064AC"/>
    <w:rsid w:val="00A334E4"/>
    <w:rsid w:val="00A35FF4"/>
    <w:rsid w:val="00A363B6"/>
    <w:rsid w:val="00A40920"/>
    <w:rsid w:val="00A46BF5"/>
    <w:rsid w:val="00A84C9C"/>
    <w:rsid w:val="00AA3FE7"/>
    <w:rsid w:val="00AB0905"/>
    <w:rsid w:val="00AB66A8"/>
    <w:rsid w:val="00AD0494"/>
    <w:rsid w:val="00AD7CEF"/>
    <w:rsid w:val="00AF61FF"/>
    <w:rsid w:val="00B10F9F"/>
    <w:rsid w:val="00B146E2"/>
    <w:rsid w:val="00B2373F"/>
    <w:rsid w:val="00B27F80"/>
    <w:rsid w:val="00B50594"/>
    <w:rsid w:val="00B519B6"/>
    <w:rsid w:val="00B544AA"/>
    <w:rsid w:val="00B57C78"/>
    <w:rsid w:val="00B656B2"/>
    <w:rsid w:val="00B704E9"/>
    <w:rsid w:val="00B849EE"/>
    <w:rsid w:val="00B84D02"/>
    <w:rsid w:val="00B90F3A"/>
    <w:rsid w:val="00B910F9"/>
    <w:rsid w:val="00B970B0"/>
    <w:rsid w:val="00BA2940"/>
    <w:rsid w:val="00BA2E14"/>
    <w:rsid w:val="00BA6035"/>
    <w:rsid w:val="00BB3924"/>
    <w:rsid w:val="00BC3256"/>
    <w:rsid w:val="00BD2193"/>
    <w:rsid w:val="00BD22F4"/>
    <w:rsid w:val="00BF5444"/>
    <w:rsid w:val="00C0036F"/>
    <w:rsid w:val="00C066F4"/>
    <w:rsid w:val="00C105B2"/>
    <w:rsid w:val="00C16E53"/>
    <w:rsid w:val="00C236CA"/>
    <w:rsid w:val="00C34F6A"/>
    <w:rsid w:val="00C35459"/>
    <w:rsid w:val="00C35C89"/>
    <w:rsid w:val="00C401C0"/>
    <w:rsid w:val="00C431B4"/>
    <w:rsid w:val="00C4666F"/>
    <w:rsid w:val="00C51CCB"/>
    <w:rsid w:val="00C541AA"/>
    <w:rsid w:val="00C5450F"/>
    <w:rsid w:val="00C71EF2"/>
    <w:rsid w:val="00C8349D"/>
    <w:rsid w:val="00C86C59"/>
    <w:rsid w:val="00C91C5A"/>
    <w:rsid w:val="00CA0D51"/>
    <w:rsid w:val="00CB0F14"/>
    <w:rsid w:val="00CC19EE"/>
    <w:rsid w:val="00CC23C9"/>
    <w:rsid w:val="00CC2E28"/>
    <w:rsid w:val="00CC39B7"/>
    <w:rsid w:val="00CC5E8E"/>
    <w:rsid w:val="00CD2472"/>
    <w:rsid w:val="00CD6D9A"/>
    <w:rsid w:val="00CE45A6"/>
    <w:rsid w:val="00CE6657"/>
    <w:rsid w:val="00CF4C9B"/>
    <w:rsid w:val="00D00E92"/>
    <w:rsid w:val="00D055EC"/>
    <w:rsid w:val="00D138C9"/>
    <w:rsid w:val="00D24FA5"/>
    <w:rsid w:val="00D31AC6"/>
    <w:rsid w:val="00D33318"/>
    <w:rsid w:val="00D44061"/>
    <w:rsid w:val="00D44728"/>
    <w:rsid w:val="00D562FF"/>
    <w:rsid w:val="00D62C4D"/>
    <w:rsid w:val="00D77F72"/>
    <w:rsid w:val="00DB05EB"/>
    <w:rsid w:val="00DD0703"/>
    <w:rsid w:val="00DE3A2C"/>
    <w:rsid w:val="00DF56C9"/>
    <w:rsid w:val="00E30318"/>
    <w:rsid w:val="00E32708"/>
    <w:rsid w:val="00E40ED6"/>
    <w:rsid w:val="00E420F2"/>
    <w:rsid w:val="00E45962"/>
    <w:rsid w:val="00E45CDE"/>
    <w:rsid w:val="00E5377C"/>
    <w:rsid w:val="00E53D78"/>
    <w:rsid w:val="00E617DF"/>
    <w:rsid w:val="00E71557"/>
    <w:rsid w:val="00EA1717"/>
    <w:rsid w:val="00EA2DEB"/>
    <w:rsid w:val="00EA5418"/>
    <w:rsid w:val="00EB1B36"/>
    <w:rsid w:val="00EB5D45"/>
    <w:rsid w:val="00ED3935"/>
    <w:rsid w:val="00EE46FB"/>
    <w:rsid w:val="00F17C0D"/>
    <w:rsid w:val="00F215D2"/>
    <w:rsid w:val="00F22CBD"/>
    <w:rsid w:val="00F23597"/>
    <w:rsid w:val="00F26CF6"/>
    <w:rsid w:val="00F3468B"/>
    <w:rsid w:val="00F650A0"/>
    <w:rsid w:val="00F755D0"/>
    <w:rsid w:val="00F82C9A"/>
    <w:rsid w:val="00F90994"/>
    <w:rsid w:val="00FB09CC"/>
    <w:rsid w:val="00FB1010"/>
    <w:rsid w:val="00FB6CC1"/>
    <w:rsid w:val="00FC04D1"/>
    <w:rsid w:val="00FC07A6"/>
    <w:rsid w:val="00FC3159"/>
    <w:rsid w:val="00FC70EB"/>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5803658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C2DA-596B-4C1F-BA7A-D16860D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23</Pages>
  <Words>3010</Words>
  <Characters>16557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conny beltran</cp:lastModifiedBy>
  <cp:revision>12</cp:revision>
  <cp:lastPrinted>2016-07-06T09:04:00Z</cp:lastPrinted>
  <dcterms:created xsi:type="dcterms:W3CDTF">2016-07-06T06:46:00Z</dcterms:created>
  <dcterms:modified xsi:type="dcterms:W3CDTF">2016-07-06T13:40:00Z</dcterms:modified>
</cp:coreProperties>
</file>