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01" w:rsidRPr="00540418" w:rsidRDefault="00721501" w:rsidP="00721501">
      <w:pPr>
        <w:shd w:val="clear" w:color="auto" w:fill="FFFFFF" w:themeFill="background1"/>
        <w:jc w:val="center"/>
        <w:rPr>
          <w:rFonts w:ascii="Soberana Sans Light" w:hAnsi="Soberana Sans Light"/>
        </w:rPr>
      </w:pPr>
      <w:r w:rsidRPr="00540418">
        <w:rPr>
          <w:rFonts w:ascii="Soberana Sans Light" w:hAnsi="Soberana Sans Light"/>
        </w:rPr>
        <w:t>Informe de Pasivos Contingentes</w:t>
      </w:r>
    </w:p>
    <w:p w:rsidR="00721501" w:rsidRPr="00540418" w:rsidRDefault="00721501" w:rsidP="00721501">
      <w:pPr>
        <w:shd w:val="clear" w:color="auto" w:fill="FFFFFF" w:themeFill="background1"/>
        <w:rPr>
          <w:rFonts w:ascii="Soberana Sans Light" w:hAnsi="Soberana Sans Light"/>
        </w:rPr>
      </w:pPr>
    </w:p>
    <w:p w:rsidR="00721501" w:rsidRPr="009B2071" w:rsidRDefault="00FA5730" w:rsidP="00721501">
      <w:pPr>
        <w:pStyle w:val="Prrafodelista"/>
        <w:shd w:val="clear" w:color="auto" w:fill="FFFFFF" w:themeFill="background1"/>
        <w:jc w:val="both"/>
        <w:rPr>
          <w:rFonts w:ascii="Arial" w:hAnsi="Arial" w:cs="Arial"/>
          <w:sz w:val="18"/>
          <w:szCs w:val="18"/>
        </w:rPr>
      </w:pPr>
      <w:r>
        <w:rPr>
          <w:rFonts w:ascii="Arial" w:hAnsi="Arial" w:cs="Arial"/>
          <w:sz w:val="18"/>
          <w:szCs w:val="18"/>
        </w:rPr>
        <w:t>E</w:t>
      </w:r>
      <w:r w:rsidR="00721501">
        <w:rPr>
          <w:rFonts w:ascii="Arial" w:hAnsi="Arial" w:cs="Arial"/>
          <w:sz w:val="18"/>
          <w:szCs w:val="18"/>
        </w:rPr>
        <w:t xml:space="preserve">l Fondo para Contingencias </w:t>
      </w:r>
      <w:r>
        <w:rPr>
          <w:rFonts w:ascii="Arial" w:hAnsi="Arial" w:cs="Arial"/>
          <w:sz w:val="18"/>
          <w:szCs w:val="18"/>
        </w:rPr>
        <w:t xml:space="preserve">es de </w:t>
      </w:r>
      <w:r w:rsidR="00721501">
        <w:rPr>
          <w:rFonts w:ascii="Arial" w:hAnsi="Arial" w:cs="Arial"/>
          <w:sz w:val="18"/>
          <w:szCs w:val="18"/>
        </w:rPr>
        <w:t xml:space="preserve">$ </w:t>
      </w:r>
      <w:r w:rsidR="00A76237">
        <w:rPr>
          <w:rFonts w:ascii="Arial" w:hAnsi="Arial" w:cs="Arial"/>
          <w:sz w:val="18"/>
          <w:szCs w:val="18"/>
        </w:rPr>
        <w:t>648,303.90</w:t>
      </w:r>
      <w:r w:rsidR="00721501">
        <w:rPr>
          <w:rFonts w:ascii="Arial" w:hAnsi="Arial" w:cs="Arial"/>
          <w:sz w:val="18"/>
          <w:szCs w:val="18"/>
        </w:rPr>
        <w:t xml:space="preserve"> (</w:t>
      </w:r>
      <w:r w:rsidR="00A76237">
        <w:rPr>
          <w:rFonts w:ascii="Arial" w:hAnsi="Arial" w:cs="Arial"/>
          <w:sz w:val="18"/>
          <w:szCs w:val="18"/>
        </w:rPr>
        <w:t>SEISCIENTOS CUARENTA Y OCHO</w:t>
      </w:r>
      <w:r w:rsidR="005F042F">
        <w:rPr>
          <w:rFonts w:ascii="Arial" w:hAnsi="Arial" w:cs="Arial"/>
          <w:sz w:val="18"/>
          <w:szCs w:val="18"/>
        </w:rPr>
        <w:t xml:space="preserve"> MIL, </w:t>
      </w:r>
      <w:r w:rsidR="00A76237">
        <w:rPr>
          <w:rFonts w:ascii="Arial" w:hAnsi="Arial" w:cs="Arial"/>
          <w:sz w:val="18"/>
          <w:szCs w:val="18"/>
        </w:rPr>
        <w:t>TRESCIENTOS TRES</w:t>
      </w:r>
      <w:r w:rsidR="005F042F">
        <w:rPr>
          <w:rFonts w:ascii="Arial" w:hAnsi="Arial" w:cs="Arial"/>
          <w:sz w:val="18"/>
          <w:szCs w:val="18"/>
        </w:rPr>
        <w:t xml:space="preserve"> PESOS, </w:t>
      </w:r>
      <w:r w:rsidR="00A76237">
        <w:rPr>
          <w:rFonts w:ascii="Arial" w:hAnsi="Arial" w:cs="Arial"/>
          <w:sz w:val="18"/>
          <w:szCs w:val="18"/>
        </w:rPr>
        <w:t>90</w:t>
      </w:r>
      <w:r w:rsidR="005F042F">
        <w:rPr>
          <w:rFonts w:ascii="Arial" w:hAnsi="Arial" w:cs="Arial"/>
          <w:sz w:val="18"/>
          <w:szCs w:val="18"/>
        </w:rPr>
        <w:t>/100 M.N.</w:t>
      </w:r>
      <w:r w:rsidR="00721501">
        <w:rPr>
          <w:rFonts w:ascii="Arial" w:hAnsi="Arial" w:cs="Arial"/>
          <w:sz w:val="18"/>
          <w:szCs w:val="18"/>
        </w:rPr>
        <w:t>)</w:t>
      </w:r>
      <w:r w:rsidR="005F042F">
        <w:rPr>
          <w:rFonts w:ascii="Arial" w:hAnsi="Arial" w:cs="Arial"/>
          <w:sz w:val="18"/>
          <w:szCs w:val="18"/>
        </w:rPr>
        <w:t xml:space="preserve"> y el Órgano de Gobierno de este Instituto, determinó que sea destinado</w:t>
      </w:r>
      <w:r w:rsidR="00721501">
        <w:rPr>
          <w:rFonts w:ascii="Arial" w:hAnsi="Arial" w:cs="Arial"/>
          <w:sz w:val="18"/>
          <w:szCs w:val="18"/>
        </w:rPr>
        <w:t xml:space="preserve"> para pago de Finiquitos Laborales</w:t>
      </w:r>
      <w:r w:rsidR="00A76237">
        <w:rPr>
          <w:rFonts w:ascii="Arial" w:hAnsi="Arial" w:cs="Arial"/>
          <w:sz w:val="18"/>
          <w:szCs w:val="18"/>
        </w:rPr>
        <w:t xml:space="preserve"> y que el saldo de Provisiones no ejercidas de Ejercicios Anteriores se acumule a este fondo.</w:t>
      </w:r>
    </w:p>
    <w:p w:rsidR="005F042F" w:rsidRDefault="005F042F"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p w:rsidR="00721501" w:rsidRDefault="00721501" w:rsidP="00721501">
      <w:pPr>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0"/>
        <w:gridCol w:w="6910"/>
      </w:tblGrid>
      <w:tr w:rsidR="00721501" w:rsidRPr="00786D90" w:rsidTr="00721501">
        <w:trPr>
          <w:jc w:val="center"/>
        </w:trPr>
        <w:tc>
          <w:tcPr>
            <w:tcW w:w="6910" w:type="dxa"/>
          </w:tcPr>
          <w:p w:rsidR="00721501" w:rsidRDefault="00721501" w:rsidP="00721501">
            <w:pPr>
              <w:pBdr>
                <w:bottom w:val="single" w:sz="12" w:space="1" w:color="auto"/>
              </w:pBdr>
              <w:spacing w:line="276" w:lineRule="auto"/>
              <w:rPr>
                <w:rFonts w:ascii="Arial" w:hAnsi="Arial" w:cs="Arial"/>
                <w:sz w:val="18"/>
                <w:szCs w:val="18"/>
              </w:rPr>
            </w:pPr>
          </w:p>
          <w:p w:rsidR="00721501" w:rsidRDefault="00FA5730" w:rsidP="00721501">
            <w:pPr>
              <w:spacing w:line="276" w:lineRule="auto"/>
              <w:jc w:val="center"/>
              <w:rPr>
                <w:rFonts w:ascii="Arial" w:hAnsi="Arial" w:cs="Arial"/>
                <w:sz w:val="18"/>
                <w:szCs w:val="18"/>
              </w:rPr>
            </w:pPr>
            <w:r>
              <w:rPr>
                <w:rFonts w:ascii="Arial" w:hAnsi="Arial" w:cs="Arial"/>
                <w:sz w:val="18"/>
                <w:szCs w:val="18"/>
              </w:rPr>
              <w:t>José Víctor Agustín Carro Meneses</w:t>
            </w:r>
          </w:p>
          <w:p w:rsidR="00721501" w:rsidRPr="00786D90" w:rsidRDefault="00721501" w:rsidP="00FA5730">
            <w:pPr>
              <w:spacing w:line="276" w:lineRule="auto"/>
              <w:jc w:val="center"/>
              <w:rPr>
                <w:rFonts w:ascii="Arial" w:hAnsi="Arial" w:cs="Arial"/>
                <w:sz w:val="18"/>
                <w:szCs w:val="18"/>
              </w:rPr>
            </w:pPr>
            <w:r>
              <w:rPr>
                <w:rFonts w:ascii="Arial" w:hAnsi="Arial" w:cs="Arial"/>
                <w:sz w:val="18"/>
                <w:szCs w:val="18"/>
              </w:rPr>
              <w:t>Director General</w:t>
            </w:r>
          </w:p>
        </w:tc>
        <w:tc>
          <w:tcPr>
            <w:tcW w:w="6910" w:type="dxa"/>
          </w:tcPr>
          <w:p w:rsidR="00721501" w:rsidRDefault="00721501" w:rsidP="00721501">
            <w:pPr>
              <w:pBdr>
                <w:bottom w:val="single" w:sz="12" w:space="1" w:color="auto"/>
              </w:pBdr>
              <w:spacing w:line="276" w:lineRule="auto"/>
              <w:rPr>
                <w:rFonts w:ascii="Arial" w:hAnsi="Arial" w:cs="Arial"/>
                <w:sz w:val="18"/>
                <w:szCs w:val="18"/>
              </w:rPr>
            </w:pPr>
          </w:p>
          <w:p w:rsidR="00721501" w:rsidRDefault="00721501" w:rsidP="00721501">
            <w:pPr>
              <w:spacing w:line="276" w:lineRule="auto"/>
              <w:jc w:val="center"/>
              <w:rPr>
                <w:rFonts w:ascii="Arial" w:hAnsi="Arial" w:cs="Arial"/>
                <w:sz w:val="18"/>
                <w:szCs w:val="18"/>
              </w:rPr>
            </w:pPr>
            <w:r>
              <w:rPr>
                <w:rFonts w:ascii="Arial" w:hAnsi="Arial" w:cs="Arial"/>
                <w:sz w:val="18"/>
                <w:szCs w:val="18"/>
              </w:rPr>
              <w:t>Jesús José Payan Reyes</w:t>
            </w:r>
          </w:p>
          <w:p w:rsidR="00721501" w:rsidRPr="00786D90" w:rsidRDefault="00721501" w:rsidP="00721501">
            <w:pPr>
              <w:spacing w:line="276" w:lineRule="auto"/>
              <w:jc w:val="center"/>
              <w:rPr>
                <w:rFonts w:ascii="Arial" w:hAnsi="Arial" w:cs="Arial"/>
                <w:sz w:val="18"/>
                <w:szCs w:val="18"/>
              </w:rPr>
            </w:pPr>
            <w:r>
              <w:rPr>
                <w:rFonts w:ascii="Arial" w:hAnsi="Arial" w:cs="Arial"/>
                <w:sz w:val="18"/>
                <w:szCs w:val="18"/>
              </w:rPr>
              <w:t>Director de Administración y Finanzas</w:t>
            </w:r>
          </w:p>
        </w:tc>
      </w:tr>
    </w:tbl>
    <w:p w:rsidR="00721501" w:rsidRDefault="00721501" w:rsidP="00721501">
      <w:pPr>
        <w:rPr>
          <w:rFonts w:ascii="Soberana Sans Light" w:hAnsi="Soberana Sans Light"/>
        </w:rPr>
      </w:pPr>
    </w:p>
    <w:p w:rsidR="00721501" w:rsidRDefault="00721501" w:rsidP="00721501">
      <w:pPr>
        <w:rPr>
          <w:rFonts w:ascii="Soberana Sans Light" w:hAnsi="Soberana Sans Light"/>
        </w:rPr>
      </w:pPr>
      <w:r>
        <w:rPr>
          <w:rFonts w:ascii="Soberana Sans Light" w:hAnsi="Soberana Sans Light"/>
        </w:rPr>
        <w:br w:type="page"/>
      </w:r>
    </w:p>
    <w:p w:rsidR="00721501" w:rsidRDefault="00721501" w:rsidP="00721501">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721501" w:rsidRDefault="00970359" w:rsidP="00721501">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a) NOTAS DE DESGLOSE</w:t>
      </w:r>
    </w:p>
    <w:p w:rsidR="00721501" w:rsidRPr="007E42D2" w:rsidRDefault="00721501" w:rsidP="00721501">
      <w:pPr>
        <w:pStyle w:val="INCISO"/>
        <w:spacing w:after="0" w:line="240" w:lineRule="exact"/>
        <w:ind w:left="648"/>
        <w:rPr>
          <w:rFonts w:ascii="Soberana Sans Light" w:hAnsi="Soberana Sans Light"/>
          <w:b/>
          <w:smallCaps/>
        </w:rPr>
      </w:pPr>
      <w:r w:rsidRPr="007E42D2">
        <w:rPr>
          <w:rFonts w:ascii="Soberana Sans Light" w:hAnsi="Soberana Sans Light"/>
          <w:b/>
          <w:smallCaps/>
        </w:rPr>
        <w:t>I)</w:t>
      </w:r>
      <w:r w:rsidRPr="007E42D2">
        <w:rPr>
          <w:rFonts w:ascii="Soberana Sans Light" w:hAnsi="Soberana Sans Light"/>
          <w:b/>
          <w:smallCaps/>
        </w:rPr>
        <w:tab/>
        <w:t>Notas al Estado de Situación Financiera</w:t>
      </w:r>
    </w:p>
    <w:p w:rsidR="00721501" w:rsidRPr="007E42D2" w:rsidRDefault="00721501" w:rsidP="00721501">
      <w:pPr>
        <w:pStyle w:val="Texto"/>
        <w:spacing w:after="0" w:line="276" w:lineRule="auto"/>
        <w:rPr>
          <w:b/>
          <w:szCs w:val="18"/>
          <w:lang w:val="es-MX"/>
        </w:rPr>
      </w:pPr>
      <w:r w:rsidRPr="007E42D2">
        <w:rPr>
          <w:b/>
          <w:szCs w:val="18"/>
          <w:lang w:val="es-MX"/>
        </w:rPr>
        <w:t>Activo</w:t>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Efectivo y Equivalentes</w:t>
      </w:r>
    </w:p>
    <w:p w:rsidR="00721501" w:rsidRPr="007E42D2" w:rsidRDefault="00721501" w:rsidP="00721501">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En este rubro se integran los recursos monetarios que maneja el Instituto Tlaxcalteca para la Educación de los Adultos ITEA, en cuentas bancarias en moneda nacional.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6D3398" w:rsidP="00721501">
            <w:pPr>
              <w:pStyle w:val="Texto"/>
              <w:spacing w:after="0" w:line="276" w:lineRule="auto"/>
              <w:ind w:firstLine="0"/>
              <w:jc w:val="center"/>
              <w:rPr>
                <w:b/>
                <w:color w:val="FFFFFF" w:themeColor="background1"/>
                <w:szCs w:val="18"/>
                <w:lang w:val="es-MX"/>
              </w:rPr>
            </w:pPr>
            <w:r>
              <w:rPr>
                <w:b/>
                <w:color w:val="FFFFFF" w:themeColor="background1"/>
                <w:szCs w:val="18"/>
                <w:lang w:val="es-MX"/>
              </w:rPr>
              <w:t>Por Fuente de Financiamiento</w:t>
            </w:r>
          </w:p>
        </w:tc>
        <w:tc>
          <w:tcPr>
            <w:tcW w:w="1715" w:type="dxa"/>
            <w:shd w:val="clear" w:color="auto" w:fill="00B050"/>
          </w:tcPr>
          <w:p w:rsidR="00721501" w:rsidRPr="007E42D2" w:rsidRDefault="006D3398" w:rsidP="005F042F">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w:t>
            </w:r>
            <w:r w:rsidR="00A76237">
              <w:rPr>
                <w:b/>
                <w:color w:val="FFFFFF" w:themeColor="background1"/>
                <w:szCs w:val="18"/>
                <w:lang w:val="es-MX"/>
              </w:rPr>
              <w:t>30 Jun.</w:t>
            </w:r>
            <w:r>
              <w:rPr>
                <w:b/>
                <w:color w:val="FFFFFF" w:themeColor="background1"/>
                <w:szCs w:val="18"/>
                <w:lang w:val="es-MX"/>
              </w:rPr>
              <w:t xml:space="preserve"> 201</w:t>
            </w:r>
            <w:r w:rsidR="005F042F">
              <w:rPr>
                <w:b/>
                <w:color w:val="FFFFFF" w:themeColor="background1"/>
                <w:szCs w:val="18"/>
                <w:lang w:val="es-MX"/>
              </w:rPr>
              <w:t>6</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Ramo 33 FAETA</w:t>
            </w:r>
          </w:p>
        </w:tc>
        <w:tc>
          <w:tcPr>
            <w:tcW w:w="1715" w:type="dxa"/>
            <w:shd w:val="clear" w:color="auto" w:fill="auto"/>
          </w:tcPr>
          <w:p w:rsidR="00721501" w:rsidRPr="007E42D2" w:rsidRDefault="006D3398" w:rsidP="00A76237">
            <w:pPr>
              <w:pStyle w:val="Texto"/>
              <w:spacing w:after="0" w:line="276" w:lineRule="auto"/>
              <w:ind w:firstLine="0"/>
              <w:jc w:val="right"/>
              <w:rPr>
                <w:szCs w:val="18"/>
                <w:lang w:val="es-MX"/>
              </w:rPr>
            </w:pPr>
            <w:r>
              <w:rPr>
                <w:szCs w:val="18"/>
                <w:lang w:val="es-MX"/>
              </w:rPr>
              <w:t>2,</w:t>
            </w:r>
            <w:r w:rsidR="00A76237">
              <w:rPr>
                <w:szCs w:val="18"/>
                <w:lang w:val="es-MX"/>
              </w:rPr>
              <w:t>383</w:t>
            </w:r>
            <w:r w:rsidR="00E81F5F">
              <w:rPr>
                <w:szCs w:val="18"/>
                <w:lang w:val="es-MX"/>
              </w:rPr>
              <w:t>,</w:t>
            </w:r>
            <w:r w:rsidR="00A76237">
              <w:rPr>
                <w:szCs w:val="18"/>
                <w:lang w:val="es-MX"/>
              </w:rPr>
              <w:t>450</w:t>
            </w:r>
            <w:r w:rsidR="00E81F5F">
              <w:rPr>
                <w:szCs w:val="18"/>
                <w:lang w:val="es-MX"/>
              </w:rPr>
              <w:t>.</w:t>
            </w:r>
            <w:r w:rsidR="00A76237">
              <w:rPr>
                <w:szCs w:val="18"/>
                <w:lang w:val="es-MX"/>
              </w:rPr>
              <w:t>15</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Ramo 11</w:t>
            </w:r>
          </w:p>
        </w:tc>
        <w:tc>
          <w:tcPr>
            <w:tcW w:w="1715" w:type="dxa"/>
            <w:shd w:val="clear" w:color="auto" w:fill="auto"/>
          </w:tcPr>
          <w:p w:rsidR="00721501" w:rsidRPr="007E42D2" w:rsidRDefault="00A76237" w:rsidP="00962411">
            <w:pPr>
              <w:pStyle w:val="Texto"/>
              <w:spacing w:after="0" w:line="276" w:lineRule="auto"/>
              <w:ind w:firstLine="0"/>
              <w:jc w:val="right"/>
              <w:rPr>
                <w:szCs w:val="18"/>
                <w:lang w:val="es-MX"/>
              </w:rPr>
            </w:pPr>
            <w:r>
              <w:rPr>
                <w:szCs w:val="18"/>
                <w:lang w:val="es-MX"/>
              </w:rPr>
              <w:t>2,790,897.62</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Estatal</w:t>
            </w:r>
          </w:p>
        </w:tc>
        <w:tc>
          <w:tcPr>
            <w:tcW w:w="1715" w:type="dxa"/>
            <w:shd w:val="clear" w:color="auto" w:fill="auto"/>
          </w:tcPr>
          <w:p w:rsidR="00721501" w:rsidRPr="007E42D2" w:rsidRDefault="005F042F" w:rsidP="00A76237">
            <w:pPr>
              <w:pStyle w:val="Texto"/>
              <w:spacing w:after="0" w:line="276" w:lineRule="auto"/>
              <w:ind w:firstLine="0"/>
              <w:jc w:val="right"/>
              <w:rPr>
                <w:szCs w:val="18"/>
                <w:lang w:val="es-MX"/>
              </w:rPr>
            </w:pPr>
            <w:r>
              <w:rPr>
                <w:szCs w:val="18"/>
                <w:lang w:val="es-MX"/>
              </w:rPr>
              <w:t>2,</w:t>
            </w:r>
            <w:r w:rsidR="00A76237">
              <w:rPr>
                <w:szCs w:val="18"/>
                <w:lang w:val="es-MX"/>
              </w:rPr>
              <w:t>407,023.35</w:t>
            </w:r>
          </w:p>
        </w:tc>
      </w:tr>
      <w:tr w:rsidR="00721501" w:rsidRPr="007E42D2" w:rsidTr="00721501">
        <w:trPr>
          <w:trHeight w:val="60"/>
          <w:jc w:val="center"/>
        </w:trPr>
        <w:tc>
          <w:tcPr>
            <w:tcW w:w="2963" w:type="dxa"/>
            <w:shd w:val="clear" w:color="auto" w:fill="auto"/>
          </w:tcPr>
          <w:p w:rsidR="00721501" w:rsidRPr="007E42D2" w:rsidRDefault="00E81F5F" w:rsidP="00721501">
            <w:pPr>
              <w:pStyle w:val="Texto"/>
              <w:spacing w:after="0" w:line="276" w:lineRule="auto"/>
              <w:ind w:firstLine="0"/>
              <w:jc w:val="right"/>
              <w:rPr>
                <w:szCs w:val="18"/>
                <w:lang w:val="es-MX"/>
              </w:rPr>
            </w:pPr>
            <w:r>
              <w:rPr>
                <w:szCs w:val="18"/>
                <w:lang w:val="es-MX"/>
              </w:rPr>
              <w:t>S</w:t>
            </w:r>
            <w:r w:rsidR="00721501" w:rsidRPr="007E42D2">
              <w:rPr>
                <w:szCs w:val="18"/>
                <w:lang w:val="es-MX"/>
              </w:rPr>
              <w:t>uma</w:t>
            </w:r>
            <w:r w:rsidR="00EF7F06">
              <w:rPr>
                <w:szCs w:val="18"/>
                <w:lang w:val="es-MX"/>
              </w:rPr>
              <w:t>:</w:t>
            </w:r>
          </w:p>
        </w:tc>
        <w:tc>
          <w:tcPr>
            <w:tcW w:w="1715" w:type="dxa"/>
            <w:shd w:val="clear" w:color="auto" w:fill="auto"/>
          </w:tcPr>
          <w:p w:rsidR="00721501" w:rsidRPr="007E42D2" w:rsidRDefault="00B1750B" w:rsidP="009E2AB5">
            <w:pPr>
              <w:pStyle w:val="Texto"/>
              <w:spacing w:after="0" w:line="276" w:lineRule="auto"/>
              <w:ind w:firstLine="0"/>
              <w:jc w:val="right"/>
              <w:rPr>
                <w:szCs w:val="18"/>
                <w:lang w:val="es-MX"/>
              </w:rPr>
            </w:pPr>
            <w:r>
              <w:rPr>
                <w:szCs w:val="18"/>
                <w:lang w:val="es-MX"/>
              </w:rPr>
              <w:fldChar w:fldCharType="begin"/>
            </w:r>
            <w:r w:rsidR="006D3398">
              <w:rPr>
                <w:szCs w:val="18"/>
                <w:lang w:val="es-MX"/>
              </w:rPr>
              <w:instrText xml:space="preserve"> =SUM(ABOVE) \# "$#,##0.00;($#,##0.00)" </w:instrText>
            </w:r>
            <w:r>
              <w:rPr>
                <w:szCs w:val="18"/>
                <w:lang w:val="es-MX"/>
              </w:rPr>
              <w:fldChar w:fldCharType="separate"/>
            </w:r>
            <w:r w:rsidR="00A76237">
              <w:rPr>
                <w:noProof/>
                <w:szCs w:val="18"/>
                <w:lang w:val="es-MX"/>
              </w:rPr>
              <w:t>$   7,581,371.12</w:t>
            </w:r>
            <w:r>
              <w:rPr>
                <w:szCs w:val="18"/>
                <w:lang w:val="es-MX"/>
              </w:rPr>
              <w:fldChar w:fldCharType="end"/>
            </w:r>
          </w:p>
        </w:tc>
      </w:tr>
    </w:tbl>
    <w:p w:rsidR="00721501" w:rsidRPr="00A76237" w:rsidRDefault="00A76237" w:rsidP="00A76237">
      <w:pPr>
        <w:autoSpaceDE w:val="0"/>
        <w:autoSpaceDN w:val="0"/>
        <w:adjustRightInd w:val="0"/>
        <w:spacing w:before="80"/>
        <w:ind w:left="993"/>
        <w:jc w:val="both"/>
        <w:rPr>
          <w:rFonts w:ascii="Arial" w:hAnsi="Arial" w:cs="Arial"/>
          <w:sz w:val="18"/>
          <w:szCs w:val="18"/>
        </w:rPr>
      </w:pPr>
      <w:r>
        <w:rPr>
          <w:rFonts w:ascii="Arial" w:hAnsi="Arial" w:cs="Arial"/>
          <w:sz w:val="18"/>
          <w:szCs w:val="18"/>
        </w:rPr>
        <w:t>Cabe hacer mención que además se administra un Fondo Fijo de $ 20,000.00 en Efectivo.</w:t>
      </w:r>
    </w:p>
    <w:p w:rsidR="00A76237" w:rsidRPr="007E42D2" w:rsidRDefault="00A76237" w:rsidP="00721501">
      <w:pPr>
        <w:pStyle w:val="ROMANOS"/>
        <w:spacing w:after="0" w:line="276" w:lineRule="auto"/>
        <w:rPr>
          <w:lang w:val="es-MX"/>
        </w:rPr>
      </w:pP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Derechos a recibir Efectivo o Equivalentes</w:t>
      </w:r>
    </w:p>
    <w:p w:rsidR="00721501" w:rsidRPr="007E42D2" w:rsidRDefault="005F042F" w:rsidP="00721501">
      <w:pPr>
        <w:autoSpaceDE w:val="0"/>
        <w:autoSpaceDN w:val="0"/>
        <w:adjustRightInd w:val="0"/>
        <w:spacing w:before="80"/>
        <w:ind w:left="993"/>
        <w:jc w:val="both"/>
        <w:rPr>
          <w:rFonts w:ascii="Arial" w:hAnsi="Arial" w:cs="Arial"/>
          <w:sz w:val="18"/>
          <w:szCs w:val="18"/>
        </w:rPr>
      </w:pPr>
      <w:r>
        <w:rPr>
          <w:rFonts w:ascii="Arial" w:hAnsi="Arial" w:cs="Arial"/>
          <w:sz w:val="18"/>
          <w:szCs w:val="18"/>
        </w:rPr>
        <w:t>S</w:t>
      </w:r>
      <w:r w:rsidR="00721501" w:rsidRPr="007E42D2">
        <w:rPr>
          <w:rFonts w:ascii="Arial" w:hAnsi="Arial" w:cs="Arial"/>
          <w:sz w:val="18"/>
          <w:szCs w:val="18"/>
        </w:rPr>
        <w:t>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5435"/>
        <w:gridCol w:w="2742"/>
      </w:tblGrid>
      <w:tr w:rsidR="00721501" w:rsidRPr="007E42D2" w:rsidTr="00EF7F06">
        <w:trPr>
          <w:trHeight w:val="60"/>
          <w:jc w:val="center"/>
        </w:trPr>
        <w:tc>
          <w:tcPr>
            <w:tcW w:w="5435"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00B050"/>
          </w:tcPr>
          <w:p w:rsidR="00721501" w:rsidRPr="007E42D2" w:rsidRDefault="00EF7F06" w:rsidP="005F042F">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w:t>
            </w:r>
            <w:r w:rsidR="00A76237">
              <w:rPr>
                <w:b/>
                <w:color w:val="FFFFFF" w:themeColor="background1"/>
                <w:szCs w:val="18"/>
                <w:lang w:val="es-MX"/>
              </w:rPr>
              <w:t>30 Jun.</w:t>
            </w:r>
            <w:r>
              <w:rPr>
                <w:b/>
                <w:color w:val="FFFFFF" w:themeColor="background1"/>
                <w:szCs w:val="18"/>
                <w:lang w:val="es-MX"/>
              </w:rPr>
              <w:t xml:space="preserve"> 201</w:t>
            </w:r>
            <w:r w:rsidR="005F042F">
              <w:rPr>
                <w:b/>
                <w:color w:val="FFFFFF" w:themeColor="background1"/>
                <w:szCs w:val="18"/>
                <w:lang w:val="es-MX"/>
              </w:rPr>
              <w:t>6</w:t>
            </w:r>
          </w:p>
        </w:tc>
      </w:tr>
      <w:tr w:rsidR="00EF7F06" w:rsidRPr="00EF7F06" w:rsidTr="00EF7F06">
        <w:trPr>
          <w:trHeight w:val="60"/>
          <w:jc w:val="center"/>
        </w:trPr>
        <w:tc>
          <w:tcPr>
            <w:tcW w:w="5435" w:type="dxa"/>
            <w:shd w:val="clear" w:color="auto" w:fill="auto"/>
          </w:tcPr>
          <w:p w:rsidR="00EF7F06" w:rsidRPr="007E42D2" w:rsidRDefault="00EF7F06" w:rsidP="00EF7F06">
            <w:pPr>
              <w:pStyle w:val="Texto"/>
              <w:spacing w:after="0" w:line="276" w:lineRule="auto"/>
              <w:ind w:firstLine="0"/>
              <w:jc w:val="left"/>
              <w:rPr>
                <w:szCs w:val="18"/>
                <w:lang w:val="es-MX"/>
              </w:rPr>
            </w:pPr>
            <w:r>
              <w:rPr>
                <w:szCs w:val="18"/>
                <w:lang w:val="es-MX"/>
              </w:rPr>
              <w:t>Deudores Diversos por Cobrar a Corto Plazo</w:t>
            </w:r>
          </w:p>
        </w:tc>
        <w:tc>
          <w:tcPr>
            <w:tcW w:w="2742" w:type="dxa"/>
            <w:shd w:val="clear" w:color="auto" w:fill="auto"/>
          </w:tcPr>
          <w:p w:rsidR="00EF7F06" w:rsidRPr="00EF7F06" w:rsidRDefault="00A76237" w:rsidP="00EF7F06">
            <w:pPr>
              <w:jc w:val="right"/>
              <w:rPr>
                <w:rFonts w:ascii="Arial" w:hAnsi="Arial" w:cs="Arial"/>
                <w:sz w:val="18"/>
                <w:szCs w:val="16"/>
              </w:rPr>
            </w:pPr>
            <w:r>
              <w:rPr>
                <w:rFonts w:ascii="Arial" w:hAnsi="Arial" w:cs="Arial"/>
                <w:sz w:val="18"/>
                <w:szCs w:val="16"/>
              </w:rPr>
              <w:t>68,147.29</w:t>
            </w:r>
          </w:p>
        </w:tc>
      </w:tr>
      <w:tr w:rsidR="00EF7F06" w:rsidRPr="00EF7F06" w:rsidTr="00EF7F06">
        <w:trPr>
          <w:trHeight w:val="60"/>
          <w:jc w:val="center"/>
        </w:trPr>
        <w:tc>
          <w:tcPr>
            <w:tcW w:w="5435" w:type="dxa"/>
            <w:shd w:val="clear" w:color="auto" w:fill="auto"/>
          </w:tcPr>
          <w:p w:rsidR="00EF7F06" w:rsidRDefault="00EF7F06" w:rsidP="00EF7F06">
            <w:pPr>
              <w:pStyle w:val="Texto"/>
              <w:spacing w:after="0" w:line="276" w:lineRule="auto"/>
              <w:ind w:firstLine="0"/>
              <w:jc w:val="left"/>
              <w:rPr>
                <w:szCs w:val="18"/>
                <w:lang w:val="es-MX"/>
              </w:rPr>
            </w:pPr>
            <w:r>
              <w:rPr>
                <w:szCs w:val="18"/>
                <w:lang w:val="es-MX"/>
              </w:rPr>
              <w:t>Otros Derechos a Recibir Efectivo o Equivalentes a Corto Plazo</w:t>
            </w:r>
          </w:p>
        </w:tc>
        <w:tc>
          <w:tcPr>
            <w:tcW w:w="2742" w:type="dxa"/>
            <w:shd w:val="clear" w:color="auto" w:fill="auto"/>
          </w:tcPr>
          <w:p w:rsidR="00EF7F06" w:rsidRDefault="00A76237" w:rsidP="005F042F">
            <w:pPr>
              <w:jc w:val="right"/>
              <w:rPr>
                <w:rFonts w:ascii="Arial" w:hAnsi="Arial" w:cs="Arial"/>
                <w:sz w:val="18"/>
                <w:szCs w:val="16"/>
              </w:rPr>
            </w:pPr>
            <w:r>
              <w:rPr>
                <w:rFonts w:ascii="Arial" w:hAnsi="Arial" w:cs="Arial"/>
                <w:sz w:val="18"/>
                <w:szCs w:val="16"/>
              </w:rPr>
              <w:t>6,100.74</w:t>
            </w:r>
          </w:p>
        </w:tc>
      </w:tr>
      <w:tr w:rsidR="00EF7F06" w:rsidRPr="00EF7F06" w:rsidTr="00EF7F06">
        <w:trPr>
          <w:trHeight w:val="60"/>
          <w:jc w:val="center"/>
        </w:trPr>
        <w:tc>
          <w:tcPr>
            <w:tcW w:w="5435" w:type="dxa"/>
            <w:shd w:val="clear" w:color="auto" w:fill="auto"/>
          </w:tcPr>
          <w:p w:rsidR="00EF7F06" w:rsidRDefault="00EF7F06" w:rsidP="00EF7F06">
            <w:pPr>
              <w:pStyle w:val="Texto"/>
              <w:spacing w:after="0" w:line="276" w:lineRule="auto"/>
              <w:ind w:firstLine="0"/>
              <w:jc w:val="right"/>
              <w:rPr>
                <w:szCs w:val="18"/>
                <w:lang w:val="es-MX"/>
              </w:rPr>
            </w:pPr>
            <w:r>
              <w:rPr>
                <w:szCs w:val="18"/>
                <w:lang w:val="es-MX"/>
              </w:rPr>
              <w:t>Suma:</w:t>
            </w:r>
          </w:p>
        </w:tc>
        <w:tc>
          <w:tcPr>
            <w:tcW w:w="2742" w:type="dxa"/>
            <w:shd w:val="clear" w:color="auto" w:fill="auto"/>
          </w:tcPr>
          <w:p w:rsidR="00EF7F06" w:rsidRDefault="00B1750B" w:rsidP="00EF7F06">
            <w:pPr>
              <w:jc w:val="right"/>
              <w:rPr>
                <w:rFonts w:ascii="Arial" w:hAnsi="Arial" w:cs="Arial"/>
                <w:sz w:val="18"/>
                <w:szCs w:val="16"/>
              </w:rPr>
            </w:pPr>
            <w:r>
              <w:rPr>
                <w:rFonts w:ascii="Arial" w:hAnsi="Arial" w:cs="Arial"/>
                <w:sz w:val="18"/>
                <w:szCs w:val="16"/>
              </w:rPr>
              <w:fldChar w:fldCharType="begin"/>
            </w:r>
            <w:r w:rsidR="00EF7F06">
              <w:rPr>
                <w:rFonts w:ascii="Arial" w:hAnsi="Arial" w:cs="Arial"/>
                <w:sz w:val="18"/>
                <w:szCs w:val="16"/>
              </w:rPr>
              <w:instrText xml:space="preserve"> =SUM(ABOVE) \# "$#,##0.00;($#,##0.00)" </w:instrText>
            </w:r>
            <w:r>
              <w:rPr>
                <w:rFonts w:ascii="Arial" w:hAnsi="Arial" w:cs="Arial"/>
                <w:sz w:val="18"/>
                <w:szCs w:val="16"/>
              </w:rPr>
              <w:fldChar w:fldCharType="separate"/>
            </w:r>
            <w:r w:rsidR="00A76237">
              <w:rPr>
                <w:rFonts w:ascii="Arial" w:hAnsi="Arial" w:cs="Arial"/>
                <w:noProof/>
                <w:sz w:val="18"/>
                <w:szCs w:val="16"/>
              </w:rPr>
              <w:t>$   74,248.03</w:t>
            </w:r>
            <w:r>
              <w:rPr>
                <w:rFonts w:ascii="Arial" w:hAnsi="Arial" w:cs="Arial"/>
                <w:sz w:val="18"/>
                <w:szCs w:val="16"/>
              </w:rPr>
              <w:fldChar w:fldCharType="end"/>
            </w:r>
          </w:p>
        </w:tc>
      </w:tr>
    </w:tbl>
    <w:p w:rsidR="00721501" w:rsidRPr="007E42D2" w:rsidRDefault="00721501" w:rsidP="00721501">
      <w:pPr>
        <w:pStyle w:val="ROMANOS"/>
        <w:spacing w:after="0" w:line="276" w:lineRule="auto"/>
        <w:rPr>
          <w:lang w:val="es-MX"/>
        </w:rPr>
      </w:pPr>
    </w:p>
    <w:p w:rsidR="00721501" w:rsidRDefault="00721501" w:rsidP="00721501">
      <w:pPr>
        <w:rPr>
          <w:rFonts w:ascii="Arial" w:eastAsia="Times New Roman" w:hAnsi="Arial" w:cs="Arial"/>
          <w:b/>
          <w:sz w:val="18"/>
          <w:szCs w:val="18"/>
          <w:lang w:eastAsia="es-ES"/>
        </w:rPr>
      </w:pPr>
      <w:r>
        <w:rPr>
          <w:b/>
          <w:szCs w:val="18"/>
        </w:rPr>
        <w:br w:type="page"/>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lastRenderedPageBreak/>
        <w:t>Bienes Muebles</w:t>
      </w:r>
    </w:p>
    <w:p w:rsidR="00721501" w:rsidRPr="007E42D2" w:rsidRDefault="005F042F" w:rsidP="00721501">
      <w:pPr>
        <w:autoSpaceDE w:val="0"/>
        <w:autoSpaceDN w:val="0"/>
        <w:adjustRightInd w:val="0"/>
        <w:spacing w:before="80"/>
        <w:ind w:left="709"/>
        <w:jc w:val="both"/>
        <w:rPr>
          <w:rFonts w:ascii="Arial" w:hAnsi="Arial" w:cs="Arial"/>
          <w:sz w:val="18"/>
          <w:szCs w:val="18"/>
        </w:rPr>
      </w:pPr>
      <w:r>
        <w:rPr>
          <w:rFonts w:ascii="Arial" w:hAnsi="Arial" w:cs="Arial"/>
          <w:sz w:val="18"/>
          <w:szCs w:val="18"/>
        </w:rPr>
        <w:t>S</w:t>
      </w:r>
      <w:r w:rsidR="00721501" w:rsidRPr="007E42D2">
        <w:rPr>
          <w:rFonts w:ascii="Arial" w:hAnsi="Arial" w:cs="Arial"/>
          <w:sz w:val="18"/>
          <w:szCs w:val="18"/>
        </w:rPr>
        <w:t>e presenta la integración de los bienes muebles al 3</w:t>
      </w:r>
      <w:r w:rsidR="00A76237">
        <w:rPr>
          <w:rFonts w:ascii="Arial" w:hAnsi="Arial" w:cs="Arial"/>
          <w:sz w:val="18"/>
          <w:szCs w:val="18"/>
        </w:rPr>
        <w:t>0</w:t>
      </w:r>
      <w:r w:rsidR="00721501" w:rsidRPr="007E42D2">
        <w:rPr>
          <w:rFonts w:ascii="Arial" w:hAnsi="Arial" w:cs="Arial"/>
          <w:sz w:val="18"/>
          <w:szCs w:val="18"/>
        </w:rPr>
        <w:t xml:space="preserve"> de </w:t>
      </w:r>
      <w:r w:rsidR="00A76237">
        <w:rPr>
          <w:rFonts w:ascii="Arial" w:hAnsi="Arial" w:cs="Arial"/>
          <w:sz w:val="18"/>
          <w:szCs w:val="18"/>
        </w:rPr>
        <w:t>Junio</w:t>
      </w:r>
      <w:r w:rsidR="00721501" w:rsidRPr="007E42D2">
        <w:rPr>
          <w:rFonts w:ascii="Arial" w:hAnsi="Arial" w:cs="Arial"/>
          <w:sz w:val="18"/>
          <w:szCs w:val="18"/>
        </w:rPr>
        <w:t xml:space="preserve"> de 201</w:t>
      </w:r>
      <w:r>
        <w:rPr>
          <w:rFonts w:ascii="Arial" w:hAnsi="Arial" w:cs="Arial"/>
          <w:sz w:val="18"/>
          <w:szCs w:val="18"/>
        </w:rPr>
        <w:t>6:</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4374"/>
        <w:gridCol w:w="2742"/>
      </w:tblGrid>
      <w:tr w:rsidR="00721501" w:rsidRPr="007E42D2" w:rsidTr="00721501">
        <w:trPr>
          <w:trHeight w:val="60"/>
          <w:jc w:val="center"/>
        </w:trPr>
        <w:tc>
          <w:tcPr>
            <w:tcW w:w="4374"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00B050"/>
          </w:tcPr>
          <w:p w:rsidR="00721501" w:rsidRPr="007E42D2" w:rsidRDefault="00A20210"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A76237">
              <w:rPr>
                <w:b/>
                <w:color w:val="FFFFFF" w:themeColor="background1"/>
                <w:szCs w:val="18"/>
                <w:lang w:val="es-MX"/>
              </w:rPr>
              <w:t>30 Jun.</w:t>
            </w:r>
            <w:r>
              <w:rPr>
                <w:b/>
                <w:color w:val="FFFFFF" w:themeColor="background1"/>
                <w:szCs w:val="18"/>
                <w:lang w:val="es-MX"/>
              </w:rPr>
              <w:t xml:space="preserve"> </w:t>
            </w:r>
            <w:r w:rsidR="00721501" w:rsidRPr="007E42D2">
              <w:rPr>
                <w:b/>
                <w:color w:val="FFFFFF" w:themeColor="background1"/>
                <w:szCs w:val="18"/>
                <w:lang w:val="es-MX"/>
              </w:rPr>
              <w:t>201</w:t>
            </w:r>
            <w:r w:rsidR="005F042F">
              <w:rPr>
                <w:b/>
                <w:color w:val="FFFFFF" w:themeColor="background1"/>
                <w:szCs w:val="18"/>
                <w:lang w:val="es-MX"/>
              </w:rPr>
              <w:t>6</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Mobiliario y Equipo de Administración</w:t>
            </w:r>
          </w:p>
        </w:tc>
        <w:tc>
          <w:tcPr>
            <w:tcW w:w="2742" w:type="dxa"/>
            <w:shd w:val="clear" w:color="auto" w:fill="auto"/>
          </w:tcPr>
          <w:p w:rsidR="00721501" w:rsidRPr="007E42D2" w:rsidRDefault="00AF4D30" w:rsidP="00721501">
            <w:pPr>
              <w:pStyle w:val="Texto"/>
              <w:spacing w:after="0" w:line="276" w:lineRule="auto"/>
              <w:ind w:firstLine="0"/>
              <w:jc w:val="right"/>
              <w:rPr>
                <w:szCs w:val="18"/>
                <w:lang w:val="es-MX"/>
              </w:rPr>
            </w:pPr>
            <w:r>
              <w:rPr>
                <w:szCs w:val="18"/>
                <w:lang w:val="es-MX"/>
              </w:rPr>
              <w:t>11,567,259.15</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Equipo e Instrumental Médico y de Laboratorio</w:t>
            </w:r>
          </w:p>
        </w:tc>
        <w:tc>
          <w:tcPr>
            <w:tcW w:w="2742" w:type="dxa"/>
            <w:shd w:val="clear" w:color="auto" w:fill="auto"/>
          </w:tcPr>
          <w:p w:rsidR="00721501" w:rsidRPr="007E42D2" w:rsidRDefault="00A20210" w:rsidP="00721501">
            <w:pPr>
              <w:pStyle w:val="Texto"/>
              <w:spacing w:after="0" w:line="276" w:lineRule="auto"/>
              <w:ind w:firstLine="0"/>
              <w:jc w:val="right"/>
              <w:rPr>
                <w:szCs w:val="18"/>
                <w:lang w:val="es-MX"/>
              </w:rPr>
            </w:pPr>
            <w:r w:rsidRPr="00A20210">
              <w:rPr>
                <w:szCs w:val="18"/>
                <w:lang w:val="es-MX"/>
              </w:rPr>
              <w:t>2,495.00</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Vehículos y Equipo de Transporte</w:t>
            </w:r>
          </w:p>
        </w:tc>
        <w:tc>
          <w:tcPr>
            <w:tcW w:w="2742" w:type="dxa"/>
            <w:shd w:val="clear" w:color="auto" w:fill="auto"/>
          </w:tcPr>
          <w:p w:rsidR="00721501" w:rsidRPr="007E42D2" w:rsidRDefault="00A20210" w:rsidP="00721501">
            <w:pPr>
              <w:pStyle w:val="Texto"/>
              <w:spacing w:after="0" w:line="276" w:lineRule="auto"/>
              <w:ind w:firstLine="0"/>
              <w:jc w:val="right"/>
              <w:rPr>
                <w:szCs w:val="18"/>
                <w:lang w:val="es-MX"/>
              </w:rPr>
            </w:pPr>
            <w:r w:rsidRPr="00A20210">
              <w:rPr>
                <w:szCs w:val="18"/>
                <w:lang w:val="es-MX"/>
              </w:rPr>
              <w:t>4,310,384.48</w:t>
            </w:r>
          </w:p>
        </w:tc>
      </w:tr>
      <w:tr w:rsidR="00721501" w:rsidRPr="007E42D2" w:rsidTr="00721501">
        <w:trPr>
          <w:trHeight w:val="60"/>
          <w:jc w:val="center"/>
        </w:trPr>
        <w:tc>
          <w:tcPr>
            <w:tcW w:w="4374" w:type="dxa"/>
            <w:shd w:val="clear" w:color="auto" w:fill="auto"/>
          </w:tcPr>
          <w:p w:rsidR="00721501" w:rsidRPr="007E42D2" w:rsidRDefault="00721501" w:rsidP="00721501">
            <w:pPr>
              <w:pStyle w:val="Texto"/>
              <w:spacing w:after="0" w:line="276" w:lineRule="auto"/>
              <w:ind w:firstLine="0"/>
              <w:jc w:val="left"/>
              <w:rPr>
                <w:szCs w:val="18"/>
                <w:lang w:val="es-MX"/>
              </w:rPr>
            </w:pPr>
            <w:r>
              <w:rPr>
                <w:szCs w:val="18"/>
                <w:lang w:val="es-MX"/>
              </w:rPr>
              <w:t>Maquinaria, Otros Equipos y Herramientas</w:t>
            </w:r>
          </w:p>
        </w:tc>
        <w:tc>
          <w:tcPr>
            <w:tcW w:w="2742" w:type="dxa"/>
            <w:shd w:val="clear" w:color="auto" w:fill="auto"/>
          </w:tcPr>
          <w:p w:rsidR="00721501" w:rsidRPr="007E42D2" w:rsidRDefault="00A20210" w:rsidP="00721501">
            <w:pPr>
              <w:pStyle w:val="Texto"/>
              <w:spacing w:after="0" w:line="276" w:lineRule="auto"/>
              <w:ind w:firstLine="0"/>
              <w:jc w:val="right"/>
              <w:rPr>
                <w:szCs w:val="18"/>
                <w:lang w:val="es-MX"/>
              </w:rPr>
            </w:pPr>
            <w:r w:rsidRPr="00A20210">
              <w:rPr>
                <w:szCs w:val="18"/>
                <w:lang w:val="es-MX"/>
              </w:rPr>
              <w:t>883,741.59</w:t>
            </w:r>
          </w:p>
        </w:tc>
      </w:tr>
      <w:tr w:rsidR="00721501" w:rsidRPr="007E42D2" w:rsidTr="00721501">
        <w:trPr>
          <w:trHeight w:val="60"/>
          <w:jc w:val="center"/>
        </w:trPr>
        <w:tc>
          <w:tcPr>
            <w:tcW w:w="4374" w:type="dxa"/>
            <w:shd w:val="clear" w:color="auto" w:fill="auto"/>
          </w:tcPr>
          <w:p w:rsidR="00721501" w:rsidRPr="007E42D2" w:rsidRDefault="00A20210" w:rsidP="00A20210">
            <w:pPr>
              <w:pStyle w:val="Texto"/>
              <w:spacing w:after="0" w:line="276" w:lineRule="auto"/>
              <w:ind w:firstLine="0"/>
              <w:jc w:val="right"/>
              <w:rPr>
                <w:szCs w:val="18"/>
                <w:lang w:val="es-MX"/>
              </w:rPr>
            </w:pPr>
            <w:r>
              <w:rPr>
                <w:szCs w:val="18"/>
                <w:lang w:val="es-MX"/>
              </w:rPr>
              <w:t>S</w:t>
            </w:r>
            <w:r w:rsidR="00721501" w:rsidRPr="007E42D2">
              <w:rPr>
                <w:szCs w:val="18"/>
                <w:lang w:val="es-MX"/>
              </w:rPr>
              <w:t>uma</w:t>
            </w:r>
            <w:r>
              <w:rPr>
                <w:szCs w:val="18"/>
                <w:lang w:val="es-MX"/>
              </w:rPr>
              <w:t>:</w:t>
            </w:r>
          </w:p>
        </w:tc>
        <w:tc>
          <w:tcPr>
            <w:tcW w:w="2742" w:type="dxa"/>
            <w:shd w:val="clear" w:color="auto" w:fill="auto"/>
          </w:tcPr>
          <w:p w:rsidR="00721501" w:rsidRPr="007E42D2" w:rsidRDefault="00B1750B" w:rsidP="00721501">
            <w:pPr>
              <w:pStyle w:val="Texto"/>
              <w:spacing w:after="0" w:line="276" w:lineRule="auto"/>
              <w:ind w:firstLine="0"/>
              <w:jc w:val="right"/>
              <w:rPr>
                <w:szCs w:val="18"/>
                <w:lang w:val="es-MX"/>
              </w:rPr>
            </w:pPr>
            <w:r>
              <w:rPr>
                <w:szCs w:val="18"/>
                <w:lang w:val="es-MX"/>
              </w:rPr>
              <w:fldChar w:fldCharType="begin"/>
            </w:r>
            <w:r w:rsidR="00A20210">
              <w:rPr>
                <w:szCs w:val="18"/>
                <w:lang w:val="es-MX"/>
              </w:rPr>
              <w:instrText xml:space="preserve"> =SUM(ABOVE) \# "$#,##0.00;($#,##0.00)" </w:instrText>
            </w:r>
            <w:r>
              <w:rPr>
                <w:szCs w:val="18"/>
                <w:lang w:val="es-MX"/>
              </w:rPr>
              <w:fldChar w:fldCharType="separate"/>
            </w:r>
            <w:r w:rsidR="00AF4D30">
              <w:rPr>
                <w:noProof/>
                <w:szCs w:val="18"/>
                <w:lang w:val="es-MX"/>
              </w:rPr>
              <w:t>$   16,763,880.22</w:t>
            </w:r>
            <w:r>
              <w:rPr>
                <w:szCs w:val="18"/>
                <w:lang w:val="es-MX"/>
              </w:rPr>
              <w:fldChar w:fldCharType="end"/>
            </w:r>
          </w:p>
        </w:tc>
      </w:tr>
    </w:tbl>
    <w:p w:rsidR="00721501" w:rsidRDefault="00721501" w:rsidP="00721501">
      <w:pPr>
        <w:autoSpaceDE w:val="0"/>
        <w:autoSpaceDN w:val="0"/>
        <w:adjustRightInd w:val="0"/>
        <w:spacing w:before="80"/>
        <w:ind w:left="709"/>
        <w:jc w:val="both"/>
        <w:rPr>
          <w:rFonts w:ascii="Arial" w:hAnsi="Arial" w:cs="Arial"/>
          <w:sz w:val="18"/>
          <w:szCs w:val="18"/>
        </w:rPr>
      </w:pPr>
    </w:p>
    <w:p w:rsidR="005F042F" w:rsidRDefault="005F042F" w:rsidP="00721501">
      <w:pPr>
        <w:autoSpaceDE w:val="0"/>
        <w:autoSpaceDN w:val="0"/>
        <w:adjustRightInd w:val="0"/>
        <w:spacing w:before="80"/>
        <w:ind w:left="709"/>
        <w:jc w:val="both"/>
        <w:rPr>
          <w:rFonts w:ascii="Arial" w:hAnsi="Arial" w:cs="Arial"/>
          <w:sz w:val="18"/>
          <w:szCs w:val="18"/>
        </w:rPr>
      </w:pPr>
    </w:p>
    <w:p w:rsidR="005F042F" w:rsidRPr="007E42D2" w:rsidRDefault="005F042F"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Activos Diferidos</w:t>
      </w:r>
    </w:p>
    <w:p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En este rubro se integra el valor nominal de las cantidades dejadas en guarda para garantizar el servicio de arrendamiento de bienes inmuebles.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E101CB"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A76237">
              <w:rPr>
                <w:b/>
                <w:color w:val="FFFFFF" w:themeColor="background1"/>
                <w:szCs w:val="18"/>
                <w:lang w:val="es-MX"/>
              </w:rPr>
              <w:t>30 Jun.</w:t>
            </w:r>
            <w:r>
              <w:rPr>
                <w:b/>
                <w:color w:val="FFFFFF" w:themeColor="background1"/>
                <w:szCs w:val="18"/>
                <w:lang w:val="es-MX"/>
              </w:rPr>
              <w:t xml:space="preserve"> </w:t>
            </w:r>
            <w:r w:rsidR="00721501" w:rsidRPr="007E42D2">
              <w:rPr>
                <w:b/>
                <w:color w:val="FFFFFF" w:themeColor="background1"/>
                <w:szCs w:val="18"/>
                <w:lang w:val="es-MX"/>
              </w:rPr>
              <w:t>201</w:t>
            </w:r>
            <w:r w:rsidR="005F042F">
              <w:rPr>
                <w:b/>
                <w:color w:val="FFFFFF" w:themeColor="background1"/>
                <w:szCs w:val="18"/>
                <w:lang w:val="es-MX"/>
              </w:rPr>
              <w:t>6</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left"/>
              <w:rPr>
                <w:szCs w:val="18"/>
                <w:lang w:val="es-MX"/>
              </w:rPr>
            </w:pPr>
            <w:r w:rsidRPr="007E42D2">
              <w:rPr>
                <w:szCs w:val="18"/>
                <w:lang w:val="es-MX"/>
              </w:rPr>
              <w:t>Depósitos en garantía</w:t>
            </w:r>
          </w:p>
        </w:tc>
        <w:tc>
          <w:tcPr>
            <w:tcW w:w="1715" w:type="dxa"/>
            <w:shd w:val="clear" w:color="auto" w:fill="auto"/>
          </w:tcPr>
          <w:p w:rsidR="00721501" w:rsidRPr="007E42D2" w:rsidRDefault="00721501" w:rsidP="00721501">
            <w:pPr>
              <w:pStyle w:val="Texto"/>
              <w:spacing w:after="0" w:line="276" w:lineRule="auto"/>
              <w:ind w:firstLine="0"/>
              <w:jc w:val="right"/>
              <w:rPr>
                <w:szCs w:val="18"/>
                <w:lang w:val="es-MX"/>
              </w:rPr>
            </w:pPr>
            <w:r w:rsidRPr="007E42D2">
              <w:rPr>
                <w:szCs w:val="18"/>
                <w:lang w:val="es-MX"/>
              </w:rPr>
              <w:t>$17,000</w:t>
            </w:r>
            <w:r w:rsidR="00E101CB">
              <w:rPr>
                <w:szCs w:val="18"/>
                <w:lang w:val="es-MX"/>
              </w:rPr>
              <w:t>.06</w:t>
            </w:r>
          </w:p>
        </w:tc>
      </w:tr>
    </w:tbl>
    <w:p w:rsidR="00721501" w:rsidRDefault="00721501" w:rsidP="00721501">
      <w:pPr>
        <w:rPr>
          <w:rFonts w:ascii="Arial" w:hAnsi="Arial" w:cs="Arial"/>
          <w:b/>
          <w:sz w:val="18"/>
          <w:szCs w:val="18"/>
        </w:rPr>
      </w:pPr>
      <w:r>
        <w:rPr>
          <w:rFonts w:ascii="Arial" w:hAnsi="Arial" w:cs="Arial"/>
          <w:b/>
          <w:sz w:val="18"/>
          <w:szCs w:val="18"/>
        </w:rPr>
        <w:br w:type="page"/>
      </w:r>
    </w:p>
    <w:p w:rsidR="00721501" w:rsidRPr="007E42D2" w:rsidRDefault="00721501" w:rsidP="00721501">
      <w:pPr>
        <w:autoSpaceDE w:val="0"/>
        <w:autoSpaceDN w:val="0"/>
        <w:adjustRightInd w:val="0"/>
        <w:spacing w:before="240" w:after="120"/>
        <w:jc w:val="both"/>
        <w:rPr>
          <w:rFonts w:ascii="Arial" w:hAnsi="Arial" w:cs="Arial"/>
          <w:b/>
          <w:sz w:val="18"/>
          <w:szCs w:val="18"/>
        </w:rPr>
      </w:pPr>
      <w:r w:rsidRPr="007E42D2">
        <w:rPr>
          <w:rFonts w:ascii="Arial" w:hAnsi="Arial" w:cs="Arial"/>
          <w:b/>
          <w:sz w:val="18"/>
          <w:szCs w:val="18"/>
        </w:rPr>
        <w:lastRenderedPageBreak/>
        <w:t>Pasivo</w:t>
      </w:r>
    </w:p>
    <w:p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Cuentas por Pagar a Corto Plazo</w:t>
      </w:r>
    </w:p>
    <w:p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operaciones por servicios personales, pasivos por obligaciones laborales y acreedores diversos</w:t>
      </w:r>
      <w:r w:rsidR="00DF45C5">
        <w:rPr>
          <w:rFonts w:ascii="Arial" w:hAnsi="Arial" w:cs="Arial"/>
          <w:sz w:val="18"/>
          <w:szCs w:val="18"/>
        </w:rPr>
        <w:t>. Además en Otras cuentas por pagar a corto plazo está integrado el saldo acreedor que corresponde a la regularización referida en el rubro de Derechos a recibir efectivo o equivalentes</w:t>
      </w:r>
      <w:r w:rsidRPr="007E42D2">
        <w:rPr>
          <w:rFonts w:ascii="Arial" w:hAnsi="Arial" w:cs="Arial"/>
          <w:sz w:val="18"/>
          <w:szCs w:val="18"/>
        </w:rPr>
        <w:t>. A continuación se presenta la integración de este rubro:</w:t>
      </w: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4622"/>
        <w:gridCol w:w="2209"/>
      </w:tblGrid>
      <w:tr w:rsidR="00721501" w:rsidRPr="007E42D2" w:rsidTr="00E101CB">
        <w:trPr>
          <w:trHeight w:val="60"/>
          <w:jc w:val="center"/>
        </w:trPr>
        <w:tc>
          <w:tcPr>
            <w:tcW w:w="4622"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209" w:type="dxa"/>
            <w:shd w:val="clear" w:color="auto" w:fill="00B050"/>
          </w:tcPr>
          <w:p w:rsidR="00721501" w:rsidRPr="007E42D2" w:rsidRDefault="00DF45C5" w:rsidP="005F042F">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w:t>
            </w:r>
            <w:r w:rsidR="00E101CB">
              <w:rPr>
                <w:b/>
                <w:color w:val="FFFFFF" w:themeColor="background1"/>
                <w:szCs w:val="18"/>
                <w:lang w:val="es-MX"/>
              </w:rPr>
              <w:t>l</w:t>
            </w:r>
            <w:proofErr w:type="gramEnd"/>
            <w:r w:rsidR="00E101CB">
              <w:rPr>
                <w:b/>
                <w:color w:val="FFFFFF" w:themeColor="background1"/>
                <w:szCs w:val="18"/>
                <w:lang w:val="es-MX"/>
              </w:rPr>
              <w:t xml:space="preserve"> </w:t>
            </w:r>
            <w:r w:rsidR="00A76237">
              <w:rPr>
                <w:b/>
                <w:color w:val="FFFFFF" w:themeColor="background1"/>
                <w:szCs w:val="18"/>
                <w:lang w:val="es-MX"/>
              </w:rPr>
              <w:t>30 Jun.</w:t>
            </w:r>
            <w:r w:rsidR="00E101CB">
              <w:rPr>
                <w:b/>
                <w:color w:val="FFFFFF" w:themeColor="background1"/>
                <w:szCs w:val="18"/>
                <w:lang w:val="es-MX"/>
              </w:rPr>
              <w:t xml:space="preserve"> </w:t>
            </w:r>
            <w:r w:rsidR="00721501" w:rsidRPr="007E42D2">
              <w:rPr>
                <w:b/>
                <w:color w:val="FFFFFF" w:themeColor="background1"/>
                <w:szCs w:val="18"/>
                <w:lang w:val="es-MX"/>
              </w:rPr>
              <w:t>201</w:t>
            </w:r>
            <w:r w:rsidR="005F042F">
              <w:rPr>
                <w:b/>
                <w:color w:val="FFFFFF" w:themeColor="background1"/>
                <w:szCs w:val="18"/>
                <w:lang w:val="es-MX"/>
              </w:rPr>
              <w:t>6</w:t>
            </w:r>
          </w:p>
        </w:tc>
      </w:tr>
      <w:tr w:rsidR="00721501" w:rsidRPr="007E42D2" w:rsidTr="00E101CB">
        <w:trPr>
          <w:trHeight w:val="60"/>
          <w:jc w:val="center"/>
        </w:trPr>
        <w:tc>
          <w:tcPr>
            <w:tcW w:w="4622" w:type="dxa"/>
            <w:shd w:val="clear" w:color="auto" w:fill="auto"/>
          </w:tcPr>
          <w:p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Servicios personales por pagar</w:t>
            </w:r>
          </w:p>
        </w:tc>
        <w:tc>
          <w:tcPr>
            <w:tcW w:w="2209" w:type="dxa"/>
            <w:shd w:val="clear" w:color="auto" w:fill="auto"/>
            <w:vAlign w:val="bottom"/>
          </w:tcPr>
          <w:p w:rsidR="00721501" w:rsidRPr="007E42D2" w:rsidRDefault="005F042F" w:rsidP="00CD7583">
            <w:pPr>
              <w:spacing w:line="276" w:lineRule="auto"/>
              <w:jc w:val="right"/>
              <w:rPr>
                <w:rFonts w:ascii="Arial" w:hAnsi="Arial" w:cs="Arial"/>
                <w:sz w:val="18"/>
                <w:szCs w:val="18"/>
              </w:rPr>
            </w:pPr>
            <w:r>
              <w:rPr>
                <w:rFonts w:ascii="Arial" w:hAnsi="Arial" w:cs="Arial"/>
                <w:sz w:val="18"/>
                <w:szCs w:val="18"/>
              </w:rPr>
              <w:t>5,383.36</w:t>
            </w:r>
          </w:p>
        </w:tc>
      </w:tr>
      <w:tr w:rsidR="00721501" w:rsidRPr="007E42D2" w:rsidTr="00E101CB">
        <w:trPr>
          <w:trHeight w:val="60"/>
          <w:jc w:val="center"/>
        </w:trPr>
        <w:tc>
          <w:tcPr>
            <w:tcW w:w="4622" w:type="dxa"/>
            <w:shd w:val="clear" w:color="auto" w:fill="auto"/>
          </w:tcPr>
          <w:p w:rsidR="00721501" w:rsidRPr="007E42D2" w:rsidRDefault="00E101CB"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Proveedores por pagar a corto plazo</w:t>
            </w:r>
          </w:p>
        </w:tc>
        <w:tc>
          <w:tcPr>
            <w:tcW w:w="2209" w:type="dxa"/>
            <w:shd w:val="clear" w:color="auto" w:fill="auto"/>
            <w:vAlign w:val="bottom"/>
          </w:tcPr>
          <w:p w:rsidR="00721501" w:rsidRPr="007E42D2" w:rsidRDefault="00AF4D30" w:rsidP="00721501">
            <w:pPr>
              <w:spacing w:line="276" w:lineRule="auto"/>
              <w:jc w:val="right"/>
              <w:rPr>
                <w:rFonts w:ascii="Arial" w:hAnsi="Arial" w:cs="Arial"/>
                <w:sz w:val="18"/>
                <w:szCs w:val="18"/>
              </w:rPr>
            </w:pPr>
            <w:r>
              <w:rPr>
                <w:rFonts w:ascii="Arial" w:hAnsi="Arial" w:cs="Arial"/>
                <w:sz w:val="18"/>
                <w:szCs w:val="18"/>
              </w:rPr>
              <w:t>3,770</w:t>
            </w:r>
            <w:r w:rsidR="005F042F">
              <w:rPr>
                <w:rFonts w:ascii="Arial" w:hAnsi="Arial" w:cs="Arial"/>
                <w:sz w:val="18"/>
                <w:szCs w:val="18"/>
              </w:rPr>
              <w:t>.00</w:t>
            </w:r>
          </w:p>
        </w:tc>
      </w:tr>
      <w:tr w:rsidR="00721501" w:rsidRPr="007E42D2" w:rsidTr="00E101CB">
        <w:trPr>
          <w:trHeight w:val="60"/>
          <w:jc w:val="center"/>
        </w:trPr>
        <w:tc>
          <w:tcPr>
            <w:tcW w:w="4622" w:type="dxa"/>
            <w:shd w:val="clear" w:color="auto" w:fill="auto"/>
          </w:tcPr>
          <w:p w:rsidR="00721501" w:rsidRPr="007E42D2" w:rsidRDefault="00E101CB"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Retenciones y Contribuciones por pagar a corto plazo</w:t>
            </w:r>
          </w:p>
        </w:tc>
        <w:tc>
          <w:tcPr>
            <w:tcW w:w="2209" w:type="dxa"/>
            <w:shd w:val="clear" w:color="auto" w:fill="auto"/>
            <w:vAlign w:val="bottom"/>
          </w:tcPr>
          <w:p w:rsidR="00721501" w:rsidRPr="007E42D2" w:rsidRDefault="00AF4D30" w:rsidP="00A959E1">
            <w:pPr>
              <w:spacing w:line="276" w:lineRule="auto"/>
              <w:jc w:val="right"/>
              <w:rPr>
                <w:rFonts w:ascii="Arial" w:hAnsi="Arial" w:cs="Arial"/>
                <w:sz w:val="18"/>
                <w:szCs w:val="18"/>
              </w:rPr>
            </w:pPr>
            <w:r>
              <w:rPr>
                <w:rFonts w:ascii="Arial" w:hAnsi="Arial" w:cs="Arial"/>
                <w:sz w:val="18"/>
                <w:szCs w:val="18"/>
              </w:rPr>
              <w:t>661,018.</w:t>
            </w:r>
            <w:r w:rsidR="00A959E1">
              <w:rPr>
                <w:rFonts w:ascii="Arial" w:hAnsi="Arial" w:cs="Arial"/>
                <w:sz w:val="18"/>
                <w:szCs w:val="18"/>
              </w:rPr>
              <w:t>6</w:t>
            </w:r>
            <w:r>
              <w:rPr>
                <w:rFonts w:ascii="Arial" w:hAnsi="Arial" w:cs="Arial"/>
                <w:sz w:val="18"/>
                <w:szCs w:val="18"/>
              </w:rPr>
              <w:t>6</w:t>
            </w:r>
          </w:p>
        </w:tc>
      </w:tr>
      <w:tr w:rsidR="00721501" w:rsidRPr="007E42D2" w:rsidTr="00E101CB">
        <w:trPr>
          <w:trHeight w:val="60"/>
          <w:jc w:val="center"/>
        </w:trPr>
        <w:tc>
          <w:tcPr>
            <w:tcW w:w="4622" w:type="dxa"/>
            <w:shd w:val="clear" w:color="auto" w:fill="auto"/>
          </w:tcPr>
          <w:p w:rsidR="00721501" w:rsidRPr="007E42D2" w:rsidRDefault="00E101CB"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cuentas por pagar a corto plazo</w:t>
            </w:r>
          </w:p>
        </w:tc>
        <w:tc>
          <w:tcPr>
            <w:tcW w:w="2209" w:type="dxa"/>
            <w:shd w:val="clear" w:color="auto" w:fill="auto"/>
            <w:vAlign w:val="bottom"/>
          </w:tcPr>
          <w:p w:rsidR="00721501" w:rsidRPr="007E42D2" w:rsidRDefault="00AF4D30" w:rsidP="005F042F">
            <w:pPr>
              <w:spacing w:line="276" w:lineRule="auto"/>
              <w:jc w:val="right"/>
              <w:rPr>
                <w:rFonts w:ascii="Arial" w:hAnsi="Arial" w:cs="Arial"/>
                <w:sz w:val="18"/>
                <w:szCs w:val="18"/>
              </w:rPr>
            </w:pPr>
            <w:r>
              <w:rPr>
                <w:rFonts w:ascii="Arial" w:hAnsi="Arial" w:cs="Arial"/>
                <w:sz w:val="18"/>
                <w:szCs w:val="18"/>
              </w:rPr>
              <w:t>18,293.38</w:t>
            </w:r>
          </w:p>
        </w:tc>
      </w:tr>
      <w:tr w:rsidR="00721501" w:rsidRPr="007E42D2" w:rsidTr="00E101CB">
        <w:trPr>
          <w:trHeight w:val="60"/>
          <w:jc w:val="center"/>
        </w:trPr>
        <w:tc>
          <w:tcPr>
            <w:tcW w:w="4622" w:type="dxa"/>
            <w:shd w:val="clear" w:color="auto" w:fill="auto"/>
          </w:tcPr>
          <w:p w:rsidR="00721501" w:rsidRPr="007E42D2" w:rsidRDefault="00E101CB" w:rsidP="00721501">
            <w:pPr>
              <w:pStyle w:val="Texto"/>
              <w:spacing w:after="0" w:line="276" w:lineRule="auto"/>
              <w:ind w:firstLine="0"/>
              <w:jc w:val="right"/>
              <w:rPr>
                <w:rFonts w:eastAsiaTheme="minorHAnsi"/>
                <w:szCs w:val="18"/>
                <w:lang w:val="es-MX" w:eastAsia="en-US"/>
              </w:rPr>
            </w:pPr>
            <w:r>
              <w:rPr>
                <w:rFonts w:eastAsiaTheme="minorHAnsi"/>
                <w:szCs w:val="18"/>
                <w:lang w:val="es-MX" w:eastAsia="en-US"/>
              </w:rPr>
              <w:t>S</w:t>
            </w:r>
            <w:r w:rsidR="00721501" w:rsidRPr="007E42D2">
              <w:rPr>
                <w:rFonts w:eastAsiaTheme="minorHAnsi"/>
                <w:szCs w:val="18"/>
                <w:lang w:val="es-MX" w:eastAsia="en-US"/>
              </w:rPr>
              <w:t>uma</w:t>
            </w:r>
            <w:r>
              <w:rPr>
                <w:rFonts w:eastAsiaTheme="minorHAnsi"/>
                <w:szCs w:val="18"/>
                <w:lang w:val="es-MX" w:eastAsia="en-US"/>
              </w:rPr>
              <w:t>:</w:t>
            </w:r>
          </w:p>
        </w:tc>
        <w:tc>
          <w:tcPr>
            <w:tcW w:w="2209" w:type="dxa"/>
            <w:shd w:val="clear" w:color="auto" w:fill="auto"/>
          </w:tcPr>
          <w:p w:rsidR="00721501" w:rsidRPr="007E42D2" w:rsidRDefault="00B1750B" w:rsidP="00E101CB">
            <w:pPr>
              <w:pStyle w:val="Texto"/>
              <w:spacing w:after="0" w:line="276" w:lineRule="auto"/>
              <w:ind w:firstLine="0"/>
              <w:jc w:val="right"/>
              <w:rPr>
                <w:szCs w:val="18"/>
                <w:lang w:val="es-MX"/>
              </w:rPr>
            </w:pPr>
            <w:r>
              <w:rPr>
                <w:szCs w:val="18"/>
                <w:lang w:val="es-MX"/>
              </w:rPr>
              <w:fldChar w:fldCharType="begin"/>
            </w:r>
            <w:r w:rsidR="00E101CB">
              <w:rPr>
                <w:szCs w:val="18"/>
                <w:lang w:val="es-MX"/>
              </w:rPr>
              <w:instrText xml:space="preserve"> =SUM(ABOVE) \# "$#,##0.00;($#,##0.00)" </w:instrText>
            </w:r>
            <w:r>
              <w:rPr>
                <w:szCs w:val="18"/>
                <w:lang w:val="es-MX"/>
              </w:rPr>
              <w:fldChar w:fldCharType="separate"/>
            </w:r>
            <w:r w:rsidR="00A959E1">
              <w:rPr>
                <w:noProof/>
                <w:szCs w:val="18"/>
                <w:lang w:val="es-MX"/>
              </w:rPr>
              <w:t>$   688,465.40</w:t>
            </w:r>
            <w:r>
              <w:rPr>
                <w:szCs w:val="18"/>
                <w:lang w:val="es-MX"/>
              </w:rPr>
              <w:fldChar w:fldCharType="end"/>
            </w:r>
          </w:p>
        </w:tc>
      </w:tr>
    </w:tbl>
    <w:p w:rsidR="00721501" w:rsidRPr="007E42D2" w:rsidRDefault="00721501"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pStyle w:val="Texto"/>
        <w:numPr>
          <w:ilvl w:val="0"/>
          <w:numId w:val="5"/>
        </w:numPr>
        <w:spacing w:line="276" w:lineRule="auto"/>
        <w:rPr>
          <w:szCs w:val="18"/>
        </w:rPr>
      </w:pPr>
      <w:r w:rsidRPr="007E42D2">
        <w:rPr>
          <w:b/>
          <w:szCs w:val="18"/>
          <w:lang w:val="es-MX"/>
        </w:rPr>
        <w:t>Provisiones a Corto Plazo</w:t>
      </w:r>
    </w:p>
    <w:p w:rsidR="00721501"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w:t>
      </w:r>
      <w:r w:rsidR="00DF45C5">
        <w:rPr>
          <w:rFonts w:ascii="Arial" w:hAnsi="Arial" w:cs="Arial"/>
          <w:sz w:val="18"/>
          <w:szCs w:val="18"/>
        </w:rPr>
        <w:t xml:space="preserve"> por servicios devengados y</w:t>
      </w:r>
      <w:r w:rsidRPr="007E42D2">
        <w:rPr>
          <w:rFonts w:ascii="Arial" w:hAnsi="Arial" w:cs="Arial"/>
          <w:sz w:val="18"/>
          <w:szCs w:val="18"/>
        </w:rPr>
        <w:t xml:space="preserve"> que deberá pagar en un plazo menor o igual a doce meses. A continuación se presenta la integración de este rubro:</w:t>
      </w:r>
    </w:p>
    <w:p w:rsidR="00721501" w:rsidRPr="007E42D2" w:rsidRDefault="00721501" w:rsidP="00721501">
      <w:pPr>
        <w:autoSpaceDE w:val="0"/>
        <w:autoSpaceDN w:val="0"/>
        <w:adjustRightInd w:val="0"/>
        <w:spacing w:before="80"/>
        <w:ind w:left="709"/>
        <w:jc w:val="both"/>
        <w:rPr>
          <w:rFonts w:ascii="Arial" w:hAnsi="Arial" w:cs="Arial"/>
          <w:sz w:val="18"/>
          <w:szCs w:val="18"/>
        </w:rPr>
      </w:pPr>
    </w:p>
    <w:p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721501" w:rsidRPr="007E42D2" w:rsidTr="00721501">
        <w:trPr>
          <w:trHeight w:val="60"/>
          <w:jc w:val="center"/>
        </w:trPr>
        <w:tc>
          <w:tcPr>
            <w:tcW w:w="2963" w:type="dxa"/>
            <w:shd w:val="clear" w:color="auto" w:fill="00B050"/>
          </w:tcPr>
          <w:p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721501" w:rsidRPr="007E42D2" w:rsidRDefault="00DF45C5" w:rsidP="00DE22DA">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w:t>
            </w:r>
            <w:r w:rsidR="00A76237">
              <w:rPr>
                <w:b/>
                <w:color w:val="FFFFFF" w:themeColor="background1"/>
                <w:szCs w:val="18"/>
                <w:lang w:val="es-MX"/>
              </w:rPr>
              <w:t>30 Jun.</w:t>
            </w:r>
            <w:r>
              <w:rPr>
                <w:b/>
                <w:color w:val="FFFFFF" w:themeColor="background1"/>
                <w:szCs w:val="18"/>
                <w:lang w:val="es-MX"/>
              </w:rPr>
              <w:t xml:space="preserve"> </w:t>
            </w:r>
            <w:r w:rsidR="00721501" w:rsidRPr="007E42D2">
              <w:rPr>
                <w:b/>
                <w:color w:val="FFFFFF" w:themeColor="background1"/>
                <w:szCs w:val="18"/>
                <w:lang w:val="es-MX"/>
              </w:rPr>
              <w:t>201</w:t>
            </w:r>
            <w:r w:rsidR="00DE22DA">
              <w:rPr>
                <w:b/>
                <w:color w:val="FFFFFF" w:themeColor="background1"/>
                <w:szCs w:val="18"/>
                <w:lang w:val="es-MX"/>
              </w:rPr>
              <w:t>6</w:t>
            </w:r>
          </w:p>
        </w:tc>
      </w:tr>
      <w:tr w:rsidR="00721501" w:rsidRPr="007E42D2" w:rsidTr="00721501">
        <w:trPr>
          <w:trHeight w:val="60"/>
          <w:jc w:val="center"/>
        </w:trPr>
        <w:tc>
          <w:tcPr>
            <w:tcW w:w="2963" w:type="dxa"/>
            <w:shd w:val="clear" w:color="auto" w:fill="auto"/>
          </w:tcPr>
          <w:p w:rsidR="00721501" w:rsidRPr="007E42D2" w:rsidRDefault="00721501" w:rsidP="00B00D7A">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 xml:space="preserve">Provisión </w:t>
            </w:r>
            <w:r w:rsidR="00B00D7A">
              <w:rPr>
                <w:rFonts w:eastAsiaTheme="minorHAnsi"/>
                <w:szCs w:val="18"/>
                <w:lang w:val="es-MX" w:eastAsia="en-US"/>
              </w:rPr>
              <w:t>para Contingencias</w:t>
            </w:r>
          </w:p>
        </w:tc>
        <w:tc>
          <w:tcPr>
            <w:tcW w:w="1715" w:type="dxa"/>
            <w:shd w:val="clear" w:color="auto" w:fill="auto"/>
            <w:vAlign w:val="bottom"/>
          </w:tcPr>
          <w:p w:rsidR="00721501" w:rsidRPr="007E42D2" w:rsidRDefault="00A959E1" w:rsidP="00721501">
            <w:pPr>
              <w:spacing w:line="276" w:lineRule="auto"/>
              <w:jc w:val="right"/>
              <w:rPr>
                <w:rFonts w:ascii="Arial" w:hAnsi="Arial" w:cs="Arial"/>
                <w:sz w:val="18"/>
                <w:szCs w:val="18"/>
              </w:rPr>
            </w:pPr>
            <w:r>
              <w:rPr>
                <w:rFonts w:ascii="Arial" w:hAnsi="Arial" w:cs="Arial"/>
                <w:sz w:val="18"/>
                <w:szCs w:val="18"/>
              </w:rPr>
              <w:t>648,303.90</w:t>
            </w:r>
          </w:p>
        </w:tc>
      </w:tr>
      <w:tr w:rsidR="00721501" w:rsidRPr="007E42D2" w:rsidTr="00721501">
        <w:trPr>
          <w:trHeight w:val="225"/>
          <w:jc w:val="center"/>
        </w:trPr>
        <w:tc>
          <w:tcPr>
            <w:tcW w:w="2963" w:type="dxa"/>
            <w:shd w:val="clear" w:color="auto" w:fill="auto"/>
          </w:tcPr>
          <w:p w:rsidR="00721501" w:rsidRPr="007E42D2" w:rsidRDefault="00B00D7A"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Provisiones</w:t>
            </w:r>
          </w:p>
        </w:tc>
        <w:tc>
          <w:tcPr>
            <w:tcW w:w="1715" w:type="dxa"/>
            <w:shd w:val="clear" w:color="auto" w:fill="auto"/>
            <w:vAlign w:val="bottom"/>
          </w:tcPr>
          <w:p w:rsidR="00721501" w:rsidRPr="007E42D2" w:rsidRDefault="00A959E1" w:rsidP="003B593D">
            <w:pPr>
              <w:spacing w:line="276" w:lineRule="auto"/>
              <w:jc w:val="right"/>
              <w:rPr>
                <w:rFonts w:ascii="Arial" w:hAnsi="Arial" w:cs="Arial"/>
                <w:sz w:val="18"/>
                <w:szCs w:val="18"/>
              </w:rPr>
            </w:pPr>
            <w:r>
              <w:rPr>
                <w:rFonts w:ascii="Arial" w:hAnsi="Arial" w:cs="Arial"/>
                <w:sz w:val="18"/>
                <w:szCs w:val="18"/>
              </w:rPr>
              <w:t>11,914.99</w:t>
            </w:r>
          </w:p>
        </w:tc>
      </w:tr>
      <w:tr w:rsidR="00721501" w:rsidRPr="007E42D2" w:rsidTr="00721501">
        <w:trPr>
          <w:trHeight w:val="60"/>
          <w:jc w:val="center"/>
        </w:trPr>
        <w:tc>
          <w:tcPr>
            <w:tcW w:w="2963" w:type="dxa"/>
            <w:shd w:val="clear" w:color="auto" w:fill="auto"/>
          </w:tcPr>
          <w:p w:rsidR="00721501" w:rsidRPr="007E42D2" w:rsidRDefault="00721501" w:rsidP="00721501">
            <w:pPr>
              <w:pStyle w:val="Texto"/>
              <w:spacing w:after="0" w:line="276" w:lineRule="auto"/>
              <w:ind w:firstLine="0"/>
              <w:jc w:val="right"/>
              <w:rPr>
                <w:rFonts w:eastAsiaTheme="minorHAnsi"/>
                <w:szCs w:val="18"/>
                <w:lang w:val="es-MX" w:eastAsia="en-US"/>
              </w:rPr>
            </w:pPr>
            <w:r w:rsidRPr="007E42D2">
              <w:rPr>
                <w:rFonts w:eastAsiaTheme="minorHAnsi"/>
                <w:szCs w:val="18"/>
                <w:lang w:val="es-MX" w:eastAsia="en-US"/>
              </w:rPr>
              <w:t>suma</w:t>
            </w:r>
          </w:p>
        </w:tc>
        <w:tc>
          <w:tcPr>
            <w:tcW w:w="1715" w:type="dxa"/>
            <w:shd w:val="clear" w:color="auto" w:fill="auto"/>
            <w:vAlign w:val="bottom"/>
          </w:tcPr>
          <w:p w:rsidR="00721501" w:rsidRPr="007E42D2" w:rsidRDefault="00B1750B" w:rsidP="00721501">
            <w:pPr>
              <w:spacing w:line="276" w:lineRule="auto"/>
              <w:jc w:val="right"/>
              <w:rPr>
                <w:rFonts w:ascii="Arial" w:hAnsi="Arial" w:cs="Arial"/>
                <w:sz w:val="18"/>
                <w:szCs w:val="18"/>
              </w:rPr>
            </w:pPr>
            <w:r>
              <w:rPr>
                <w:rFonts w:ascii="Arial" w:hAnsi="Arial" w:cs="Arial"/>
                <w:sz w:val="18"/>
                <w:szCs w:val="18"/>
              </w:rPr>
              <w:fldChar w:fldCharType="begin"/>
            </w:r>
            <w:r w:rsidR="00DF45C5">
              <w:rPr>
                <w:rFonts w:ascii="Arial" w:hAnsi="Arial" w:cs="Arial"/>
                <w:sz w:val="18"/>
                <w:szCs w:val="18"/>
              </w:rPr>
              <w:instrText xml:space="preserve"> =SUM(ABOVE) \# "$#,##0.00;($#,##0.00)" </w:instrText>
            </w:r>
            <w:r>
              <w:rPr>
                <w:rFonts w:ascii="Arial" w:hAnsi="Arial" w:cs="Arial"/>
                <w:sz w:val="18"/>
                <w:szCs w:val="18"/>
              </w:rPr>
              <w:fldChar w:fldCharType="separate"/>
            </w:r>
            <w:r w:rsidR="00A959E1">
              <w:rPr>
                <w:rFonts w:ascii="Arial" w:hAnsi="Arial" w:cs="Arial"/>
                <w:noProof/>
                <w:sz w:val="18"/>
                <w:szCs w:val="18"/>
              </w:rPr>
              <w:t>$   660,218.89</w:t>
            </w:r>
            <w:r>
              <w:rPr>
                <w:rFonts w:ascii="Arial" w:hAnsi="Arial" w:cs="Arial"/>
                <w:sz w:val="18"/>
                <w:szCs w:val="18"/>
              </w:rPr>
              <w:fldChar w:fldCharType="end"/>
            </w:r>
          </w:p>
        </w:tc>
      </w:tr>
    </w:tbl>
    <w:p w:rsidR="00B00D7A" w:rsidRDefault="00B00D7A" w:rsidP="00B00D7A">
      <w:pPr>
        <w:rPr>
          <w:rFonts w:ascii="Arial" w:hAnsi="Arial" w:cs="Arial"/>
          <w:sz w:val="18"/>
          <w:szCs w:val="18"/>
        </w:rPr>
      </w:pPr>
      <w:r>
        <w:rPr>
          <w:rFonts w:ascii="Arial" w:hAnsi="Arial" w:cs="Arial"/>
          <w:sz w:val="18"/>
          <w:szCs w:val="18"/>
        </w:rPr>
        <w:br w:type="page"/>
      </w:r>
    </w:p>
    <w:p w:rsidR="00721501" w:rsidRPr="007E42D2" w:rsidRDefault="00721501" w:rsidP="00721501">
      <w:pPr>
        <w:autoSpaceDE w:val="0"/>
        <w:autoSpaceDN w:val="0"/>
        <w:adjustRightInd w:val="0"/>
        <w:spacing w:before="240" w:after="120"/>
        <w:jc w:val="both"/>
        <w:rPr>
          <w:rFonts w:ascii="Arial" w:eastAsia="Times New Roman" w:hAnsi="Arial" w:cs="Arial"/>
          <w:b/>
          <w:sz w:val="18"/>
          <w:szCs w:val="18"/>
          <w:lang w:val="es-ES" w:eastAsia="es-ES"/>
        </w:rPr>
      </w:pPr>
      <w:r w:rsidRPr="007E42D2">
        <w:rPr>
          <w:rFonts w:ascii="Arial" w:eastAsia="Times New Roman" w:hAnsi="Arial" w:cs="Arial"/>
          <w:b/>
          <w:sz w:val="18"/>
          <w:szCs w:val="18"/>
          <w:lang w:val="es-ES" w:eastAsia="es-ES"/>
        </w:rPr>
        <w:lastRenderedPageBreak/>
        <w:t>II)</w:t>
      </w:r>
      <w:r w:rsidRPr="007E42D2">
        <w:rPr>
          <w:rFonts w:ascii="Arial" w:eastAsia="Times New Roman" w:hAnsi="Arial" w:cs="Arial"/>
          <w:b/>
          <w:sz w:val="18"/>
          <w:szCs w:val="18"/>
          <w:lang w:val="es-ES" w:eastAsia="es-ES"/>
        </w:rPr>
        <w:tab/>
        <w:t>Notas al Estado de Actividades</w:t>
      </w:r>
    </w:p>
    <w:p w:rsidR="008923E7" w:rsidRDefault="008923E7" w:rsidP="008923E7">
      <w:pPr>
        <w:pStyle w:val="Texto"/>
        <w:numPr>
          <w:ilvl w:val="0"/>
          <w:numId w:val="5"/>
        </w:numPr>
        <w:spacing w:line="276" w:lineRule="auto"/>
        <w:rPr>
          <w:szCs w:val="18"/>
        </w:rPr>
      </w:pPr>
      <w:r>
        <w:rPr>
          <w:b/>
          <w:szCs w:val="18"/>
        </w:rPr>
        <w:t>Ingresos de Gestión</w:t>
      </w:r>
      <w:r>
        <w:rPr>
          <w:szCs w:val="18"/>
        </w:rPr>
        <w:t>, los ingresos de los que se financian las actividades del Instituto son:</w:t>
      </w:r>
    </w:p>
    <w:p w:rsidR="00FA11DA" w:rsidRPr="00FA11DA" w:rsidRDefault="00FA11DA" w:rsidP="00FA11D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tblGrid>
      <w:tr w:rsidR="008923E7" w:rsidRPr="007E42D2" w:rsidTr="008923E7">
        <w:trPr>
          <w:trHeight w:val="60"/>
          <w:jc w:val="center"/>
        </w:trPr>
        <w:tc>
          <w:tcPr>
            <w:tcW w:w="5365" w:type="dxa"/>
            <w:shd w:val="clear" w:color="auto" w:fill="00B050"/>
          </w:tcPr>
          <w:p w:rsidR="008923E7" w:rsidRPr="007E42D2" w:rsidRDefault="008923E7" w:rsidP="00FC4DCD">
            <w:pPr>
              <w:pStyle w:val="Texto"/>
              <w:spacing w:after="0" w:line="276" w:lineRule="auto"/>
              <w:ind w:firstLine="0"/>
              <w:jc w:val="center"/>
              <w:rPr>
                <w:b/>
                <w:color w:val="FFFFFF" w:themeColor="background1"/>
                <w:szCs w:val="18"/>
                <w:lang w:val="es-MX"/>
              </w:rPr>
            </w:pPr>
            <w:r>
              <w:rPr>
                <w:b/>
                <w:color w:val="FFFFFF" w:themeColor="background1"/>
                <w:szCs w:val="18"/>
                <w:lang w:val="es-MX"/>
              </w:rPr>
              <w:t>Participaciones y Aportaciones</w:t>
            </w:r>
          </w:p>
        </w:tc>
        <w:tc>
          <w:tcPr>
            <w:tcW w:w="2209" w:type="dxa"/>
            <w:shd w:val="clear" w:color="auto" w:fill="00B050"/>
          </w:tcPr>
          <w:p w:rsidR="008923E7" w:rsidRPr="007E42D2" w:rsidRDefault="008923E7" w:rsidP="00E9790E">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w:t>
            </w:r>
            <w:r w:rsidR="00A76237">
              <w:rPr>
                <w:b/>
                <w:color w:val="FFFFFF" w:themeColor="background1"/>
                <w:szCs w:val="18"/>
                <w:lang w:val="es-MX"/>
              </w:rPr>
              <w:t>30 Jun.</w:t>
            </w:r>
            <w:r>
              <w:rPr>
                <w:b/>
                <w:color w:val="FFFFFF" w:themeColor="background1"/>
                <w:szCs w:val="18"/>
                <w:lang w:val="es-MX"/>
              </w:rPr>
              <w:t xml:space="preserve"> </w:t>
            </w:r>
            <w:r w:rsidRPr="007E42D2">
              <w:rPr>
                <w:b/>
                <w:color w:val="FFFFFF" w:themeColor="background1"/>
                <w:szCs w:val="18"/>
                <w:lang w:val="es-MX"/>
              </w:rPr>
              <w:t>201</w:t>
            </w:r>
            <w:r w:rsidR="00E9790E">
              <w:rPr>
                <w:b/>
                <w:color w:val="FFFFFF" w:themeColor="background1"/>
                <w:szCs w:val="18"/>
                <w:lang w:val="es-MX"/>
              </w:rPr>
              <w:t>6</w:t>
            </w:r>
          </w:p>
        </w:tc>
      </w:tr>
      <w:tr w:rsidR="008923E7" w:rsidRPr="007E42D2" w:rsidTr="008923E7">
        <w:trPr>
          <w:trHeight w:val="60"/>
          <w:jc w:val="center"/>
        </w:trPr>
        <w:tc>
          <w:tcPr>
            <w:tcW w:w="5365" w:type="dxa"/>
            <w:shd w:val="clear" w:color="auto" w:fill="auto"/>
          </w:tcPr>
          <w:p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33 FAETA (Ingresos Federales)</w:t>
            </w:r>
          </w:p>
        </w:tc>
        <w:tc>
          <w:tcPr>
            <w:tcW w:w="2209" w:type="dxa"/>
            <w:shd w:val="clear" w:color="auto" w:fill="auto"/>
            <w:vAlign w:val="bottom"/>
          </w:tcPr>
          <w:p w:rsidR="008923E7" w:rsidRPr="007E42D2" w:rsidRDefault="00A959E1" w:rsidP="00CD7583">
            <w:pPr>
              <w:spacing w:line="276" w:lineRule="auto"/>
              <w:jc w:val="right"/>
              <w:rPr>
                <w:rFonts w:ascii="Arial" w:hAnsi="Arial" w:cs="Arial"/>
                <w:sz w:val="18"/>
                <w:szCs w:val="18"/>
              </w:rPr>
            </w:pPr>
            <w:r>
              <w:rPr>
                <w:rFonts w:ascii="Arial" w:hAnsi="Arial" w:cs="Arial"/>
                <w:sz w:val="18"/>
                <w:szCs w:val="18"/>
              </w:rPr>
              <w:t>18,404,571.45</w:t>
            </w:r>
          </w:p>
        </w:tc>
      </w:tr>
      <w:tr w:rsidR="008923E7" w:rsidRPr="007E42D2" w:rsidTr="008923E7">
        <w:trPr>
          <w:trHeight w:val="60"/>
          <w:jc w:val="center"/>
        </w:trPr>
        <w:tc>
          <w:tcPr>
            <w:tcW w:w="5365" w:type="dxa"/>
            <w:shd w:val="clear" w:color="auto" w:fill="auto"/>
          </w:tcPr>
          <w:p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11 Convenios de Colaboración (Ingresos Federales)</w:t>
            </w:r>
          </w:p>
        </w:tc>
        <w:tc>
          <w:tcPr>
            <w:tcW w:w="2209" w:type="dxa"/>
            <w:shd w:val="clear" w:color="auto" w:fill="auto"/>
            <w:vAlign w:val="bottom"/>
          </w:tcPr>
          <w:p w:rsidR="008923E7" w:rsidRPr="007E42D2" w:rsidRDefault="00A959E1" w:rsidP="00FC4DCD">
            <w:pPr>
              <w:spacing w:line="276" w:lineRule="auto"/>
              <w:jc w:val="right"/>
              <w:rPr>
                <w:rFonts w:ascii="Arial" w:hAnsi="Arial" w:cs="Arial"/>
                <w:sz w:val="18"/>
                <w:szCs w:val="18"/>
              </w:rPr>
            </w:pPr>
            <w:r>
              <w:rPr>
                <w:rFonts w:ascii="Arial" w:hAnsi="Arial" w:cs="Arial"/>
                <w:sz w:val="18"/>
                <w:szCs w:val="18"/>
              </w:rPr>
              <w:t>9,301,009.71</w:t>
            </w:r>
          </w:p>
        </w:tc>
      </w:tr>
      <w:tr w:rsidR="008923E7" w:rsidRPr="007E42D2" w:rsidTr="008923E7">
        <w:trPr>
          <w:trHeight w:val="60"/>
          <w:jc w:val="center"/>
        </w:trPr>
        <w:tc>
          <w:tcPr>
            <w:tcW w:w="5365" w:type="dxa"/>
            <w:shd w:val="clear" w:color="auto" w:fill="auto"/>
          </w:tcPr>
          <w:p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Aportación Estatal</w:t>
            </w:r>
            <w:r w:rsidR="00FA11DA">
              <w:rPr>
                <w:rFonts w:eastAsiaTheme="minorHAnsi"/>
                <w:szCs w:val="18"/>
                <w:lang w:val="es-MX" w:eastAsia="en-US"/>
              </w:rPr>
              <w:t xml:space="preserve"> (Ingresos Fiscales)</w:t>
            </w:r>
          </w:p>
        </w:tc>
        <w:tc>
          <w:tcPr>
            <w:tcW w:w="2209" w:type="dxa"/>
            <w:shd w:val="clear" w:color="auto" w:fill="auto"/>
            <w:vAlign w:val="bottom"/>
          </w:tcPr>
          <w:p w:rsidR="008923E7" w:rsidRPr="007E42D2" w:rsidRDefault="00A959E1" w:rsidP="00FC4DCD">
            <w:pPr>
              <w:spacing w:line="276" w:lineRule="auto"/>
              <w:jc w:val="right"/>
              <w:rPr>
                <w:rFonts w:ascii="Arial" w:hAnsi="Arial" w:cs="Arial"/>
                <w:sz w:val="18"/>
                <w:szCs w:val="18"/>
              </w:rPr>
            </w:pPr>
            <w:r>
              <w:rPr>
                <w:rFonts w:ascii="Arial" w:hAnsi="Arial" w:cs="Arial"/>
                <w:sz w:val="18"/>
                <w:szCs w:val="18"/>
              </w:rPr>
              <w:t>7,555,210.71</w:t>
            </w:r>
          </w:p>
        </w:tc>
      </w:tr>
      <w:tr w:rsidR="00FA11DA" w:rsidRPr="007E42D2" w:rsidTr="008923E7">
        <w:trPr>
          <w:trHeight w:val="60"/>
          <w:jc w:val="center"/>
        </w:trPr>
        <w:tc>
          <w:tcPr>
            <w:tcW w:w="5365" w:type="dxa"/>
            <w:shd w:val="clear" w:color="auto" w:fill="auto"/>
          </w:tcPr>
          <w:p w:rsidR="00FA11DA" w:rsidRDefault="00FA11DA" w:rsidP="00A51AF2">
            <w:pPr>
              <w:pStyle w:val="Texto"/>
              <w:spacing w:after="0" w:line="276" w:lineRule="auto"/>
              <w:ind w:firstLine="0"/>
              <w:jc w:val="left"/>
              <w:rPr>
                <w:rFonts w:eastAsiaTheme="minorHAnsi"/>
                <w:szCs w:val="18"/>
                <w:lang w:val="es-MX" w:eastAsia="en-US"/>
              </w:rPr>
            </w:pPr>
            <w:r>
              <w:rPr>
                <w:rFonts w:eastAsiaTheme="minorHAnsi"/>
                <w:szCs w:val="18"/>
                <w:lang w:val="es-MX" w:eastAsia="en-US"/>
              </w:rPr>
              <w:t>Ingresos Financieros</w:t>
            </w:r>
          </w:p>
        </w:tc>
        <w:tc>
          <w:tcPr>
            <w:tcW w:w="2209" w:type="dxa"/>
            <w:shd w:val="clear" w:color="auto" w:fill="auto"/>
          </w:tcPr>
          <w:p w:rsidR="00FA11DA" w:rsidRDefault="00A959E1" w:rsidP="00CD7583">
            <w:pPr>
              <w:pStyle w:val="Texto"/>
              <w:spacing w:after="0" w:line="276" w:lineRule="auto"/>
              <w:ind w:firstLine="0"/>
              <w:jc w:val="right"/>
              <w:rPr>
                <w:szCs w:val="18"/>
                <w:lang w:val="es-MX"/>
              </w:rPr>
            </w:pPr>
            <w:r>
              <w:rPr>
                <w:szCs w:val="18"/>
                <w:lang w:val="es-MX"/>
              </w:rPr>
              <w:t>3,994.36</w:t>
            </w:r>
          </w:p>
        </w:tc>
      </w:tr>
      <w:tr w:rsidR="008923E7" w:rsidRPr="007E42D2" w:rsidTr="008923E7">
        <w:trPr>
          <w:trHeight w:val="60"/>
          <w:jc w:val="center"/>
        </w:trPr>
        <w:tc>
          <w:tcPr>
            <w:tcW w:w="5365" w:type="dxa"/>
            <w:shd w:val="clear" w:color="auto" w:fill="auto"/>
          </w:tcPr>
          <w:p w:rsidR="008923E7" w:rsidRPr="007E42D2" w:rsidRDefault="008923E7" w:rsidP="00FC4DCD">
            <w:pPr>
              <w:pStyle w:val="Texto"/>
              <w:spacing w:after="0" w:line="276" w:lineRule="auto"/>
              <w:ind w:firstLine="0"/>
              <w:jc w:val="right"/>
              <w:rPr>
                <w:rFonts w:eastAsiaTheme="minorHAnsi"/>
                <w:szCs w:val="18"/>
                <w:lang w:val="es-MX" w:eastAsia="en-US"/>
              </w:rPr>
            </w:pPr>
            <w:r>
              <w:rPr>
                <w:rFonts w:eastAsiaTheme="minorHAnsi"/>
                <w:szCs w:val="18"/>
                <w:lang w:val="es-MX" w:eastAsia="en-US"/>
              </w:rPr>
              <w:t>S</w:t>
            </w:r>
            <w:r w:rsidRPr="007E42D2">
              <w:rPr>
                <w:rFonts w:eastAsiaTheme="minorHAnsi"/>
                <w:szCs w:val="18"/>
                <w:lang w:val="es-MX" w:eastAsia="en-US"/>
              </w:rPr>
              <w:t>uma</w:t>
            </w:r>
            <w:r>
              <w:rPr>
                <w:rFonts w:eastAsiaTheme="minorHAnsi"/>
                <w:szCs w:val="18"/>
                <w:lang w:val="es-MX" w:eastAsia="en-US"/>
              </w:rPr>
              <w:t>:</w:t>
            </w:r>
          </w:p>
        </w:tc>
        <w:tc>
          <w:tcPr>
            <w:tcW w:w="2209" w:type="dxa"/>
            <w:shd w:val="clear" w:color="auto" w:fill="auto"/>
          </w:tcPr>
          <w:p w:rsidR="008923E7" w:rsidRPr="007E42D2" w:rsidRDefault="00B1750B" w:rsidP="00FC4DCD">
            <w:pPr>
              <w:pStyle w:val="Texto"/>
              <w:spacing w:after="0" w:line="276" w:lineRule="auto"/>
              <w:ind w:firstLine="0"/>
              <w:jc w:val="right"/>
              <w:rPr>
                <w:szCs w:val="18"/>
                <w:lang w:val="es-MX"/>
              </w:rPr>
            </w:pPr>
            <w:r>
              <w:rPr>
                <w:szCs w:val="18"/>
                <w:lang w:val="es-MX"/>
              </w:rPr>
              <w:fldChar w:fldCharType="begin"/>
            </w:r>
            <w:r w:rsidR="008923E7">
              <w:rPr>
                <w:szCs w:val="18"/>
                <w:lang w:val="es-MX"/>
              </w:rPr>
              <w:instrText xml:space="preserve"> =SUM(ABOVE) \# "$#,##0.00;($#,##0.00)" </w:instrText>
            </w:r>
            <w:r>
              <w:rPr>
                <w:szCs w:val="18"/>
                <w:lang w:val="es-MX"/>
              </w:rPr>
              <w:fldChar w:fldCharType="separate"/>
            </w:r>
            <w:r w:rsidR="00A959E1">
              <w:rPr>
                <w:noProof/>
                <w:szCs w:val="18"/>
                <w:lang w:val="es-MX"/>
              </w:rPr>
              <w:t>$   35,264,786.23</w:t>
            </w:r>
            <w:r>
              <w:rPr>
                <w:szCs w:val="18"/>
                <w:lang w:val="es-MX"/>
              </w:rPr>
              <w:fldChar w:fldCharType="end"/>
            </w:r>
          </w:p>
        </w:tc>
      </w:tr>
    </w:tbl>
    <w:p w:rsidR="00FA11DA" w:rsidRPr="00FA11DA" w:rsidRDefault="00FA11DA" w:rsidP="00FA11DA">
      <w:pPr>
        <w:pStyle w:val="Texto"/>
        <w:spacing w:line="276" w:lineRule="auto"/>
        <w:rPr>
          <w:szCs w:val="18"/>
        </w:rPr>
      </w:pPr>
    </w:p>
    <w:p w:rsidR="00FA11DA" w:rsidRPr="007E42D2" w:rsidRDefault="00FA11DA" w:rsidP="00FA11DA">
      <w:pPr>
        <w:pStyle w:val="Texto"/>
        <w:numPr>
          <w:ilvl w:val="0"/>
          <w:numId w:val="5"/>
        </w:numPr>
        <w:spacing w:line="276" w:lineRule="auto"/>
        <w:rPr>
          <w:szCs w:val="18"/>
        </w:rPr>
      </w:pPr>
      <w:r>
        <w:rPr>
          <w:b/>
          <w:szCs w:val="18"/>
        </w:rPr>
        <w:t>Gastos y Otras Pérdidas</w:t>
      </w:r>
      <w:r>
        <w:rPr>
          <w:szCs w:val="18"/>
        </w:rPr>
        <w:t xml:space="preserve">, los gastos de este </w:t>
      </w:r>
      <w:r w:rsidR="00E9790E">
        <w:rPr>
          <w:szCs w:val="18"/>
        </w:rPr>
        <w:t>periodo</w:t>
      </w:r>
      <w:r>
        <w:rPr>
          <w:szCs w:val="18"/>
        </w:rPr>
        <w:t xml:space="preserve"> ascendieron</w:t>
      </w:r>
      <w:r w:rsidR="00A76932">
        <w:rPr>
          <w:szCs w:val="18"/>
        </w:rPr>
        <w:t xml:space="preserve"> a</w:t>
      </w:r>
      <w:r>
        <w:rPr>
          <w:szCs w:val="18"/>
        </w:rPr>
        <w:t>:</w:t>
      </w:r>
    </w:p>
    <w:p w:rsidR="00FA11DA" w:rsidRPr="00FA11DA" w:rsidRDefault="00FA11DA" w:rsidP="00FA11D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tblGrid>
      <w:tr w:rsidR="00FA11DA" w:rsidRPr="007E42D2" w:rsidTr="00FC4DCD">
        <w:trPr>
          <w:trHeight w:val="60"/>
          <w:jc w:val="center"/>
        </w:trPr>
        <w:tc>
          <w:tcPr>
            <w:tcW w:w="5365" w:type="dxa"/>
            <w:shd w:val="clear" w:color="auto" w:fill="00B050"/>
          </w:tcPr>
          <w:p w:rsidR="00FA11DA" w:rsidRPr="007E42D2" w:rsidRDefault="00271F23" w:rsidP="00A76932">
            <w:pPr>
              <w:pStyle w:val="Texto"/>
              <w:spacing w:after="0" w:line="276" w:lineRule="auto"/>
              <w:ind w:firstLine="0"/>
              <w:jc w:val="center"/>
              <w:rPr>
                <w:b/>
                <w:color w:val="FFFFFF" w:themeColor="background1"/>
                <w:szCs w:val="18"/>
                <w:lang w:val="es-MX"/>
              </w:rPr>
            </w:pPr>
            <w:r>
              <w:rPr>
                <w:b/>
                <w:color w:val="FFFFFF" w:themeColor="background1"/>
                <w:szCs w:val="18"/>
                <w:lang w:val="es-MX"/>
              </w:rPr>
              <w:t>Gastos y Otras Pérdidas</w:t>
            </w:r>
          </w:p>
        </w:tc>
        <w:tc>
          <w:tcPr>
            <w:tcW w:w="2209" w:type="dxa"/>
            <w:shd w:val="clear" w:color="auto" w:fill="00B050"/>
          </w:tcPr>
          <w:p w:rsidR="00FA11DA" w:rsidRPr="007E42D2" w:rsidRDefault="00FA11DA" w:rsidP="00E9790E">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w:t>
            </w:r>
            <w:r w:rsidR="00A76237">
              <w:rPr>
                <w:b/>
                <w:color w:val="FFFFFF" w:themeColor="background1"/>
                <w:szCs w:val="18"/>
                <w:lang w:val="es-MX"/>
              </w:rPr>
              <w:t>30 Jun.</w:t>
            </w:r>
            <w:r>
              <w:rPr>
                <w:b/>
                <w:color w:val="FFFFFF" w:themeColor="background1"/>
                <w:szCs w:val="18"/>
                <w:lang w:val="es-MX"/>
              </w:rPr>
              <w:t xml:space="preserve"> </w:t>
            </w:r>
            <w:r w:rsidRPr="007E42D2">
              <w:rPr>
                <w:b/>
                <w:color w:val="FFFFFF" w:themeColor="background1"/>
                <w:szCs w:val="18"/>
                <w:lang w:val="es-MX"/>
              </w:rPr>
              <w:t>201</w:t>
            </w:r>
            <w:r w:rsidR="00E9790E">
              <w:rPr>
                <w:b/>
                <w:color w:val="FFFFFF" w:themeColor="background1"/>
                <w:szCs w:val="18"/>
                <w:lang w:val="es-MX"/>
              </w:rPr>
              <w:t>6</w:t>
            </w:r>
          </w:p>
        </w:tc>
      </w:tr>
      <w:tr w:rsidR="00FA11DA" w:rsidRPr="007E42D2" w:rsidTr="00FC4DCD">
        <w:trPr>
          <w:trHeight w:val="60"/>
          <w:jc w:val="center"/>
        </w:trPr>
        <w:tc>
          <w:tcPr>
            <w:tcW w:w="5365" w:type="dxa"/>
            <w:shd w:val="clear" w:color="auto" w:fill="auto"/>
          </w:tcPr>
          <w:p w:rsidR="00FA11DA" w:rsidRPr="007E42D2" w:rsidRDefault="00271F23"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Gastos de Funcionamiento</w:t>
            </w:r>
          </w:p>
        </w:tc>
        <w:tc>
          <w:tcPr>
            <w:tcW w:w="2209" w:type="dxa"/>
            <w:shd w:val="clear" w:color="auto" w:fill="auto"/>
            <w:vAlign w:val="bottom"/>
          </w:tcPr>
          <w:p w:rsidR="00FA11DA" w:rsidRPr="007E42D2" w:rsidRDefault="00A959E1" w:rsidP="00A51AF2">
            <w:pPr>
              <w:spacing w:line="276" w:lineRule="auto"/>
              <w:jc w:val="right"/>
              <w:rPr>
                <w:rFonts w:ascii="Arial" w:hAnsi="Arial" w:cs="Arial"/>
                <w:sz w:val="18"/>
                <w:szCs w:val="18"/>
              </w:rPr>
            </w:pPr>
            <w:r>
              <w:rPr>
                <w:rFonts w:ascii="Arial" w:hAnsi="Arial" w:cs="Arial"/>
                <w:sz w:val="18"/>
                <w:szCs w:val="18"/>
              </w:rPr>
              <w:t>16,277,009.73</w:t>
            </w:r>
          </w:p>
        </w:tc>
      </w:tr>
      <w:tr w:rsidR="00FA11DA" w:rsidRPr="007E42D2" w:rsidTr="00FC4DCD">
        <w:trPr>
          <w:trHeight w:val="60"/>
          <w:jc w:val="center"/>
        </w:trPr>
        <w:tc>
          <w:tcPr>
            <w:tcW w:w="5365" w:type="dxa"/>
            <w:shd w:val="clear" w:color="auto" w:fill="auto"/>
          </w:tcPr>
          <w:p w:rsidR="00FA11DA" w:rsidRPr="007E42D2" w:rsidRDefault="00271F23" w:rsidP="00271F23">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Personales</w:t>
            </w:r>
          </w:p>
        </w:tc>
        <w:tc>
          <w:tcPr>
            <w:tcW w:w="2209" w:type="dxa"/>
            <w:shd w:val="clear" w:color="auto" w:fill="auto"/>
            <w:vAlign w:val="bottom"/>
          </w:tcPr>
          <w:p w:rsidR="00FA11DA" w:rsidRPr="007E42D2" w:rsidRDefault="00A959E1" w:rsidP="00CD7583">
            <w:pPr>
              <w:spacing w:line="276" w:lineRule="auto"/>
              <w:jc w:val="right"/>
              <w:rPr>
                <w:rFonts w:ascii="Arial" w:hAnsi="Arial" w:cs="Arial"/>
                <w:sz w:val="18"/>
                <w:szCs w:val="18"/>
              </w:rPr>
            </w:pPr>
            <w:r>
              <w:rPr>
                <w:rFonts w:ascii="Arial" w:hAnsi="Arial" w:cs="Arial"/>
                <w:sz w:val="18"/>
                <w:szCs w:val="18"/>
              </w:rPr>
              <w:t>11,934,636.46</w:t>
            </w:r>
          </w:p>
        </w:tc>
      </w:tr>
      <w:tr w:rsidR="00271F23" w:rsidRPr="007E42D2" w:rsidTr="00FC4DCD">
        <w:trPr>
          <w:trHeight w:val="60"/>
          <w:jc w:val="center"/>
        </w:trPr>
        <w:tc>
          <w:tcPr>
            <w:tcW w:w="5365" w:type="dxa"/>
            <w:shd w:val="clear" w:color="auto" w:fill="auto"/>
          </w:tcPr>
          <w:p w:rsidR="00271F23" w:rsidRPr="007E42D2" w:rsidRDefault="00271F23" w:rsidP="00FC4DC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Materiales</w:t>
            </w:r>
            <w:r w:rsidR="00261730">
              <w:rPr>
                <w:rFonts w:eastAsiaTheme="minorHAnsi"/>
                <w:szCs w:val="18"/>
                <w:lang w:val="es-MX" w:eastAsia="en-US"/>
              </w:rPr>
              <w:t xml:space="preserve"> y Suministros</w:t>
            </w:r>
          </w:p>
        </w:tc>
        <w:tc>
          <w:tcPr>
            <w:tcW w:w="2209" w:type="dxa"/>
            <w:shd w:val="clear" w:color="auto" w:fill="auto"/>
            <w:vAlign w:val="bottom"/>
          </w:tcPr>
          <w:p w:rsidR="00271F23" w:rsidRPr="007E42D2" w:rsidRDefault="00A959E1" w:rsidP="00FC4DCD">
            <w:pPr>
              <w:spacing w:line="276" w:lineRule="auto"/>
              <w:jc w:val="right"/>
              <w:rPr>
                <w:rFonts w:ascii="Arial" w:hAnsi="Arial" w:cs="Arial"/>
                <w:sz w:val="18"/>
                <w:szCs w:val="18"/>
              </w:rPr>
            </w:pPr>
            <w:r>
              <w:rPr>
                <w:rFonts w:ascii="Arial" w:hAnsi="Arial" w:cs="Arial"/>
                <w:sz w:val="18"/>
                <w:szCs w:val="18"/>
              </w:rPr>
              <w:t>1,781,967.83</w:t>
            </w:r>
          </w:p>
        </w:tc>
      </w:tr>
      <w:tr w:rsidR="00261730" w:rsidRPr="007E42D2" w:rsidTr="00FC4DCD">
        <w:trPr>
          <w:trHeight w:val="60"/>
          <w:jc w:val="center"/>
        </w:trPr>
        <w:tc>
          <w:tcPr>
            <w:tcW w:w="5365" w:type="dxa"/>
            <w:shd w:val="clear" w:color="auto" w:fill="auto"/>
          </w:tcPr>
          <w:p w:rsidR="00261730" w:rsidRPr="007E42D2" w:rsidRDefault="00261730" w:rsidP="00FC4DC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Generales</w:t>
            </w:r>
          </w:p>
        </w:tc>
        <w:tc>
          <w:tcPr>
            <w:tcW w:w="2209" w:type="dxa"/>
            <w:shd w:val="clear" w:color="auto" w:fill="auto"/>
          </w:tcPr>
          <w:p w:rsidR="00261730" w:rsidRDefault="00A959E1" w:rsidP="00FC4DCD">
            <w:pPr>
              <w:pStyle w:val="Texto"/>
              <w:spacing w:after="0" w:line="276" w:lineRule="auto"/>
              <w:ind w:firstLine="0"/>
              <w:jc w:val="right"/>
              <w:rPr>
                <w:szCs w:val="18"/>
                <w:lang w:val="es-MX"/>
              </w:rPr>
            </w:pPr>
            <w:r>
              <w:rPr>
                <w:szCs w:val="18"/>
                <w:lang w:val="es-MX"/>
              </w:rPr>
              <w:t>2,560,405.44</w:t>
            </w:r>
          </w:p>
        </w:tc>
      </w:tr>
      <w:tr w:rsidR="00261730" w:rsidRPr="007E42D2" w:rsidTr="00FC4DCD">
        <w:trPr>
          <w:trHeight w:val="60"/>
          <w:jc w:val="center"/>
        </w:trPr>
        <w:tc>
          <w:tcPr>
            <w:tcW w:w="5365" w:type="dxa"/>
            <w:shd w:val="clear" w:color="auto" w:fill="auto"/>
          </w:tcPr>
          <w:p w:rsidR="00261730" w:rsidRDefault="00261730" w:rsidP="00261730">
            <w:pPr>
              <w:pStyle w:val="Texto"/>
              <w:spacing w:after="0" w:line="276" w:lineRule="auto"/>
              <w:ind w:firstLine="0"/>
              <w:jc w:val="left"/>
              <w:rPr>
                <w:rFonts w:eastAsiaTheme="minorHAnsi"/>
                <w:szCs w:val="18"/>
                <w:lang w:val="es-MX" w:eastAsia="en-US"/>
              </w:rPr>
            </w:pPr>
            <w:r>
              <w:rPr>
                <w:rFonts w:eastAsiaTheme="minorHAnsi"/>
                <w:szCs w:val="18"/>
                <w:lang w:val="es-MX" w:eastAsia="en-US"/>
              </w:rPr>
              <w:t>Transferencias, Asignaciones, Subsidios y Otras Ayudas</w:t>
            </w:r>
          </w:p>
        </w:tc>
        <w:tc>
          <w:tcPr>
            <w:tcW w:w="2209" w:type="dxa"/>
            <w:shd w:val="clear" w:color="auto" w:fill="auto"/>
          </w:tcPr>
          <w:p w:rsidR="00261730" w:rsidRPr="00261730" w:rsidRDefault="00A959E1" w:rsidP="00A51AF2">
            <w:pPr>
              <w:pStyle w:val="Texto"/>
              <w:spacing w:after="0" w:line="276" w:lineRule="auto"/>
              <w:ind w:firstLine="0"/>
              <w:jc w:val="right"/>
              <w:rPr>
                <w:szCs w:val="18"/>
                <w:lang w:val="es-MX"/>
              </w:rPr>
            </w:pPr>
            <w:r>
              <w:rPr>
                <w:szCs w:val="18"/>
                <w:lang w:val="es-MX"/>
              </w:rPr>
              <w:t>13,152,636.00</w:t>
            </w:r>
          </w:p>
        </w:tc>
      </w:tr>
      <w:tr w:rsidR="00EA1523" w:rsidRPr="007E42D2" w:rsidTr="00FC4DCD">
        <w:trPr>
          <w:trHeight w:val="60"/>
          <w:jc w:val="center"/>
        </w:trPr>
        <w:tc>
          <w:tcPr>
            <w:tcW w:w="5365" w:type="dxa"/>
            <w:shd w:val="clear" w:color="auto" w:fill="auto"/>
          </w:tcPr>
          <w:p w:rsidR="00EA1523" w:rsidRDefault="00EA1523" w:rsidP="00EA1523">
            <w:pPr>
              <w:pStyle w:val="Texto"/>
              <w:spacing w:after="0" w:line="276" w:lineRule="auto"/>
              <w:ind w:firstLine="0"/>
              <w:jc w:val="right"/>
              <w:rPr>
                <w:rFonts w:eastAsiaTheme="minorHAnsi"/>
                <w:szCs w:val="18"/>
                <w:lang w:val="es-MX" w:eastAsia="en-US"/>
              </w:rPr>
            </w:pPr>
            <w:r>
              <w:rPr>
                <w:rFonts w:eastAsiaTheme="minorHAnsi"/>
                <w:szCs w:val="18"/>
                <w:lang w:val="es-MX" w:eastAsia="en-US"/>
              </w:rPr>
              <w:t>Suma:</w:t>
            </w:r>
          </w:p>
        </w:tc>
        <w:tc>
          <w:tcPr>
            <w:tcW w:w="2209" w:type="dxa"/>
            <w:shd w:val="clear" w:color="auto" w:fill="auto"/>
          </w:tcPr>
          <w:p w:rsidR="00EA1523" w:rsidRDefault="00EA1523" w:rsidP="00A959E1">
            <w:pPr>
              <w:pStyle w:val="Texto"/>
              <w:spacing w:after="0" w:line="276" w:lineRule="auto"/>
              <w:ind w:firstLine="0"/>
              <w:jc w:val="right"/>
              <w:rPr>
                <w:szCs w:val="18"/>
                <w:lang w:val="es-MX"/>
              </w:rPr>
            </w:pPr>
            <w:r>
              <w:rPr>
                <w:szCs w:val="18"/>
                <w:lang w:val="es-MX"/>
              </w:rPr>
              <w:t xml:space="preserve">$   </w:t>
            </w:r>
            <w:r w:rsidR="00A959E1">
              <w:rPr>
                <w:szCs w:val="18"/>
                <w:lang w:val="es-MX"/>
              </w:rPr>
              <w:t>29,429,645.73</w:t>
            </w:r>
          </w:p>
        </w:tc>
      </w:tr>
    </w:tbl>
    <w:p w:rsidR="00FA11DA" w:rsidRPr="007E42D2" w:rsidRDefault="00FA11DA" w:rsidP="008923E7">
      <w:pPr>
        <w:autoSpaceDE w:val="0"/>
        <w:autoSpaceDN w:val="0"/>
        <w:adjustRightInd w:val="0"/>
        <w:spacing w:before="80"/>
        <w:ind w:left="709"/>
        <w:jc w:val="center"/>
        <w:rPr>
          <w:rFonts w:ascii="Arial" w:eastAsia="Times New Roman" w:hAnsi="Arial" w:cs="Arial"/>
          <w:sz w:val="18"/>
          <w:szCs w:val="18"/>
          <w:lang w:val="es-ES" w:eastAsia="es-ES"/>
        </w:rPr>
      </w:pPr>
    </w:p>
    <w:p w:rsidR="00721501" w:rsidRPr="007E42D2" w:rsidRDefault="00721501" w:rsidP="00721501">
      <w:pPr>
        <w:pStyle w:val="INCISO"/>
        <w:spacing w:after="0" w:line="276" w:lineRule="auto"/>
        <w:ind w:left="360"/>
        <w:rPr>
          <w:b/>
        </w:rPr>
      </w:pPr>
      <w:r w:rsidRPr="007E42D2">
        <w:rPr>
          <w:b/>
          <w:smallCaps/>
        </w:rPr>
        <w:t>III)</w:t>
      </w:r>
      <w:r w:rsidRPr="007E42D2">
        <w:rPr>
          <w:b/>
          <w:smallCaps/>
        </w:rPr>
        <w:tab/>
      </w:r>
      <w:r w:rsidRPr="007E42D2">
        <w:rPr>
          <w:b/>
          <w:smallCaps/>
        </w:rPr>
        <w:tab/>
      </w:r>
      <w:r w:rsidRPr="007E42D2">
        <w:rPr>
          <w:b/>
        </w:rPr>
        <w:t>Notas al Estado de Variación en la Hacienda Pública</w:t>
      </w:r>
    </w:p>
    <w:p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contribuido</w:t>
      </w:r>
    </w:p>
    <w:p w:rsidR="00721501" w:rsidRPr="007E42D2" w:rsidRDefault="00721501" w:rsidP="00721501">
      <w:pPr>
        <w:pStyle w:val="Texto"/>
        <w:spacing w:after="80" w:line="276" w:lineRule="auto"/>
        <w:ind w:left="709" w:firstLine="0"/>
        <w:rPr>
          <w:szCs w:val="18"/>
        </w:rPr>
      </w:pPr>
      <w:r w:rsidRPr="007E42D2">
        <w:rPr>
          <w:szCs w:val="18"/>
        </w:rPr>
        <w:t xml:space="preserve">En el periodo presentado el valor nominal que se presenta tiene un </w:t>
      </w:r>
      <w:r w:rsidR="00FC4DCD">
        <w:rPr>
          <w:szCs w:val="18"/>
        </w:rPr>
        <w:t>incremento</w:t>
      </w:r>
      <w:r w:rsidRPr="007E42D2">
        <w:rPr>
          <w:szCs w:val="18"/>
        </w:rPr>
        <w:t xml:space="preserve"> por un importe de $</w:t>
      </w:r>
      <w:r>
        <w:rPr>
          <w:szCs w:val="18"/>
        </w:rPr>
        <w:t xml:space="preserve"> </w:t>
      </w:r>
      <w:r w:rsidR="00FC4DCD">
        <w:rPr>
          <w:szCs w:val="18"/>
        </w:rPr>
        <w:t>1</w:t>
      </w:r>
      <w:r>
        <w:rPr>
          <w:szCs w:val="18"/>
        </w:rPr>
        <w:t>’</w:t>
      </w:r>
      <w:r w:rsidR="00FC4DCD">
        <w:rPr>
          <w:szCs w:val="18"/>
        </w:rPr>
        <w:t>738</w:t>
      </w:r>
      <w:r>
        <w:rPr>
          <w:szCs w:val="18"/>
        </w:rPr>
        <w:t>,</w:t>
      </w:r>
      <w:r w:rsidR="00FC4DCD">
        <w:rPr>
          <w:szCs w:val="18"/>
        </w:rPr>
        <w:t>90</w:t>
      </w:r>
      <w:r w:rsidR="00BC088B">
        <w:rPr>
          <w:szCs w:val="18"/>
        </w:rPr>
        <w:t>0.75</w:t>
      </w:r>
      <w:r w:rsidRPr="007E42D2">
        <w:rPr>
          <w:szCs w:val="18"/>
        </w:rPr>
        <w:t xml:space="preserve"> derivado de</w:t>
      </w:r>
      <w:r w:rsidR="00FC4DCD">
        <w:rPr>
          <w:szCs w:val="18"/>
        </w:rPr>
        <w:t xml:space="preserve"> </w:t>
      </w:r>
      <w:r w:rsidRPr="007E42D2">
        <w:rPr>
          <w:szCs w:val="18"/>
        </w:rPr>
        <w:t>l</w:t>
      </w:r>
      <w:r w:rsidR="00FC4DCD">
        <w:rPr>
          <w:szCs w:val="18"/>
        </w:rPr>
        <w:t>a</w:t>
      </w:r>
      <w:r>
        <w:rPr>
          <w:szCs w:val="18"/>
        </w:rPr>
        <w:t xml:space="preserve"> </w:t>
      </w:r>
      <w:r w:rsidR="00FC4DCD">
        <w:rPr>
          <w:szCs w:val="18"/>
        </w:rPr>
        <w:t xml:space="preserve">regularización de bienes muebles </w:t>
      </w:r>
      <w:r w:rsidR="00BC088B">
        <w:rPr>
          <w:szCs w:val="18"/>
        </w:rPr>
        <w:t>que fueron donados al Instituto y que aún no estaban registrados en el patrimonio</w:t>
      </w:r>
      <w:r w:rsidRPr="007E42D2">
        <w:rPr>
          <w:szCs w:val="18"/>
        </w:rPr>
        <w:t>.</w:t>
      </w:r>
    </w:p>
    <w:p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generado</w:t>
      </w:r>
    </w:p>
    <w:p w:rsidR="00A51AF2" w:rsidRDefault="00721501" w:rsidP="00721501">
      <w:pPr>
        <w:pStyle w:val="Texto"/>
        <w:spacing w:after="80" w:line="276" w:lineRule="auto"/>
        <w:ind w:left="709" w:firstLine="0"/>
        <w:rPr>
          <w:szCs w:val="18"/>
        </w:rPr>
      </w:pPr>
      <w:r w:rsidRPr="007E42D2">
        <w:rPr>
          <w:szCs w:val="18"/>
        </w:rPr>
        <w:t>En el periodo presentado el valor nominal que se presenta tiene un</w:t>
      </w:r>
      <w:r w:rsidR="00BC088B">
        <w:rPr>
          <w:szCs w:val="18"/>
        </w:rPr>
        <w:t>a</w:t>
      </w:r>
      <w:r w:rsidRPr="007E42D2">
        <w:rPr>
          <w:szCs w:val="18"/>
        </w:rPr>
        <w:t xml:space="preserve"> </w:t>
      </w:r>
      <w:r w:rsidR="00BC088B">
        <w:rPr>
          <w:szCs w:val="18"/>
        </w:rPr>
        <w:t>disminución</w:t>
      </w:r>
      <w:r w:rsidRPr="007E42D2">
        <w:rPr>
          <w:szCs w:val="18"/>
        </w:rPr>
        <w:t xml:space="preserve"> por un importe de $</w:t>
      </w:r>
      <w:r>
        <w:rPr>
          <w:szCs w:val="18"/>
        </w:rPr>
        <w:t xml:space="preserve"> 4’</w:t>
      </w:r>
      <w:r w:rsidR="001403EB">
        <w:rPr>
          <w:szCs w:val="18"/>
        </w:rPr>
        <w:t>162</w:t>
      </w:r>
      <w:r>
        <w:rPr>
          <w:szCs w:val="18"/>
        </w:rPr>
        <w:t>,</w:t>
      </w:r>
      <w:r w:rsidR="003B593D">
        <w:rPr>
          <w:szCs w:val="18"/>
        </w:rPr>
        <w:t>9</w:t>
      </w:r>
      <w:r w:rsidR="001403EB">
        <w:rPr>
          <w:szCs w:val="18"/>
        </w:rPr>
        <w:t>02.23</w:t>
      </w:r>
      <w:r w:rsidRPr="007E42D2">
        <w:rPr>
          <w:szCs w:val="18"/>
        </w:rPr>
        <w:t xml:space="preserve"> d</w:t>
      </w:r>
      <w:r w:rsidR="001403EB">
        <w:rPr>
          <w:szCs w:val="18"/>
        </w:rPr>
        <w:t>ebido al gasto de remanentes de ejercicios anteriores autorizados por la Junta de Gobierno</w:t>
      </w:r>
      <w:r w:rsidRPr="007E42D2">
        <w:rPr>
          <w:szCs w:val="18"/>
        </w:rPr>
        <w:t>.</w:t>
      </w:r>
    </w:p>
    <w:p w:rsidR="008F0670" w:rsidRDefault="008F0670" w:rsidP="00721501">
      <w:pPr>
        <w:pStyle w:val="Texto"/>
        <w:spacing w:after="80" w:line="276" w:lineRule="auto"/>
        <w:ind w:left="709" w:firstLine="0"/>
        <w:rPr>
          <w:szCs w:val="18"/>
        </w:rPr>
      </w:pPr>
      <w:r>
        <w:rPr>
          <w:szCs w:val="18"/>
        </w:rPr>
        <w:t>Cabe mencionar que además se adquirieron bienes muebles por un monto de $ 999,985.00, que sin embargo aumentan al patrimonio generado por lo que no se refleja un cambio nominal en el saldo por esta adquisición.</w:t>
      </w:r>
    </w:p>
    <w:p w:rsidR="00A51AF2" w:rsidRDefault="00A51AF2">
      <w:pPr>
        <w:rPr>
          <w:rFonts w:ascii="Arial" w:eastAsia="Times New Roman" w:hAnsi="Arial" w:cs="Arial"/>
          <w:sz w:val="18"/>
          <w:szCs w:val="18"/>
          <w:lang w:val="es-ES" w:eastAsia="es-ES"/>
        </w:rPr>
      </w:pPr>
      <w:r>
        <w:rPr>
          <w:szCs w:val="18"/>
        </w:rPr>
        <w:br w:type="page"/>
      </w:r>
    </w:p>
    <w:p w:rsidR="00721501" w:rsidRPr="007E42D2" w:rsidRDefault="00721501" w:rsidP="00721501">
      <w:pPr>
        <w:pStyle w:val="INCISO"/>
        <w:spacing w:after="0" w:line="276" w:lineRule="auto"/>
        <w:ind w:left="360"/>
        <w:rPr>
          <w:b/>
        </w:rPr>
      </w:pPr>
      <w:r w:rsidRPr="007E42D2">
        <w:rPr>
          <w:b/>
          <w:smallCaps/>
        </w:rPr>
        <w:lastRenderedPageBreak/>
        <w:t>IV)</w:t>
      </w:r>
      <w:r w:rsidRPr="007E42D2">
        <w:rPr>
          <w:b/>
          <w:smallCaps/>
        </w:rPr>
        <w:tab/>
      </w:r>
      <w:r w:rsidRPr="007E42D2">
        <w:rPr>
          <w:b/>
          <w:smallCaps/>
        </w:rPr>
        <w:tab/>
      </w:r>
      <w:r w:rsidRPr="007E42D2">
        <w:rPr>
          <w:b/>
        </w:rPr>
        <w:t>Notas al Estado de Flujos de Efectivo</w:t>
      </w:r>
    </w:p>
    <w:p w:rsidR="00721501" w:rsidRPr="00F7672A" w:rsidRDefault="00721501" w:rsidP="00F7672A">
      <w:pPr>
        <w:pStyle w:val="Texto"/>
        <w:numPr>
          <w:ilvl w:val="0"/>
          <w:numId w:val="5"/>
        </w:numPr>
        <w:spacing w:after="80" w:line="276" w:lineRule="auto"/>
        <w:rPr>
          <w:b/>
          <w:szCs w:val="18"/>
        </w:rPr>
      </w:pPr>
      <w:r w:rsidRPr="007E42D2">
        <w:rPr>
          <w:b/>
          <w:lang w:val="es-MX"/>
        </w:rPr>
        <w:t>Análisis de los saldos inicial y final</w:t>
      </w:r>
    </w:p>
    <w:p w:rsidR="00721501" w:rsidRDefault="00721501" w:rsidP="00721501">
      <w:pPr>
        <w:pStyle w:val="ROMANOS"/>
        <w:spacing w:after="0" w:line="276" w:lineRule="auto"/>
        <w:ind w:left="648" w:firstLine="0"/>
        <w:rPr>
          <w:lang w:val="es-MX"/>
        </w:rPr>
      </w:pPr>
      <w:r w:rsidRPr="007E42D2">
        <w:rPr>
          <w:lang w:val="es-MX"/>
        </w:rPr>
        <w:t>En relación al efectivo se muestra un cuadro expresado en pesos, en el cual se observa la integración del efectivo y equivalentes del ITEA al inicio y al final del periodo.</w:t>
      </w:r>
    </w:p>
    <w:p w:rsidR="001403EB" w:rsidRPr="00FA11DA" w:rsidRDefault="001403EB" w:rsidP="001403EB">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gridCol w:w="2209"/>
      </w:tblGrid>
      <w:tr w:rsidR="001403EB" w:rsidRPr="007E42D2" w:rsidTr="00A37922">
        <w:trPr>
          <w:trHeight w:val="60"/>
          <w:jc w:val="center"/>
        </w:trPr>
        <w:tc>
          <w:tcPr>
            <w:tcW w:w="5365" w:type="dxa"/>
            <w:shd w:val="clear" w:color="auto" w:fill="00B050"/>
          </w:tcPr>
          <w:p w:rsidR="001403EB" w:rsidRPr="007E42D2" w:rsidRDefault="001403EB" w:rsidP="00A37922">
            <w:pPr>
              <w:pStyle w:val="Texto"/>
              <w:spacing w:after="0" w:line="276" w:lineRule="auto"/>
              <w:ind w:firstLine="0"/>
              <w:jc w:val="center"/>
              <w:rPr>
                <w:b/>
                <w:color w:val="FFFFFF" w:themeColor="background1"/>
                <w:szCs w:val="18"/>
                <w:lang w:val="es-MX"/>
              </w:rPr>
            </w:pPr>
          </w:p>
        </w:tc>
        <w:tc>
          <w:tcPr>
            <w:tcW w:w="2209" w:type="dxa"/>
            <w:shd w:val="clear" w:color="auto" w:fill="00B050"/>
          </w:tcPr>
          <w:p w:rsidR="001403EB" w:rsidRDefault="001403EB" w:rsidP="00A51AF2">
            <w:pPr>
              <w:pStyle w:val="Texto"/>
              <w:spacing w:after="0" w:line="276" w:lineRule="auto"/>
              <w:ind w:firstLine="0"/>
              <w:jc w:val="center"/>
              <w:rPr>
                <w:b/>
                <w:color w:val="FFFFFF" w:themeColor="background1"/>
                <w:szCs w:val="18"/>
                <w:lang w:val="es-MX"/>
              </w:rPr>
            </w:pPr>
            <w:r>
              <w:rPr>
                <w:b/>
                <w:color w:val="FFFFFF" w:themeColor="background1"/>
                <w:szCs w:val="18"/>
                <w:lang w:val="es-MX"/>
              </w:rPr>
              <w:t>201</w:t>
            </w:r>
            <w:r w:rsidR="00A51AF2">
              <w:rPr>
                <w:b/>
                <w:color w:val="FFFFFF" w:themeColor="background1"/>
                <w:szCs w:val="18"/>
                <w:lang w:val="es-MX"/>
              </w:rPr>
              <w:t>6</w:t>
            </w:r>
          </w:p>
        </w:tc>
        <w:tc>
          <w:tcPr>
            <w:tcW w:w="2209" w:type="dxa"/>
            <w:shd w:val="clear" w:color="auto" w:fill="00B050"/>
          </w:tcPr>
          <w:p w:rsidR="001403EB" w:rsidRPr="007E42D2" w:rsidRDefault="001403EB" w:rsidP="00A51AF2">
            <w:pPr>
              <w:pStyle w:val="Texto"/>
              <w:spacing w:after="0" w:line="276" w:lineRule="auto"/>
              <w:ind w:firstLine="0"/>
              <w:jc w:val="center"/>
              <w:rPr>
                <w:b/>
                <w:color w:val="FFFFFF" w:themeColor="background1"/>
                <w:szCs w:val="18"/>
                <w:lang w:val="es-MX"/>
              </w:rPr>
            </w:pPr>
            <w:r>
              <w:rPr>
                <w:b/>
                <w:color w:val="FFFFFF" w:themeColor="background1"/>
                <w:szCs w:val="18"/>
                <w:lang w:val="es-MX"/>
              </w:rPr>
              <w:t>201</w:t>
            </w:r>
            <w:r w:rsidR="00A51AF2">
              <w:rPr>
                <w:b/>
                <w:color w:val="FFFFFF" w:themeColor="background1"/>
                <w:szCs w:val="18"/>
                <w:lang w:val="es-MX"/>
              </w:rPr>
              <w:t>5</w:t>
            </w:r>
          </w:p>
        </w:tc>
      </w:tr>
      <w:tr w:rsidR="001403EB" w:rsidRPr="007E42D2" w:rsidTr="00A37922">
        <w:trPr>
          <w:trHeight w:val="60"/>
          <w:jc w:val="center"/>
        </w:trPr>
        <w:tc>
          <w:tcPr>
            <w:tcW w:w="5365" w:type="dxa"/>
            <w:shd w:val="clear" w:color="auto" w:fill="auto"/>
          </w:tcPr>
          <w:p w:rsidR="001403EB" w:rsidRPr="007E42D2"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Bancos-Tesorería</w:t>
            </w:r>
          </w:p>
        </w:tc>
        <w:tc>
          <w:tcPr>
            <w:tcW w:w="2209" w:type="dxa"/>
          </w:tcPr>
          <w:p w:rsidR="001403EB" w:rsidRDefault="008F0670" w:rsidP="00BE7825">
            <w:pPr>
              <w:jc w:val="right"/>
              <w:rPr>
                <w:rFonts w:ascii="Arial" w:hAnsi="Arial" w:cs="Arial"/>
                <w:sz w:val="18"/>
                <w:szCs w:val="18"/>
              </w:rPr>
            </w:pPr>
            <w:r>
              <w:rPr>
                <w:rFonts w:ascii="Arial" w:hAnsi="Arial" w:cs="Arial"/>
                <w:sz w:val="18"/>
                <w:szCs w:val="18"/>
              </w:rPr>
              <w:t>7,581,371.12</w:t>
            </w:r>
          </w:p>
        </w:tc>
        <w:tc>
          <w:tcPr>
            <w:tcW w:w="2209" w:type="dxa"/>
            <w:shd w:val="clear" w:color="auto" w:fill="auto"/>
            <w:vAlign w:val="bottom"/>
          </w:tcPr>
          <w:p w:rsidR="001403EB" w:rsidRPr="007E42D2" w:rsidRDefault="00A51AF2" w:rsidP="00BE7825">
            <w:pPr>
              <w:spacing w:line="276" w:lineRule="auto"/>
              <w:jc w:val="right"/>
              <w:rPr>
                <w:rFonts w:ascii="Arial" w:hAnsi="Arial" w:cs="Arial"/>
                <w:sz w:val="18"/>
                <w:szCs w:val="18"/>
              </w:rPr>
            </w:pPr>
            <w:r>
              <w:rPr>
                <w:rFonts w:ascii="Arial" w:hAnsi="Arial" w:cs="Arial"/>
                <w:sz w:val="18"/>
                <w:szCs w:val="18"/>
              </w:rPr>
              <w:t>3,738,237.04</w:t>
            </w:r>
          </w:p>
        </w:tc>
      </w:tr>
      <w:tr w:rsidR="001403EB" w:rsidRPr="007E42D2" w:rsidTr="00A37922">
        <w:trPr>
          <w:trHeight w:val="60"/>
          <w:jc w:val="center"/>
        </w:trPr>
        <w:tc>
          <w:tcPr>
            <w:tcW w:w="5365" w:type="dxa"/>
            <w:shd w:val="clear" w:color="auto" w:fill="auto"/>
          </w:tcPr>
          <w:p w:rsidR="001403EB"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 – Dependencias</w:t>
            </w:r>
          </w:p>
        </w:tc>
        <w:tc>
          <w:tcPr>
            <w:tcW w:w="2209" w:type="dxa"/>
          </w:tcPr>
          <w:p w:rsidR="001403EB" w:rsidRDefault="001403EB" w:rsidP="00A37922">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1403EB" w:rsidRDefault="001403EB" w:rsidP="00A37922">
            <w:pPr>
              <w:jc w:val="right"/>
              <w:rPr>
                <w:rFonts w:ascii="Arial" w:hAnsi="Arial" w:cs="Arial"/>
                <w:sz w:val="18"/>
                <w:szCs w:val="18"/>
              </w:rPr>
            </w:pPr>
            <w:r>
              <w:rPr>
                <w:rFonts w:ascii="Arial" w:hAnsi="Arial" w:cs="Arial"/>
                <w:sz w:val="18"/>
                <w:szCs w:val="18"/>
              </w:rPr>
              <w:t>0</w:t>
            </w:r>
          </w:p>
        </w:tc>
      </w:tr>
      <w:tr w:rsidR="001403EB" w:rsidRPr="007E42D2" w:rsidTr="00A37922">
        <w:trPr>
          <w:trHeight w:val="60"/>
          <w:jc w:val="center"/>
        </w:trPr>
        <w:tc>
          <w:tcPr>
            <w:tcW w:w="5365" w:type="dxa"/>
            <w:shd w:val="clear" w:color="auto" w:fill="auto"/>
          </w:tcPr>
          <w:p w:rsidR="001403EB"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Inversiones Temporales (hasta 3 meses)</w:t>
            </w:r>
          </w:p>
        </w:tc>
        <w:tc>
          <w:tcPr>
            <w:tcW w:w="2209" w:type="dxa"/>
          </w:tcPr>
          <w:p w:rsidR="001403EB" w:rsidRDefault="001403EB" w:rsidP="00A37922">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1403EB" w:rsidRDefault="001403EB" w:rsidP="00A37922">
            <w:pPr>
              <w:jc w:val="right"/>
              <w:rPr>
                <w:rFonts w:ascii="Arial" w:hAnsi="Arial" w:cs="Arial"/>
                <w:sz w:val="18"/>
                <w:szCs w:val="18"/>
              </w:rPr>
            </w:pPr>
            <w:r>
              <w:rPr>
                <w:rFonts w:ascii="Arial" w:hAnsi="Arial" w:cs="Arial"/>
                <w:sz w:val="18"/>
                <w:szCs w:val="18"/>
              </w:rPr>
              <w:t>0</w:t>
            </w:r>
          </w:p>
        </w:tc>
      </w:tr>
      <w:tr w:rsidR="001403EB" w:rsidRPr="007E42D2" w:rsidTr="00A37922">
        <w:trPr>
          <w:trHeight w:val="60"/>
          <w:jc w:val="center"/>
        </w:trPr>
        <w:tc>
          <w:tcPr>
            <w:tcW w:w="5365" w:type="dxa"/>
            <w:shd w:val="clear" w:color="auto" w:fill="auto"/>
          </w:tcPr>
          <w:p w:rsidR="001403EB"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Fondos con Afectación Específica</w:t>
            </w:r>
          </w:p>
        </w:tc>
        <w:tc>
          <w:tcPr>
            <w:tcW w:w="2209" w:type="dxa"/>
          </w:tcPr>
          <w:p w:rsidR="001403EB" w:rsidRDefault="001403EB" w:rsidP="00A37922">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1403EB" w:rsidRDefault="001403EB" w:rsidP="00A37922">
            <w:pPr>
              <w:jc w:val="right"/>
              <w:rPr>
                <w:rFonts w:ascii="Arial" w:hAnsi="Arial" w:cs="Arial"/>
                <w:sz w:val="18"/>
                <w:szCs w:val="18"/>
              </w:rPr>
            </w:pPr>
            <w:r>
              <w:rPr>
                <w:rFonts w:ascii="Arial" w:hAnsi="Arial" w:cs="Arial"/>
                <w:sz w:val="18"/>
                <w:szCs w:val="18"/>
              </w:rPr>
              <w:t>0</w:t>
            </w:r>
          </w:p>
        </w:tc>
      </w:tr>
      <w:tr w:rsidR="001403EB" w:rsidRPr="007E42D2" w:rsidTr="00A37922">
        <w:trPr>
          <w:trHeight w:val="60"/>
          <w:jc w:val="center"/>
        </w:trPr>
        <w:tc>
          <w:tcPr>
            <w:tcW w:w="5365" w:type="dxa"/>
            <w:shd w:val="clear" w:color="auto" w:fill="auto"/>
          </w:tcPr>
          <w:p w:rsidR="001403EB"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Depósitos de Fondos de Terceros y Otros</w:t>
            </w:r>
          </w:p>
        </w:tc>
        <w:tc>
          <w:tcPr>
            <w:tcW w:w="2209" w:type="dxa"/>
          </w:tcPr>
          <w:p w:rsidR="001403EB" w:rsidRDefault="001403EB" w:rsidP="00A37922">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1403EB" w:rsidRDefault="001403EB" w:rsidP="00A37922">
            <w:pPr>
              <w:jc w:val="right"/>
              <w:rPr>
                <w:rFonts w:ascii="Arial" w:hAnsi="Arial" w:cs="Arial"/>
                <w:sz w:val="18"/>
                <w:szCs w:val="18"/>
              </w:rPr>
            </w:pPr>
            <w:r>
              <w:rPr>
                <w:rFonts w:ascii="Arial" w:hAnsi="Arial" w:cs="Arial"/>
                <w:sz w:val="18"/>
                <w:szCs w:val="18"/>
              </w:rPr>
              <w:t>0</w:t>
            </w:r>
          </w:p>
        </w:tc>
      </w:tr>
      <w:tr w:rsidR="001403EB" w:rsidRPr="007E42D2" w:rsidTr="00A37922">
        <w:trPr>
          <w:trHeight w:val="60"/>
          <w:jc w:val="center"/>
        </w:trPr>
        <w:tc>
          <w:tcPr>
            <w:tcW w:w="5365" w:type="dxa"/>
            <w:shd w:val="clear" w:color="auto" w:fill="auto"/>
          </w:tcPr>
          <w:p w:rsidR="001403EB" w:rsidRDefault="001403EB"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Total de Efectivos y Equivalentes</w:t>
            </w:r>
          </w:p>
        </w:tc>
        <w:tc>
          <w:tcPr>
            <w:tcW w:w="2209" w:type="dxa"/>
          </w:tcPr>
          <w:p w:rsidR="001403EB" w:rsidRDefault="001403EB" w:rsidP="008F0670">
            <w:pPr>
              <w:jc w:val="right"/>
              <w:rPr>
                <w:rFonts w:ascii="Arial" w:hAnsi="Arial" w:cs="Arial"/>
                <w:sz w:val="18"/>
                <w:szCs w:val="18"/>
              </w:rPr>
            </w:pPr>
            <w:r>
              <w:rPr>
                <w:rFonts w:ascii="Arial" w:hAnsi="Arial" w:cs="Arial"/>
                <w:sz w:val="18"/>
                <w:szCs w:val="18"/>
              </w:rPr>
              <w:t xml:space="preserve">$   </w:t>
            </w:r>
            <w:r w:rsidR="008F0670">
              <w:rPr>
                <w:rFonts w:ascii="Arial" w:hAnsi="Arial" w:cs="Arial"/>
                <w:sz w:val="18"/>
                <w:szCs w:val="18"/>
              </w:rPr>
              <w:t>7,581,371.12</w:t>
            </w:r>
          </w:p>
        </w:tc>
        <w:tc>
          <w:tcPr>
            <w:tcW w:w="2209" w:type="dxa"/>
            <w:shd w:val="clear" w:color="auto" w:fill="auto"/>
            <w:vAlign w:val="bottom"/>
          </w:tcPr>
          <w:p w:rsidR="001403EB" w:rsidRDefault="001403EB" w:rsidP="00A51AF2">
            <w:pPr>
              <w:jc w:val="right"/>
              <w:rPr>
                <w:rFonts w:ascii="Arial" w:hAnsi="Arial" w:cs="Arial"/>
                <w:sz w:val="18"/>
                <w:szCs w:val="18"/>
              </w:rPr>
            </w:pPr>
            <w:r>
              <w:rPr>
                <w:rFonts w:ascii="Arial" w:hAnsi="Arial" w:cs="Arial"/>
                <w:sz w:val="18"/>
                <w:szCs w:val="18"/>
              </w:rPr>
              <w:t xml:space="preserve">$   </w:t>
            </w:r>
            <w:r w:rsidR="00A51AF2">
              <w:rPr>
                <w:rFonts w:ascii="Arial" w:hAnsi="Arial" w:cs="Arial"/>
                <w:sz w:val="18"/>
                <w:szCs w:val="18"/>
              </w:rPr>
              <w:t>3,738,237.04</w:t>
            </w:r>
          </w:p>
        </w:tc>
      </w:tr>
    </w:tbl>
    <w:p w:rsidR="00721501" w:rsidRDefault="00721501" w:rsidP="00721501">
      <w:pPr>
        <w:rPr>
          <w:rFonts w:ascii="Arial" w:eastAsia="Times New Roman" w:hAnsi="Arial" w:cs="Arial"/>
          <w:sz w:val="18"/>
          <w:szCs w:val="18"/>
          <w:lang w:eastAsia="es-ES"/>
        </w:rPr>
      </w:pPr>
      <w:r>
        <w:br w:type="page"/>
      </w:r>
    </w:p>
    <w:p w:rsidR="00721501" w:rsidRPr="007E42D2" w:rsidRDefault="00721501" w:rsidP="00721501">
      <w:pPr>
        <w:pStyle w:val="INCISO"/>
        <w:spacing w:after="0" w:line="276" w:lineRule="auto"/>
        <w:ind w:left="360"/>
        <w:rPr>
          <w:b/>
        </w:rPr>
      </w:pPr>
      <w:r w:rsidRPr="007E42D2">
        <w:rPr>
          <w:b/>
          <w:smallCaps/>
        </w:rPr>
        <w:lastRenderedPageBreak/>
        <w:t xml:space="preserve">V) </w:t>
      </w:r>
      <w:r w:rsidRPr="007E42D2">
        <w:rPr>
          <w:b/>
          <w:smallCaps/>
        </w:rPr>
        <w:tab/>
      </w:r>
      <w:r w:rsidRPr="007E42D2">
        <w:rPr>
          <w:b/>
          <w:smallCaps/>
        </w:rPr>
        <w:tab/>
      </w:r>
      <w:r w:rsidRPr="007E42D2">
        <w:rPr>
          <w:b/>
        </w:rPr>
        <w:t xml:space="preserve">Conciliación entre los ingresos presupuestarios y contables, así como, entre los egresos </w:t>
      </w:r>
      <w:r w:rsidRPr="007E42D2">
        <w:rPr>
          <w:b/>
        </w:rPr>
        <w:tab/>
        <w:t>presupuestarios y los gastos contables</w:t>
      </w:r>
    </w:p>
    <w:p w:rsidR="00721501" w:rsidRDefault="00721501" w:rsidP="00E6698F">
      <w:pPr>
        <w:pStyle w:val="Texto"/>
        <w:spacing w:after="0" w:line="276" w:lineRule="auto"/>
        <w:jc w:val="center"/>
        <w:rPr>
          <w:b/>
          <w:smallCaps/>
          <w:szCs w:val="18"/>
          <w:lang w:val="es-MX"/>
        </w:rPr>
      </w:pPr>
    </w:p>
    <w:p w:rsidR="00E6698F" w:rsidRDefault="00E6698F" w:rsidP="00E6698F">
      <w:pPr>
        <w:pStyle w:val="Texto"/>
        <w:spacing w:after="0" w:line="276" w:lineRule="auto"/>
        <w:jc w:val="center"/>
        <w:rPr>
          <w:b/>
          <w:smallCaps/>
          <w:szCs w:val="18"/>
          <w:lang w:val="es-MX"/>
        </w:rPr>
      </w:pPr>
    </w:p>
    <w:p w:rsidR="00E6698F" w:rsidRDefault="0081774B" w:rsidP="00E6698F">
      <w:pPr>
        <w:pStyle w:val="Texto"/>
        <w:spacing w:after="0" w:line="276" w:lineRule="auto"/>
        <w:jc w:val="center"/>
        <w:rPr>
          <w:b/>
          <w:smallCaps/>
          <w:szCs w:val="18"/>
          <w:lang w:val="es-MX"/>
        </w:rPr>
      </w:pPr>
      <w:r w:rsidRPr="0021695C">
        <w:rPr>
          <w:b/>
          <w:smallCaps/>
          <w:szCs w:val="18"/>
          <w:lang w:val="es-MX"/>
        </w:rPr>
        <w:object w:dxaOrig="11532" w:dyaOrig="4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210.5pt" o:ole="">
            <v:imagedata r:id="rId8" o:title=""/>
          </v:shape>
          <o:OLEObject Type="Embed" ProgID="Excel.Sheet.8" ShapeID="_x0000_i1025" DrawAspect="Content" ObjectID="_1529137935" r:id="rId9"/>
        </w:object>
      </w:r>
    </w:p>
    <w:p w:rsidR="00721501" w:rsidRDefault="00721501" w:rsidP="00721501">
      <w:pPr>
        <w:rPr>
          <w:rFonts w:ascii="Arial" w:eastAsia="Times New Roman" w:hAnsi="Arial" w:cs="Arial"/>
          <w:b/>
          <w:smallCaps/>
          <w:sz w:val="18"/>
          <w:szCs w:val="18"/>
          <w:lang w:eastAsia="es-ES"/>
        </w:rPr>
      </w:pPr>
      <w:r>
        <w:rPr>
          <w:b/>
          <w:smallCaps/>
          <w:szCs w:val="18"/>
        </w:rPr>
        <w:br w:type="page"/>
      </w:r>
    </w:p>
    <w:p w:rsidR="00E6698F" w:rsidRDefault="0081774B" w:rsidP="00E6698F">
      <w:pPr>
        <w:jc w:val="center"/>
        <w:rPr>
          <w:rFonts w:ascii="Arial" w:eastAsia="Times New Roman" w:hAnsi="Arial" w:cs="Arial"/>
          <w:b/>
          <w:smallCaps/>
          <w:sz w:val="18"/>
          <w:szCs w:val="18"/>
          <w:lang w:eastAsia="es-ES"/>
        </w:rPr>
      </w:pPr>
      <w:r w:rsidRPr="0021695C">
        <w:rPr>
          <w:b/>
          <w:smallCaps/>
          <w:szCs w:val="18"/>
        </w:rPr>
        <w:object w:dxaOrig="10682" w:dyaOrig="8088">
          <v:shape id="_x0000_i1026" type="#_x0000_t75" style="width:534pt;height:404.5pt" o:ole="">
            <v:imagedata r:id="rId10" o:title=""/>
          </v:shape>
          <o:OLEObject Type="Embed" ProgID="Excel.Sheet.8" ShapeID="_x0000_i1026" DrawAspect="Content" ObjectID="_1529137936" r:id="rId11"/>
        </w:object>
      </w:r>
      <w:r w:rsidR="00E6698F">
        <w:rPr>
          <w:b/>
          <w:smallCaps/>
          <w:szCs w:val="18"/>
        </w:rPr>
        <w:br w:type="page"/>
      </w:r>
    </w:p>
    <w:p w:rsidR="00721501" w:rsidRPr="007E42D2" w:rsidRDefault="00721501" w:rsidP="00721501">
      <w:pPr>
        <w:pStyle w:val="Texto"/>
        <w:spacing w:after="0" w:line="276" w:lineRule="auto"/>
        <w:jc w:val="left"/>
        <w:rPr>
          <w:b/>
          <w:smallCaps/>
          <w:szCs w:val="18"/>
          <w:lang w:val="es-MX"/>
        </w:rPr>
      </w:pPr>
    </w:p>
    <w:p w:rsidR="00721501" w:rsidRDefault="00721501" w:rsidP="00721501">
      <w:pPr>
        <w:pStyle w:val="Texto"/>
        <w:spacing w:after="0" w:line="276" w:lineRule="auto"/>
        <w:ind w:firstLine="0"/>
        <w:jc w:val="center"/>
        <w:rPr>
          <w:b/>
          <w:szCs w:val="18"/>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r w:rsidRPr="00F522C0">
        <w:rPr>
          <w:b/>
          <w:szCs w:val="18"/>
          <w:lang w:val="es-MX"/>
        </w:rPr>
        <w:t>.</w:t>
      </w:r>
    </w:p>
    <w:p w:rsidR="00541D37" w:rsidRDefault="00541D37" w:rsidP="00721501">
      <w:pPr>
        <w:pStyle w:val="Texto"/>
        <w:spacing w:after="0" w:line="276" w:lineRule="auto"/>
        <w:ind w:firstLine="0"/>
        <w:rPr>
          <w:rFonts w:eastAsiaTheme="minorHAnsi"/>
          <w:color w:val="000000"/>
          <w:szCs w:val="18"/>
          <w:lang w:val="es-MX" w:eastAsia="en-US"/>
        </w:rPr>
      </w:pPr>
    </w:p>
    <w:p w:rsidR="00721501" w:rsidRPr="0061609B" w:rsidRDefault="00E6698F" w:rsidP="00721501">
      <w:pPr>
        <w:pStyle w:val="Texto"/>
        <w:spacing w:after="0" w:line="276" w:lineRule="auto"/>
        <w:ind w:firstLine="0"/>
        <w:rPr>
          <w:rFonts w:eastAsiaTheme="minorHAnsi"/>
          <w:color w:val="000000"/>
          <w:szCs w:val="18"/>
          <w:lang w:val="es-MX" w:eastAsia="en-US"/>
        </w:rPr>
      </w:pPr>
      <w:r>
        <w:rPr>
          <w:rFonts w:eastAsiaTheme="minorHAnsi"/>
          <w:color w:val="000000"/>
          <w:szCs w:val="18"/>
          <w:lang w:val="es-MX" w:eastAsia="en-US"/>
        </w:rPr>
        <w:t>S</w:t>
      </w:r>
      <w:r w:rsidR="00721501">
        <w:rPr>
          <w:rFonts w:eastAsiaTheme="minorHAnsi"/>
          <w:color w:val="000000"/>
          <w:szCs w:val="18"/>
          <w:lang w:val="es-MX" w:eastAsia="en-US"/>
        </w:rPr>
        <w:t>e registran en cuentas de orden contable los Bienes Muebles que el Instituto tiene bajo Contratos de Comodato por un importe de $ 10’230,430.</w:t>
      </w:r>
      <w:r>
        <w:rPr>
          <w:rFonts w:eastAsiaTheme="minorHAnsi"/>
          <w:color w:val="000000"/>
          <w:szCs w:val="18"/>
          <w:lang w:val="es-MX" w:eastAsia="en-US"/>
        </w:rPr>
        <w:t>45</w:t>
      </w:r>
    </w:p>
    <w:p w:rsidR="00721501" w:rsidRDefault="00721501" w:rsidP="00721501">
      <w:pPr>
        <w:pStyle w:val="Texto"/>
        <w:spacing w:after="0" w:line="276" w:lineRule="auto"/>
        <w:ind w:firstLine="0"/>
        <w:jc w:val="center"/>
        <w:rPr>
          <w:rFonts w:ascii="Soberana Sans Light" w:hAnsi="Soberana Sans Light"/>
          <w:b/>
          <w:sz w:val="22"/>
          <w:szCs w:val="22"/>
          <w:lang w:val="es-MX"/>
        </w:rPr>
      </w:pPr>
    </w:p>
    <w:p w:rsidR="00721501" w:rsidRPr="00540418" w:rsidRDefault="00721501" w:rsidP="00721501">
      <w:pPr>
        <w:pStyle w:val="Texto"/>
        <w:spacing w:after="0" w:line="276" w:lineRule="auto"/>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721501" w:rsidRPr="00540418" w:rsidRDefault="00721501" w:rsidP="00721501">
      <w:pPr>
        <w:pStyle w:val="Texto"/>
        <w:spacing w:after="0" w:line="276" w:lineRule="auto"/>
        <w:ind w:firstLine="0"/>
        <w:jc w:val="left"/>
        <w:rPr>
          <w:rFonts w:ascii="Soberana Sans Light" w:hAnsi="Soberana Sans Light"/>
          <w:b/>
          <w:sz w:val="22"/>
          <w:szCs w:val="22"/>
          <w:lang w:val="es-MX"/>
        </w:rPr>
      </w:pPr>
    </w:p>
    <w:p w:rsidR="00721501" w:rsidRPr="007E42D2" w:rsidRDefault="00721501" w:rsidP="00721501">
      <w:pPr>
        <w:pStyle w:val="Default"/>
        <w:numPr>
          <w:ilvl w:val="0"/>
          <w:numId w:val="6"/>
        </w:numPr>
        <w:spacing w:line="276" w:lineRule="auto"/>
        <w:ind w:right="-235" w:firstLine="0"/>
        <w:jc w:val="both"/>
        <w:rPr>
          <w:rFonts w:ascii="Arial" w:hAnsi="Arial" w:cs="Arial"/>
          <w:b/>
          <w:bCs/>
          <w:sz w:val="18"/>
          <w:szCs w:val="18"/>
        </w:rPr>
      </w:pPr>
      <w:r w:rsidRPr="007E42D2">
        <w:rPr>
          <w:rFonts w:ascii="Arial" w:hAnsi="Arial" w:cs="Arial"/>
          <w:b/>
          <w:bCs/>
          <w:sz w:val="18"/>
          <w:szCs w:val="18"/>
        </w:rPr>
        <w:t xml:space="preserve">Introducción: </w:t>
      </w:r>
    </w:p>
    <w:p w:rsidR="00721501" w:rsidRPr="007E42D2" w:rsidRDefault="00721501" w:rsidP="00721501">
      <w:pPr>
        <w:pStyle w:val="Default"/>
        <w:spacing w:line="276" w:lineRule="auto"/>
        <w:ind w:left="720" w:right="-235" w:firstLine="708"/>
        <w:jc w:val="both"/>
        <w:rPr>
          <w:rFonts w:ascii="Arial" w:hAnsi="Arial" w:cs="Arial"/>
          <w:sz w:val="18"/>
          <w:szCs w:val="18"/>
        </w:rPr>
      </w:pPr>
    </w:p>
    <w:p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es un organismo público descentralizado de la Administración </w:t>
      </w:r>
      <w:r w:rsidR="00F92F41" w:rsidRPr="00595EF7">
        <w:rPr>
          <w:rFonts w:ascii="Arial" w:hAnsi="Arial" w:cs="Arial"/>
          <w:color w:val="000000"/>
          <w:sz w:val="18"/>
          <w:szCs w:val="18"/>
        </w:rPr>
        <w:t>Pública</w:t>
      </w:r>
      <w:r w:rsidRPr="00595EF7">
        <w:rPr>
          <w:rFonts w:ascii="Arial" w:hAnsi="Arial" w:cs="Arial"/>
          <w:color w:val="000000"/>
          <w:sz w:val="18"/>
          <w:szCs w:val="18"/>
        </w:rPr>
        <w:t xml:space="preserve"> del Estado de Tlaxcala, con personalidad jurídica propia y patrimonio propios, sujeto a la normatividad del Poder Ejecutivo del Estado de Tlaxcala, de conformidad con lo establecido en la de Educación del Estado de Tlaxcala, Ley </w:t>
      </w:r>
      <w:r w:rsidR="00F92F41">
        <w:rPr>
          <w:rFonts w:ascii="Arial" w:hAnsi="Arial" w:cs="Arial"/>
          <w:color w:val="000000"/>
          <w:sz w:val="18"/>
          <w:szCs w:val="18"/>
        </w:rPr>
        <w:t>Orgánica de la Administración Pú</w:t>
      </w:r>
      <w:r w:rsidRPr="00595EF7">
        <w:rPr>
          <w:rFonts w:ascii="Arial" w:hAnsi="Arial" w:cs="Arial"/>
          <w:color w:val="000000"/>
          <w:sz w:val="18"/>
          <w:szCs w:val="18"/>
        </w:rPr>
        <w:t xml:space="preserve">blica del Estado de Tlaxcala, y la Ley de Entidades Paraestatales. </w:t>
      </w:r>
    </w:p>
    <w:p w:rsidR="00595EF7" w:rsidRPr="00595EF7" w:rsidRDefault="00595EF7" w:rsidP="00E6698F">
      <w:pPr>
        <w:ind w:right="-235"/>
        <w:jc w:val="both"/>
        <w:rPr>
          <w:rFonts w:ascii="Arial" w:hAnsi="Arial" w:cs="Arial"/>
          <w:color w:val="000000"/>
          <w:sz w:val="18"/>
          <w:szCs w:val="18"/>
        </w:rPr>
      </w:pPr>
    </w:p>
    <w:p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tiene como objetivo el de prestar los servicios de Educación Básica para adultos mayores de 15 años, la cual comprende la Alfabetización, la Educación primaria y la secundaria, así como la Formación para el Trabajo. </w:t>
      </w:r>
    </w:p>
    <w:p w:rsidR="00595EF7" w:rsidRPr="00595EF7" w:rsidRDefault="00595EF7" w:rsidP="00E6698F">
      <w:pPr>
        <w:ind w:right="-235"/>
        <w:jc w:val="both"/>
        <w:rPr>
          <w:rFonts w:ascii="Arial" w:hAnsi="Arial" w:cs="Arial"/>
          <w:color w:val="000000"/>
          <w:sz w:val="18"/>
          <w:szCs w:val="18"/>
        </w:rPr>
      </w:pPr>
    </w:p>
    <w:p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 xml:space="preserve">Misión: Somos una institución encargada de ofrecer, servicios educativos de calidad a los jóvenes y adultos que presentan rezago educativo, en materia de educación básica, proporcionándoles herramientas para su crecimiento y desarrollo personal. </w:t>
      </w:r>
    </w:p>
    <w:p w:rsidR="00595EF7" w:rsidRPr="00595EF7" w:rsidRDefault="00595EF7" w:rsidP="00E6698F">
      <w:pPr>
        <w:ind w:right="-235"/>
        <w:jc w:val="both"/>
        <w:rPr>
          <w:rFonts w:ascii="Arial" w:hAnsi="Arial" w:cs="Arial"/>
          <w:color w:val="000000"/>
          <w:sz w:val="18"/>
          <w:szCs w:val="18"/>
        </w:rPr>
      </w:pPr>
    </w:p>
    <w:p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Visión: Ser una institución de educación básica para los jóvenes y adultos de reconocido prestigio, a través de los diferente programas institucionales, agilizando los procesos educativos, con el apoyo de tecnología que brinde un servicio de calidad y que reduzca el rezago educativo en el estado.</w:t>
      </w:r>
    </w:p>
    <w:p w:rsidR="00595EF7" w:rsidRPr="00595EF7" w:rsidRDefault="00595EF7" w:rsidP="00E6698F">
      <w:pPr>
        <w:ind w:right="-235"/>
        <w:jc w:val="both"/>
        <w:rPr>
          <w:rFonts w:ascii="Arial" w:hAnsi="Arial" w:cs="Arial"/>
          <w:color w:val="000000"/>
          <w:sz w:val="18"/>
          <w:szCs w:val="18"/>
        </w:rPr>
      </w:pPr>
    </w:p>
    <w:p w:rsidR="00721501" w:rsidRPr="007E42D2" w:rsidRDefault="00595EF7" w:rsidP="00E6698F">
      <w:pPr>
        <w:ind w:right="-235"/>
        <w:jc w:val="both"/>
        <w:rPr>
          <w:rFonts w:ascii="Arial" w:hAnsi="Arial" w:cs="Arial"/>
          <w:sz w:val="18"/>
          <w:szCs w:val="18"/>
        </w:rPr>
      </w:pPr>
      <w:r w:rsidRPr="00595EF7">
        <w:rPr>
          <w:rFonts w:ascii="Arial" w:hAnsi="Arial" w:cs="Arial"/>
          <w:color w:val="000000"/>
          <w:sz w:val="18"/>
          <w:szCs w:val="18"/>
        </w:rPr>
        <w:t>•</w:t>
      </w:r>
      <w:r w:rsidRPr="00595EF7">
        <w:rPr>
          <w:rFonts w:ascii="Arial" w:hAnsi="Arial" w:cs="Arial"/>
          <w:color w:val="000000"/>
          <w:sz w:val="18"/>
          <w:szCs w:val="18"/>
        </w:rPr>
        <w:tab/>
        <w:t>Valores: Respeto, Honestidad, Solidaridad, Trabajo en Equipo, Subsidiaridad, Pro-actividad y Actitud de Servicio, Perseverancia, Lealtad, Responsabilidad.</w:t>
      </w:r>
    </w:p>
    <w:p w:rsidR="00721501" w:rsidRPr="007E42D2" w:rsidRDefault="00721501" w:rsidP="00721501">
      <w:pPr>
        <w:pStyle w:val="Default"/>
        <w:pageBreakBefore/>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2. Descripción del panorama Económico y Financiero: </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595EF7" w:rsidP="00721501">
      <w:pPr>
        <w:pStyle w:val="Default"/>
        <w:spacing w:line="276" w:lineRule="auto"/>
        <w:ind w:right="-235"/>
        <w:jc w:val="both"/>
        <w:rPr>
          <w:rFonts w:ascii="Arial" w:hAnsi="Arial" w:cs="Arial"/>
          <w:sz w:val="18"/>
          <w:szCs w:val="18"/>
        </w:rPr>
      </w:pPr>
      <w:r w:rsidRPr="00595EF7">
        <w:rPr>
          <w:rFonts w:ascii="Arial" w:hAnsi="Arial" w:cs="Arial"/>
          <w:sz w:val="18"/>
          <w:szCs w:val="18"/>
        </w:rPr>
        <w:t>El Instituto Tlaxcalteca de educación para adultos cuenta con Presupuesto de Egresos el cual se contempla el panorama económico y financiero del Instituto y el cual es aprobado por la Junta de Gobierno, que es el órgano supremo de nuestra dependencia.</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3. Autorización e Historia: </w:t>
      </w:r>
    </w:p>
    <w:p w:rsidR="00721501" w:rsidRPr="007E42D2" w:rsidRDefault="00721501" w:rsidP="00721501">
      <w:pPr>
        <w:pStyle w:val="Default"/>
        <w:spacing w:line="276" w:lineRule="auto"/>
        <w:ind w:right="-235"/>
        <w:jc w:val="both"/>
        <w:rPr>
          <w:rFonts w:ascii="Arial" w:hAnsi="Arial" w:cs="Arial"/>
          <w:b/>
          <w:bCs/>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a) Fecha de creación del el Instituto Tlaxcalteca de educación para adultos.</w:t>
      </w:r>
    </w:p>
    <w:p w:rsidR="00595EF7" w:rsidRPr="00595EF7" w:rsidRDefault="00595EF7" w:rsidP="00595EF7">
      <w:pPr>
        <w:pStyle w:val="Default"/>
        <w:ind w:right="-235"/>
        <w:jc w:val="both"/>
        <w:rPr>
          <w:rFonts w:ascii="Arial" w:hAnsi="Arial" w:cs="Arial"/>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Las grandes reformas educativas y de los compromisos adquiridos internacionalmente en 1978 hicieron que se diera inicio al programa “Educación para todos” bajo la responsabilidad de de la Dirección General de Educación para adultos, creándose posteriormente el Instituto Nacional Para la Educación de los Adultos (INEA), por parte del Gobierno Federal el 31 de Agosto de 1981, como un organismo descentralizado de la Administración Pública Federal, con personalidad y patrimonio propio.</w:t>
      </w:r>
    </w:p>
    <w:p w:rsidR="00595EF7" w:rsidRPr="00595EF7" w:rsidRDefault="00595EF7" w:rsidP="00595EF7">
      <w:pPr>
        <w:pStyle w:val="Default"/>
        <w:ind w:right="-235"/>
        <w:jc w:val="both"/>
        <w:rPr>
          <w:rFonts w:ascii="Arial" w:hAnsi="Arial" w:cs="Arial"/>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b) Principales cambios en su estructura (interna históricamente). </w:t>
      </w:r>
    </w:p>
    <w:p w:rsidR="00595EF7" w:rsidRPr="00595EF7" w:rsidRDefault="00595EF7" w:rsidP="00595EF7">
      <w:pPr>
        <w:pStyle w:val="Default"/>
        <w:ind w:right="-235"/>
        <w:jc w:val="both"/>
        <w:rPr>
          <w:rFonts w:ascii="Arial" w:hAnsi="Arial" w:cs="Arial"/>
          <w:sz w:val="18"/>
          <w:szCs w:val="18"/>
        </w:rPr>
      </w:pPr>
    </w:p>
    <w:p w:rsidR="00721501" w:rsidRPr="007E42D2" w:rsidRDefault="00595EF7" w:rsidP="00595EF7">
      <w:pPr>
        <w:pStyle w:val="Default"/>
        <w:spacing w:line="276" w:lineRule="auto"/>
        <w:ind w:right="-235"/>
        <w:jc w:val="both"/>
        <w:rPr>
          <w:rFonts w:ascii="Arial" w:hAnsi="Arial" w:cs="Arial"/>
          <w:b/>
          <w:bCs/>
          <w:sz w:val="18"/>
          <w:szCs w:val="18"/>
        </w:rPr>
      </w:pPr>
      <w:r w:rsidRPr="00595EF7">
        <w:rPr>
          <w:rFonts w:ascii="Arial" w:hAnsi="Arial" w:cs="Arial"/>
          <w:sz w:val="18"/>
          <w:szCs w:val="18"/>
        </w:rPr>
        <w:t>El 22 de Mayo de 2001 se creó el Instituto Tlaxcalteca de educación para adultos, estableciéndose para su funcionalidad como un Organismo Descentralizado de la Administración Pública Estatal, con personalidad jurídica y patrimonio propio y cuyo objetivo es el de promover, organizar e impartir a la población adulta los servicios de alfabetización y educación básica, considerándose en esta última, los servicios de primaria y secundaria.</w:t>
      </w:r>
    </w:p>
    <w:p w:rsidR="00595EF7" w:rsidRDefault="00595EF7"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4. Organización y Objeto Social: </w:t>
      </w:r>
    </w:p>
    <w:p w:rsidR="00595EF7" w:rsidRDefault="00595EF7" w:rsidP="00595EF7">
      <w:pPr>
        <w:pStyle w:val="Default"/>
        <w:ind w:right="-235"/>
        <w:jc w:val="both"/>
        <w:rPr>
          <w:rFonts w:ascii="Arial" w:hAnsi="Arial" w:cs="Arial"/>
          <w:b/>
          <w:bCs/>
          <w:sz w:val="18"/>
          <w:szCs w:val="18"/>
        </w:rPr>
      </w:pPr>
    </w:p>
    <w:p w:rsidR="00595EF7" w:rsidRDefault="00721501" w:rsidP="00595EF7">
      <w:pPr>
        <w:pStyle w:val="Default"/>
        <w:ind w:right="-235"/>
        <w:jc w:val="both"/>
        <w:rPr>
          <w:rFonts w:ascii="Arial" w:hAnsi="Arial" w:cs="Arial"/>
          <w:sz w:val="18"/>
          <w:szCs w:val="18"/>
        </w:rPr>
      </w:pPr>
      <w:r w:rsidRPr="00595EF7">
        <w:rPr>
          <w:rFonts w:ascii="Arial" w:hAnsi="Arial" w:cs="Arial"/>
          <w:bCs/>
          <w:sz w:val="18"/>
          <w:szCs w:val="18"/>
        </w:rPr>
        <w:t>a)</w:t>
      </w:r>
      <w:r w:rsidRPr="007E42D2">
        <w:rPr>
          <w:rFonts w:ascii="Arial" w:hAnsi="Arial" w:cs="Arial"/>
          <w:b/>
          <w:bCs/>
          <w:sz w:val="18"/>
          <w:szCs w:val="18"/>
        </w:rPr>
        <w:t xml:space="preserve"> </w:t>
      </w:r>
      <w:r w:rsidR="00595EF7">
        <w:rPr>
          <w:rFonts w:ascii="Arial" w:hAnsi="Arial" w:cs="Arial"/>
          <w:sz w:val="18"/>
          <w:szCs w:val="18"/>
        </w:rPr>
        <w:t>Objeto social.</w:t>
      </w:r>
    </w:p>
    <w:p w:rsidR="00595EF7" w:rsidRPr="00595EF7" w:rsidRDefault="00595EF7" w:rsidP="00595EF7">
      <w:pPr>
        <w:pStyle w:val="Default"/>
        <w:ind w:right="-235"/>
        <w:jc w:val="both"/>
        <w:rPr>
          <w:rFonts w:ascii="Arial" w:hAnsi="Arial" w:cs="Arial"/>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El Instituto Tlaxcalteca para la Educación de los Adultos, tendrá por objeto prestar los servicios de educación básica, bachillerato o equivalente y superior, la formación para el trabajo, así como el buen uso del tiempo libre, orientado a los individuos mayores de 15 años de edad, con los contenidos particulares para atender las necesidades educativas especificas de ese sector de la población la cual estará apoyada en la solidaridad social.</w:t>
      </w:r>
    </w:p>
    <w:p w:rsidR="00721501" w:rsidRPr="007E42D2" w:rsidRDefault="00595EF7" w:rsidP="00595EF7">
      <w:pPr>
        <w:pStyle w:val="Default"/>
        <w:spacing w:line="276" w:lineRule="auto"/>
        <w:ind w:right="-235"/>
        <w:jc w:val="both"/>
        <w:rPr>
          <w:rFonts w:ascii="Arial" w:hAnsi="Arial" w:cs="Arial"/>
          <w:sz w:val="18"/>
          <w:szCs w:val="18"/>
        </w:rPr>
      </w:pPr>
      <w:r w:rsidRPr="00595EF7">
        <w:rPr>
          <w:rFonts w:ascii="Arial" w:hAnsi="Arial" w:cs="Arial"/>
          <w:sz w:val="18"/>
          <w:szCs w:val="18"/>
        </w:rPr>
        <w:t>La educación para los adultos en el Estado, formara parte del Sistema Educativo Nacional y deberá cumplir con los planes y programas de estudio que rigen esta modalidad educativa no escolarizada, en congruencia con la normatividad establecida por el Instituto Nacional para la Educación de los Adultos.</w:t>
      </w:r>
    </w:p>
    <w:p w:rsidR="00595EF7" w:rsidRDefault="00595EF7" w:rsidP="00721501">
      <w:pPr>
        <w:pStyle w:val="Default"/>
        <w:spacing w:line="276" w:lineRule="auto"/>
        <w:ind w:right="-235"/>
        <w:jc w:val="both"/>
        <w:rPr>
          <w:rFonts w:ascii="Arial" w:hAnsi="Arial" w:cs="Arial"/>
          <w:b/>
          <w:bCs/>
          <w:sz w:val="18"/>
          <w:szCs w:val="18"/>
        </w:rPr>
      </w:pPr>
    </w:p>
    <w:p w:rsidR="00721501" w:rsidRDefault="00721501" w:rsidP="00721501">
      <w:pPr>
        <w:pStyle w:val="Default"/>
        <w:spacing w:line="276" w:lineRule="auto"/>
        <w:ind w:right="-235"/>
        <w:jc w:val="both"/>
        <w:rPr>
          <w:rFonts w:ascii="Arial" w:hAnsi="Arial" w:cs="Arial"/>
          <w:sz w:val="18"/>
          <w:szCs w:val="18"/>
        </w:rPr>
      </w:pPr>
      <w:r w:rsidRPr="00595EF7">
        <w:rPr>
          <w:rFonts w:ascii="Arial" w:hAnsi="Arial" w:cs="Arial"/>
          <w:bCs/>
          <w:sz w:val="18"/>
          <w:szCs w:val="18"/>
        </w:rPr>
        <w:t>b)</w:t>
      </w:r>
      <w:r w:rsidRPr="007E42D2">
        <w:rPr>
          <w:rFonts w:ascii="Arial" w:hAnsi="Arial" w:cs="Arial"/>
          <w:b/>
          <w:bCs/>
          <w:sz w:val="18"/>
          <w:szCs w:val="18"/>
        </w:rPr>
        <w:t xml:space="preserve"> </w:t>
      </w:r>
      <w:r w:rsidR="00595EF7">
        <w:rPr>
          <w:rFonts w:ascii="Arial" w:hAnsi="Arial" w:cs="Arial"/>
          <w:sz w:val="18"/>
          <w:szCs w:val="18"/>
        </w:rPr>
        <w:t>Principal actividad.</w:t>
      </w:r>
    </w:p>
    <w:p w:rsidR="00595EF7" w:rsidRPr="007E42D2" w:rsidRDefault="00595EF7" w:rsidP="00721501">
      <w:pPr>
        <w:pStyle w:val="Default"/>
        <w:spacing w:line="276" w:lineRule="auto"/>
        <w:ind w:right="-235"/>
        <w:jc w:val="both"/>
        <w:rPr>
          <w:rFonts w:ascii="Arial" w:hAnsi="Arial" w:cs="Arial"/>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 Promover, organizar, ofrecer e impartir educación básica, bachillerato o su equivalente y superior, así como la formación para el trabajo y el buen uso del tiempo libre orientado a los individuos mayores de 15 años de edad;</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II.- Resguardar el desarrollo de las funciones sustantivas y de apoyo a cargo de los órganos institucionales en materia de educación para adultos;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III.- Crear conciencia sobre la problemática relacionada con el rezago educativo existente en la población adulta; así como fomentar y realizar investigaciones y estudios al respecto de esta prioridad nacional y estatal, a fin de adoptar las técnicas adecuadas para motivar y propiciar la acción comunitaria;</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 xml:space="preserve">IV.- Elaborar, reproducir y distribuir en el estado, materiales didácticos aplicables a los individuos mayores de 15 años de edad; </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 Prestar servicios de formación, actualización y capacitación del personal que requieran los servicios de educación para adultos;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 Coadyuvar a la extensión de los servicios de educación comunitaria destinada a los adultos en los diferentes niveles de educación básica, así como para la difusión cultural;</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VII.- Establecer Delegaciones y Coordinaciones en los municipios y regiones del Estado, en caso de ser necesario, a través de las cuales se coordinen eficientemente la ejecución de los planes y programas de educación para los individuos mayores de 15 años de edad;</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VIII.- Expedir constancias y certificados que acrediten el nivel educativo que imparta el Instituto, conforme a los programas de estudio, normatividad y procedimientos vigentes;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IX.- Auspiciar y organizar el servicio social educativo y dar oportunidad a los estudiantes para que participen voluntariamente en los programas de educación para los individuos mayores de 15 años de edad;</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 Coordinar sus actividades con instituciones que ofrezcan servicios educativos similares o complementarios;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 Promover la constitución en el Estado, de un patronato Pro – Educación de los Adultos del Estado de Tlaxcala, con las características jurídicas de una asociación civil, que tenga por objeto participar y apoyar al Instituto en el desarrollo de las tareas educativas a su cargo;</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XII.- Patrocinar la edición de obras y realizar actividades de difusión cultural, que complementen y apoyen sus programas;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XIII.- Difundir a través de los medios de comunicación masiva la extensión de los servicios educativos que preste y los programas que desarrolle, así como proporcionar orientación e información al público para el mejor conocimiento de sus actividades;</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XIV.- Patrocinar y organizar la realización de reuniones, seminarios y otros eventos de orientación, capacitación y actualización del marco jurídico administrativo que rige en materia de educación para los adultos en el marco del Sistema Educativo Nacional;</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XV.- Otorgar estímulos y recompensas a los agentes operativos solidarios que se distingan por los eficientes servicios de apoyo a la educación para los individuos mayores de 15 años de edad, en el marco del Sistema Educativo Nacional</w:t>
      </w:r>
    </w:p>
    <w:p w:rsidR="00595EF7" w:rsidRPr="00595EF7" w:rsidRDefault="00595EF7" w:rsidP="00595EF7">
      <w:pPr>
        <w:pStyle w:val="Default"/>
        <w:ind w:right="-235"/>
        <w:jc w:val="both"/>
        <w:rPr>
          <w:rFonts w:ascii="Arial" w:hAnsi="Arial" w:cs="Arial"/>
          <w:color w:val="auto"/>
          <w:sz w:val="18"/>
          <w:szCs w:val="18"/>
        </w:rPr>
      </w:pPr>
    </w:p>
    <w:p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XVI.- Fungir como cuerpo consultivo de las Instituciones Oficiales y Privadas en la materia educativa de su competencia; y</w:t>
      </w:r>
    </w:p>
    <w:p w:rsidR="00595EF7" w:rsidRPr="00595EF7" w:rsidRDefault="00595EF7" w:rsidP="00595EF7">
      <w:pPr>
        <w:pStyle w:val="Default"/>
        <w:ind w:right="-235"/>
        <w:jc w:val="both"/>
        <w:rPr>
          <w:rFonts w:ascii="Arial" w:hAnsi="Arial" w:cs="Arial"/>
          <w:color w:val="auto"/>
          <w:sz w:val="18"/>
          <w:szCs w:val="18"/>
        </w:rPr>
      </w:pPr>
    </w:p>
    <w:p w:rsidR="00721501" w:rsidRPr="007E42D2" w:rsidRDefault="00595EF7" w:rsidP="00595EF7">
      <w:pPr>
        <w:pStyle w:val="Default"/>
        <w:spacing w:line="276" w:lineRule="auto"/>
        <w:ind w:right="-235"/>
        <w:jc w:val="both"/>
        <w:rPr>
          <w:rFonts w:ascii="Arial" w:hAnsi="Arial" w:cs="Arial"/>
          <w:sz w:val="18"/>
          <w:szCs w:val="18"/>
        </w:rPr>
      </w:pPr>
      <w:r w:rsidRPr="00595EF7">
        <w:rPr>
          <w:rFonts w:ascii="Arial" w:hAnsi="Arial" w:cs="Arial"/>
          <w:color w:val="auto"/>
          <w:sz w:val="18"/>
          <w:szCs w:val="18"/>
        </w:rPr>
        <w:t>XVII.- Las demás que resulten necesarias para el cumplimiento de su objeto.</w:t>
      </w:r>
    </w:p>
    <w:p w:rsidR="00721501" w:rsidRPr="007E42D2" w:rsidRDefault="00721501" w:rsidP="00721501">
      <w:pPr>
        <w:pStyle w:val="Default"/>
        <w:spacing w:line="276" w:lineRule="auto"/>
        <w:ind w:right="-235"/>
        <w:jc w:val="both"/>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Ejercicio fiscal </w:t>
      </w:r>
    </w:p>
    <w:p w:rsidR="00721501" w:rsidRPr="007E42D2" w:rsidRDefault="00721501" w:rsidP="00721501">
      <w:pPr>
        <w:pStyle w:val="Default"/>
        <w:spacing w:line="276" w:lineRule="auto"/>
        <w:ind w:right="-235"/>
        <w:jc w:val="both"/>
        <w:rPr>
          <w:rFonts w:ascii="Arial" w:hAnsi="Arial" w:cs="Arial"/>
          <w:sz w:val="18"/>
          <w:szCs w:val="18"/>
        </w:rPr>
      </w:pPr>
    </w:p>
    <w:p w:rsid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Ejercicio fiscal 201</w:t>
      </w:r>
      <w:r w:rsidR="00E6698F">
        <w:rPr>
          <w:rFonts w:ascii="Arial" w:hAnsi="Arial" w:cs="Arial"/>
          <w:sz w:val="18"/>
          <w:szCs w:val="18"/>
        </w:rPr>
        <w:t>6</w:t>
      </w:r>
      <w:r w:rsidRPr="00595EF7">
        <w:rPr>
          <w:rFonts w:ascii="Arial" w:hAnsi="Arial" w:cs="Arial"/>
          <w:sz w:val="18"/>
          <w:szCs w:val="18"/>
        </w:rPr>
        <w:t xml:space="preserve"> (periodo de Enero a Diciembre 201</w:t>
      </w:r>
      <w:r w:rsidR="00E6698F">
        <w:rPr>
          <w:rFonts w:ascii="Arial" w:hAnsi="Arial" w:cs="Arial"/>
          <w:sz w:val="18"/>
          <w:szCs w:val="18"/>
        </w:rPr>
        <w:t>6</w:t>
      </w:r>
      <w:r w:rsidRPr="00595EF7">
        <w:rPr>
          <w:rFonts w:ascii="Arial" w:hAnsi="Arial" w:cs="Arial"/>
          <w:sz w:val="18"/>
          <w:szCs w:val="18"/>
        </w:rPr>
        <w:t xml:space="preserve">). </w:t>
      </w:r>
    </w:p>
    <w:p w:rsidR="00595EF7" w:rsidRDefault="00595EF7" w:rsidP="00595EF7">
      <w:pPr>
        <w:pStyle w:val="Default"/>
        <w:ind w:right="-235"/>
        <w:jc w:val="both"/>
        <w:rPr>
          <w:rFonts w:ascii="Arial" w:hAnsi="Arial" w:cs="Arial"/>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d) Régimen jurídico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 xml:space="preserve">Organismo público descentralizado de Poder Ejecutivo, con personalidad jurídica y patrimonio propios.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El Instituto Tlaxcalteca para la Educación de los Adultos se encuentra registrado ante la S.H.C.P. como Persona Moral con servicios no remunerados de asistencia social (Título III de la Ley de I.S.R).</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e) Consideraciones fiscales del ente: revelar el tipo de contribuciones que esté obligado a pagar o retener.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 xml:space="preserve">El Instituto Tlaxcalteca para la Educación de los Adultos se ubica dentro de las personas morales a que se refiere al art. 95 y 102 de la L.I.S.R., por lo que de acuerdo con el art. 93 de la misma ley no se consideran como contribuyente del I.S.R. Pero tiene otras obligaciones como: </w:t>
      </w:r>
    </w:p>
    <w:p w:rsidR="00595EF7" w:rsidRDefault="00595EF7" w:rsidP="00595EF7">
      <w:pPr>
        <w:pStyle w:val="Default"/>
        <w:ind w:left="360" w:right="-235"/>
        <w:jc w:val="both"/>
        <w:rPr>
          <w:rFonts w:ascii="Arial" w:hAnsi="Arial" w:cs="Arial"/>
          <w:sz w:val="18"/>
          <w:szCs w:val="18"/>
        </w:rPr>
      </w:pPr>
    </w:p>
    <w:p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 retenciones del Impuesto Sobre la Renta (ISR) por sueldos y salarios.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anual del ISR donde se informe sobre los pagos y retenciones de servicios profesionales.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1418" w:right="-235" w:hanging="1058"/>
        <w:jc w:val="both"/>
        <w:rPr>
          <w:rFonts w:ascii="Arial" w:hAnsi="Arial" w:cs="Arial"/>
          <w:sz w:val="18"/>
          <w:szCs w:val="18"/>
        </w:rPr>
      </w:pPr>
      <w:r>
        <w:rPr>
          <w:rFonts w:ascii="Arial" w:hAnsi="Arial" w:cs="Arial"/>
          <w:sz w:val="18"/>
          <w:szCs w:val="18"/>
        </w:rPr>
        <w:tab/>
      </w:r>
      <w:r w:rsidRPr="00595EF7">
        <w:rPr>
          <w:rFonts w:ascii="Arial" w:hAnsi="Arial" w:cs="Arial"/>
          <w:sz w:val="18"/>
          <w:szCs w:val="18"/>
        </w:rPr>
        <w:t xml:space="preserve">Presentar la declaración anual donde se informe sobre las retenciones de los trabajadores que recibieron sueldos y salarios y trabajadores asimilados a salarios. </w:t>
      </w:r>
    </w:p>
    <w:p w:rsid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del ISR por las retenciones realizadas a los trabajadores asimilados a salarios. </w:t>
      </w:r>
    </w:p>
    <w:p w:rsidR="00595EF7" w:rsidRPr="00595EF7" w:rsidRDefault="00595EF7" w:rsidP="00595EF7">
      <w:pPr>
        <w:pStyle w:val="Default"/>
        <w:ind w:left="720" w:right="-235"/>
        <w:jc w:val="both"/>
        <w:rPr>
          <w:rFonts w:ascii="Arial" w:hAnsi="Arial" w:cs="Arial"/>
          <w:sz w:val="18"/>
          <w:szCs w:val="18"/>
        </w:rPr>
      </w:pPr>
    </w:p>
    <w:p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informativa anual de Subsidio para el Empleo. </w:t>
      </w:r>
    </w:p>
    <w:p w:rsidR="00595EF7" w:rsidRPr="00595EF7" w:rsidRDefault="00595EF7" w:rsidP="00595EF7">
      <w:pPr>
        <w:pStyle w:val="Default"/>
        <w:ind w:left="720" w:right="-235"/>
        <w:jc w:val="both"/>
        <w:rPr>
          <w:rFonts w:ascii="Arial" w:hAnsi="Arial" w:cs="Arial"/>
          <w:sz w:val="18"/>
          <w:szCs w:val="18"/>
        </w:rPr>
      </w:pPr>
    </w:p>
    <w:p w:rsidR="00721501" w:rsidRPr="007E42D2" w:rsidRDefault="00595EF7" w:rsidP="00595EF7">
      <w:pPr>
        <w:pStyle w:val="Default"/>
        <w:spacing w:line="276" w:lineRule="auto"/>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Presentar la declaración y pago provisional mensual del ISR por las retenciones realizadas por servicios profesionales.</w:t>
      </w:r>
    </w:p>
    <w:p w:rsidR="00721501" w:rsidRPr="007E42D2" w:rsidRDefault="00721501" w:rsidP="00595EF7">
      <w:pPr>
        <w:pStyle w:val="Default"/>
        <w:spacing w:line="276" w:lineRule="auto"/>
        <w:ind w:right="-235"/>
        <w:jc w:val="both"/>
        <w:rPr>
          <w:rFonts w:ascii="Arial" w:hAnsi="Arial" w:cs="Arial"/>
          <w:sz w:val="18"/>
          <w:szCs w:val="18"/>
        </w:rPr>
      </w:pPr>
    </w:p>
    <w:p w:rsidR="00721501" w:rsidRDefault="00CC380F" w:rsidP="00721501">
      <w:pPr>
        <w:pStyle w:val="Default"/>
        <w:pageBreakBefore/>
        <w:spacing w:line="276" w:lineRule="auto"/>
        <w:ind w:right="-235"/>
        <w:rPr>
          <w:rFonts w:ascii="Arial" w:hAnsi="Arial" w:cs="Arial"/>
          <w:sz w:val="18"/>
          <w:szCs w:val="18"/>
        </w:rPr>
      </w:pPr>
      <w:r w:rsidRPr="00CC380F">
        <w:rPr>
          <w:rFonts w:ascii="Arial" w:hAnsi="Arial" w:cs="Arial"/>
          <w:bCs/>
          <w:noProof/>
          <w:sz w:val="18"/>
          <w:szCs w:val="18"/>
          <w:lang w:eastAsia="es-MX"/>
        </w:rPr>
        <w:lastRenderedPageBreak/>
        <w:drawing>
          <wp:anchor distT="0" distB="0" distL="114300" distR="114300" simplePos="0" relativeHeight="251662336" behindDoc="1" locked="0" layoutInCell="1" allowOverlap="1">
            <wp:simplePos x="0" y="0"/>
            <wp:positionH relativeFrom="margin">
              <wp:posOffset>685800</wp:posOffset>
            </wp:positionH>
            <wp:positionV relativeFrom="paragraph">
              <wp:posOffset>295275</wp:posOffset>
            </wp:positionV>
            <wp:extent cx="7760970" cy="4867275"/>
            <wp:effectExtent l="19050" t="0" r="0" b="0"/>
            <wp:wrapThrough wrapText="bothSides">
              <wp:wrapPolygon edited="0">
                <wp:start x="8112" y="0"/>
                <wp:lineTo x="8112" y="1353"/>
                <wp:lineTo x="9013" y="2705"/>
                <wp:lineTo x="9066" y="2874"/>
                <wp:lineTo x="10922" y="4058"/>
                <wp:lineTo x="7582" y="4227"/>
                <wp:lineTo x="7582" y="5411"/>
                <wp:lineTo x="2598" y="6002"/>
                <wp:lineTo x="2174" y="6171"/>
                <wp:lineTo x="2174" y="6763"/>
                <wp:lineTo x="530" y="7270"/>
                <wp:lineTo x="530" y="8116"/>
                <wp:lineTo x="53" y="9046"/>
                <wp:lineTo x="-53" y="9468"/>
                <wp:lineTo x="-53" y="20290"/>
                <wp:lineTo x="53" y="21050"/>
                <wp:lineTo x="106" y="21050"/>
                <wp:lineTo x="21473" y="21050"/>
                <wp:lineTo x="21526" y="21050"/>
                <wp:lineTo x="21579" y="20543"/>
                <wp:lineTo x="21579" y="7270"/>
                <wp:lineTo x="21367" y="7101"/>
                <wp:lineTo x="19776" y="6763"/>
                <wp:lineTo x="19882" y="6171"/>
                <wp:lineTo x="15057" y="5411"/>
                <wp:lineTo x="15163" y="4227"/>
                <wp:lineTo x="11664" y="4058"/>
                <wp:lineTo x="13520" y="2874"/>
                <wp:lineTo x="13573" y="2705"/>
                <wp:lineTo x="14474" y="1437"/>
                <wp:lineTo x="14474" y="0"/>
                <wp:lineTo x="8112"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P Transparencia_1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760970" cy="4867275"/>
                    </a:xfrm>
                    <a:prstGeom prst="rect">
                      <a:avLst/>
                    </a:prstGeom>
                    <a:noFill/>
                    <a:ln>
                      <a:noFill/>
                    </a:ln>
                  </pic:spPr>
                </pic:pic>
              </a:graphicData>
            </a:graphic>
          </wp:anchor>
        </w:drawing>
      </w:r>
      <w:r w:rsidR="00721501" w:rsidRPr="00CC380F">
        <w:rPr>
          <w:rFonts w:ascii="Arial" w:hAnsi="Arial" w:cs="Arial"/>
          <w:bCs/>
          <w:sz w:val="18"/>
          <w:szCs w:val="18"/>
        </w:rPr>
        <w:t>f)</w:t>
      </w:r>
      <w:r w:rsidR="00721501" w:rsidRPr="007E42D2">
        <w:rPr>
          <w:rFonts w:ascii="Arial" w:hAnsi="Arial" w:cs="Arial"/>
          <w:b/>
          <w:bCs/>
          <w:sz w:val="18"/>
          <w:szCs w:val="18"/>
        </w:rPr>
        <w:t xml:space="preserve"> </w:t>
      </w:r>
      <w:r w:rsidR="00721501" w:rsidRPr="007E42D2">
        <w:rPr>
          <w:rFonts w:ascii="Arial" w:hAnsi="Arial" w:cs="Arial"/>
          <w:sz w:val="18"/>
          <w:szCs w:val="18"/>
        </w:rPr>
        <w:t xml:space="preserve">Estructura organizacional básica.  </w:t>
      </w:r>
    </w:p>
    <w:p w:rsidR="00CC380F" w:rsidRPr="007E42D2" w:rsidRDefault="00CC380F" w:rsidP="00721501">
      <w:pPr>
        <w:pStyle w:val="Default"/>
        <w:pageBreakBefore/>
        <w:spacing w:line="276" w:lineRule="auto"/>
        <w:ind w:right="-235"/>
        <w:rPr>
          <w:rFonts w:ascii="Arial" w:hAnsi="Arial" w:cs="Arial"/>
          <w:sz w:val="18"/>
          <w:szCs w:val="18"/>
        </w:rPr>
      </w:pPr>
    </w:p>
    <w:p w:rsidR="00721501" w:rsidRPr="007E42D2" w:rsidRDefault="00721501" w:rsidP="00721501">
      <w:pPr>
        <w:pStyle w:val="Default"/>
        <w:spacing w:line="276" w:lineRule="auto"/>
        <w:ind w:right="-235"/>
        <w:jc w:val="both"/>
        <w:rPr>
          <w:rFonts w:ascii="Arial" w:hAnsi="Arial" w:cs="Arial"/>
          <w:sz w:val="18"/>
          <w:szCs w:val="18"/>
        </w:rPr>
      </w:pPr>
      <w:r w:rsidRPr="00CC380F">
        <w:rPr>
          <w:rFonts w:ascii="Arial" w:hAnsi="Arial" w:cs="Arial"/>
          <w:bCs/>
          <w:sz w:val="18"/>
          <w:szCs w:val="18"/>
        </w:rPr>
        <w:t>g)</w:t>
      </w:r>
      <w:r w:rsidRPr="007E42D2">
        <w:rPr>
          <w:rFonts w:ascii="Arial" w:hAnsi="Arial" w:cs="Arial"/>
          <w:b/>
          <w:bCs/>
          <w:sz w:val="18"/>
          <w:szCs w:val="18"/>
        </w:rPr>
        <w:t xml:space="preserve"> </w:t>
      </w:r>
      <w:r w:rsidRPr="007E42D2">
        <w:rPr>
          <w:rFonts w:ascii="Arial" w:hAnsi="Arial" w:cs="Arial"/>
          <w:sz w:val="18"/>
          <w:szCs w:val="18"/>
        </w:rPr>
        <w:t>El Instituto Tlaxcalteca para la Educación de los Adultos no se encuentra en el caso de ser fideicomitente o fiduciario.</w:t>
      </w:r>
    </w:p>
    <w:p w:rsidR="00721501" w:rsidRPr="007E42D2" w:rsidRDefault="00721501" w:rsidP="00721501">
      <w:pPr>
        <w:pStyle w:val="Default"/>
        <w:spacing w:line="276" w:lineRule="auto"/>
        <w:ind w:right="-235"/>
        <w:jc w:val="both"/>
        <w:rPr>
          <w:rFonts w:ascii="Arial" w:hAnsi="Arial" w:cs="Arial"/>
          <w:b/>
          <w:bCs/>
          <w:sz w:val="18"/>
          <w:szCs w:val="18"/>
        </w:rPr>
      </w:pPr>
    </w:p>
    <w:p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5.- Bases de preparación de los Estados Financieros.</w:t>
      </w:r>
    </w:p>
    <w:p w:rsidR="00721501" w:rsidRPr="00CC380F" w:rsidRDefault="00721501" w:rsidP="00721501">
      <w:pPr>
        <w:pStyle w:val="Default"/>
        <w:spacing w:line="276" w:lineRule="auto"/>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a) Se ha aplicado la normatividad emitida por el Consejo Nacional de Armonización Contable (CONAC) y sus disposiciones legales aplicables y la Ley General de Contabilidad Gubernamental (LGCG) para la emisión de los estados financieros contables. Asimismo, se ha observado el Código Financiero para el Estado de Tlaxcala y sus Municipios, (aplicables para el p</w:t>
      </w:r>
      <w:r>
        <w:rPr>
          <w:rFonts w:ascii="Arial" w:hAnsi="Arial" w:cs="Arial"/>
          <w:bCs/>
          <w:sz w:val="18"/>
          <w:szCs w:val="18"/>
        </w:rPr>
        <w:t>eriodo Enero a Diciembre 201</w:t>
      </w:r>
      <w:r w:rsidR="00E6698F">
        <w:rPr>
          <w:rFonts w:ascii="Arial" w:hAnsi="Arial" w:cs="Arial"/>
          <w:bCs/>
          <w:sz w:val="18"/>
          <w:szCs w:val="18"/>
        </w:rPr>
        <w:t>6</w:t>
      </w:r>
      <w:r>
        <w:rPr>
          <w:rFonts w:ascii="Arial" w:hAnsi="Arial" w:cs="Arial"/>
          <w:bCs/>
          <w:sz w:val="18"/>
          <w:szCs w:val="18"/>
        </w:rPr>
        <w:t>).</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Todos los eventos que afectan económicamente al Instituto Tlaxcalteca para la Educación de los Adultos están cuantificados en términos monetarios y se registran al costo histórico. El costo histórico de las operaciones corresponde al monto erogado para su adquisición conforme a la documentación contable original justificativa y comprobatoria,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Postulados básicos. La preparación de los Estados Financieros del Instituto Tlaxcalteca para la Educación de los Adultos, aplica los Postulados Básicos de sustancia económica, entes públicos, existencia permanente, revelación suficiente, importancia relativa, registro e integración presupuestaria, devengo contable del ingreso, valuación, dualidad económica y consistencia.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No se aplica normatividad supletoria contablemente.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no se aplica la base devengado de acuerdo a la Ley de Contabilidad.</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Los ingresos se reconocen de acuerdo a los lineamientos emitidos por el Consejo Nacional de Armonización Contable (CONAC) y la Ley General de Contabilidad Gubernamental (LGCG) referente a las ministraciones de recursos federales, Ramo 33, Ramo 11 y Gobierno del Estado de Tlaxcala. Con la finalidad de atender a los momentos contables del ingreso se consideran los siguientes lineamientos de registro: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momento contable del ingreso estimado es el que se aprueba anualmente por la Junta de Gobierno de ITEA, e incluyen los ingresos, estatales y federales.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modificado consiste en incorporar en su caso, las modificaciones al ingreso aprobado.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devengado se realizará en los siguientes casos: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Cuando se cuente con los elementos que identifiquen el hecho imponible al deudor (acreditado o terceros) y que pueda establecer un importe, emitiendo un documento de pago, señalando fecha límite para realizarlo conforme a las leyes y lineamientos aplicables.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participaciones se registrarán al momento de la percepción de los recursos.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aportaciones federales se registran conforme al calendario de pago. </w:t>
      </w:r>
    </w:p>
    <w:p w:rsid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Los egresos se encuentran reconocidos al costo histórico en el momento en que se devengan.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w:t>
      </w:r>
      <w:r w:rsidRPr="00CC380F">
        <w:rPr>
          <w:rFonts w:ascii="Arial" w:hAnsi="Arial" w:cs="Arial"/>
          <w:bCs/>
          <w:sz w:val="18"/>
          <w:szCs w:val="18"/>
        </w:rPr>
        <w:tab/>
        <w:t xml:space="preserve">El gasto devengado, refleja el reconocimiento de obligaciones de pago a favor de terceros por la recepción de conformidad de bienes, servicios y obras oportunamente contratados.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pagado, refleja la cancelación total o parcial de las obligaciones de pago, que se concreta mediante el desembolso de efectivo o cualquier otro medio de pago.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6. Políticas de Contabilidad Significativas: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La valuación de las operaciones del inventario inmobiliario se realiza mediante costeo directo, el registro de las cuentas de inventarios se realiza por medio de costos históricos, consistente en acumular los elementos del costo incurridos para la adquisición o producción de los bienes inmuebles.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La realización de operaciones en el extranjero y de sus efectos en la información financiera gubernamental no aplica.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c) El Método de valuación de la inversión en acciones de Compañías subsidiarias no consolidadas y asociadas no aplica.</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El Instituto Tlaxcalteca para la Educación de los Adultos cuenta con un inventario mobiliario, el cual está constituido por el mobiliario y equipo en propiedad del Instituto, en comodato y en comodato-renta; se controla contablemente a través del sistema de inventarios perpetuos, lo que permite registrar con cada ingreso realizado el costo al que fueron adquiridos.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Existe un contrato colectivo de trabajo en donde se regulan las relaciones laborales entre el Instituto Tlaxcalteca para la Educación de los Adultos, normatividad aplicable a trabajadores sindicalizados y por otra parte los empleados de confianza y honorarios también regulan sus actividades basados en la Ley Federal del Trabajo.</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f) En el Instituto Tlaxcalteca para la Educación de los Adultos no existen provisiones.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g) En el Instituto Tlaxcalteca para la Educación de los Adultos no existen reservas.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h) Cambios en políticas contables y corrección de errores junto con la revelación de los efectos que se tendrá en la información financiera del ente público, ya sea retrospectivos o prospectivos: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La adecuación de las estructuras contables y presupuestales en el marco de la armonización implican cambios en las políticas contables.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i) Reclasificaciones.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Se lleva a cabo el análisis para realizar la reclasificación de una o más cuentas, en donde el saldo de la cuenta a reclasificar, debe ser trasladado a otra cuenta, de forma tal que la presentación de los estados financieros y la información contable sea lo más adecuada y armonizada posible.</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j) Depuración y cancelación de saldos: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Se están realizando las actividades tendientes a depurar los saldos de cuentas por cobrar y cuentas por pagar.</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7. Posición en Moneda Extranjera y Protección por Riesgo Cambiario: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No aplica Activos en moneda extranjera: </w:t>
      </w: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 </w:t>
      </w: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No aplica Pasivos en moneda extranjera: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No aplica Posición en moneda extranjera: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d) No aplica tipo de cambio</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 No aplica equivalente en moneda nacional: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8. Reporte Analítico del Activo: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Debe mostrar la siguiente información: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roofErr w:type="gramStart"/>
      <w:r w:rsidRPr="00CC380F">
        <w:rPr>
          <w:rFonts w:ascii="Arial" w:hAnsi="Arial" w:cs="Arial"/>
          <w:bCs/>
          <w:sz w:val="18"/>
          <w:szCs w:val="18"/>
        </w:rPr>
        <w:t>a</w:t>
      </w:r>
      <w:proofErr w:type="gramEnd"/>
      <w:r w:rsidRPr="00CC380F">
        <w:rPr>
          <w:rFonts w:ascii="Arial" w:hAnsi="Arial" w:cs="Arial"/>
          <w:bCs/>
          <w:sz w:val="18"/>
          <w:szCs w:val="18"/>
        </w:rPr>
        <w:t>) b) y c): La vida útil o porcentajes de depreciación, deterioro o amortización utilizados en los diferentes tipos de activos, los cambios en el porcentaje de depreciación o valor residual de los activos, así como el importe de los gastos capitalizados en el ejercicio, tanto financieros como de investigación y desarrollo no aplican en el Instituto Tlaxcalteca para la Educación de los Adultos.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d) En el Instituto Tlaxcalteca para la Educación de los Adultos los riegos por tipo de cambio o tipo de interés de las inversiones financieras no aplican.</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el valor activado en el ejercicio de los bienes construidos por la entidad no aplican.</w:t>
      </w: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 </w:t>
      </w: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g) El desmantelamiento de Activos, procedimientos, implicaciones, efectos contables no aplica en el Instituto Tlaxcalteca para la Educación de los Adultos.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h) En cuanto a la administración de activos, la planeación con el objetivo de que el Instituto Tlaxcalteca para la Educación de los Adultos los utilice de manera más efectiva no Aplica.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Adicionalmente, se deben incluir las explicaciones de las principales variaciones en el activo, en cuadros comparativos como sigue: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a) Inversiones en valores: Actualmente en el Instituto Tlaxcalteca para la Educación de los Adultos  se manejan cuentas de cheques productivas.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Patrimonio de Organismos descentralizados de Control Presupuestario Indirecto no aplica.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Asimismo las inversiones en empresas de participación mayoritaria no aplican.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A su vez, las Inversiones en empresas de participación minoritaria no aplican.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no existe patrimonio de organismos descentralizados de control presupuestario directo.</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9. Fideicomisos, Mandatos y Análogos: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a) En el Instituto Tlaxcalteca para la Educación de los Adultos no existen fideicomisos.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10. Reporte de la Recaudación: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El análisis del comportamiento de la recaudación correspondiente al Instituto Tlaxcalteca para la Educación de los Adultos público, en forma separada los ingresos locales de los federales a continuación se detallan: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Transferencias Estatales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Participaciones  $</w:t>
      </w:r>
      <w:r w:rsidR="00E6698F">
        <w:rPr>
          <w:rFonts w:ascii="Arial" w:hAnsi="Arial" w:cs="Arial"/>
          <w:bCs/>
          <w:sz w:val="18"/>
          <w:szCs w:val="18"/>
        </w:rPr>
        <w:t xml:space="preserve"> </w:t>
      </w:r>
      <w:r w:rsidRPr="00CC380F">
        <w:rPr>
          <w:rFonts w:ascii="Arial" w:hAnsi="Arial" w:cs="Arial"/>
          <w:bCs/>
          <w:sz w:val="18"/>
          <w:szCs w:val="18"/>
        </w:rPr>
        <w:t xml:space="preserve"> </w:t>
      </w:r>
      <w:r w:rsidR="00B5125E">
        <w:rPr>
          <w:rFonts w:ascii="Arial" w:hAnsi="Arial" w:cs="Arial"/>
          <w:bCs/>
          <w:sz w:val="18"/>
          <w:szCs w:val="18"/>
        </w:rPr>
        <w:t>7’555,210.71</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Transferencias Federales</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Convenios        $ </w:t>
      </w:r>
      <w:r w:rsidR="00E6698F">
        <w:rPr>
          <w:rFonts w:ascii="Arial" w:hAnsi="Arial" w:cs="Arial"/>
          <w:bCs/>
          <w:sz w:val="18"/>
          <w:szCs w:val="18"/>
        </w:rPr>
        <w:t xml:space="preserve">  </w:t>
      </w:r>
      <w:r w:rsidR="00B5125E">
        <w:rPr>
          <w:rFonts w:ascii="Arial" w:hAnsi="Arial" w:cs="Arial"/>
          <w:bCs/>
          <w:sz w:val="18"/>
          <w:szCs w:val="18"/>
        </w:rPr>
        <w:t>9’301,009.71</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Ramo XXXIII    $ </w:t>
      </w:r>
      <w:r w:rsidR="00B5125E">
        <w:rPr>
          <w:rFonts w:ascii="Arial" w:hAnsi="Arial" w:cs="Arial"/>
          <w:bCs/>
          <w:sz w:val="18"/>
          <w:szCs w:val="18"/>
        </w:rPr>
        <w:t>18’404,571.45</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11. Información sobre la Deuda y el Reporte Analítico de la Deuda: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El Instituto Tlaxcalteca para la Educación de lo</w:t>
      </w:r>
      <w:r w:rsidR="00E6698F">
        <w:rPr>
          <w:rFonts w:ascii="Arial" w:hAnsi="Arial" w:cs="Arial"/>
          <w:bCs/>
          <w:sz w:val="18"/>
          <w:szCs w:val="18"/>
        </w:rPr>
        <w:t>s Adultos no cuenta con deuda pú</w:t>
      </w:r>
      <w:r w:rsidRPr="00CC380F">
        <w:rPr>
          <w:rFonts w:ascii="Arial" w:hAnsi="Arial" w:cs="Arial"/>
          <w:bCs/>
          <w:sz w:val="18"/>
          <w:szCs w:val="18"/>
        </w:rPr>
        <w:t>blica actualmente.</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12. Calificaciones otorgadas: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ha realizado transacciones que hayan sido sujetas a una calificación crediticia: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13. Proceso de Mejora: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Principales Políticas de control interno: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La adecuación de las estructuras contables y presupuestales, y en el marco de la armonización contable, implican la modernización a los procesos de registro en el sistema. </w:t>
      </w: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Medidas de desempeño financiero, metas y alcance: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Se continua trabajando en el cambio transcendental que es el proceso de armonización contable, para atender en tiempo y forma el nuevo esquema de la contabilidad gubernamental y generando así los beneficios en materia de información financiera, transparencia y rendición de cuentas.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14. Información por Segmentos: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cuenta con operaciones financieras de manera segmentada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15. Eventos Posteriores al Cierre: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existe evidencia sobre eventos que le afectan económicamente y que no se conocían a la fecha de cierre.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16. Partes Relacionadas: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En el Instituto Tlaxcalteca para la Educación de los Adultos no existen partes relacionadas que pudieran ejercer influencia significativa sobre la toma de decisiones financieras y operativas. </w:t>
      </w:r>
    </w:p>
    <w:p w:rsidR="00CC380F" w:rsidRPr="00CC380F" w:rsidRDefault="00CC380F" w:rsidP="00CC380F">
      <w:pPr>
        <w:pStyle w:val="Default"/>
        <w:ind w:right="-235"/>
        <w:jc w:val="both"/>
        <w:rPr>
          <w:rFonts w:ascii="Arial" w:hAnsi="Arial" w:cs="Arial"/>
          <w:bCs/>
          <w:sz w:val="18"/>
          <w:szCs w:val="18"/>
        </w:rPr>
      </w:pPr>
    </w:p>
    <w:p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17. Responsabilidad sobre la presentación razonable de los Estados Financieros: </w:t>
      </w:r>
    </w:p>
    <w:p w:rsidR="00CC380F" w:rsidRPr="00CC380F" w:rsidRDefault="00CC380F" w:rsidP="00CC380F">
      <w:pPr>
        <w:pStyle w:val="Default"/>
        <w:ind w:right="-235"/>
        <w:jc w:val="both"/>
        <w:rPr>
          <w:rFonts w:ascii="Arial" w:hAnsi="Arial" w:cs="Arial"/>
          <w:bCs/>
          <w:sz w:val="18"/>
          <w:szCs w:val="18"/>
        </w:rPr>
      </w:pPr>
    </w:p>
    <w:p w:rsidR="00721501" w:rsidRPr="007E42D2" w:rsidRDefault="00CC380F" w:rsidP="00CC380F">
      <w:pPr>
        <w:pStyle w:val="Default"/>
        <w:spacing w:line="276" w:lineRule="auto"/>
        <w:ind w:right="-235"/>
        <w:jc w:val="both"/>
        <w:rPr>
          <w:rFonts w:ascii="Arial" w:hAnsi="Arial" w:cs="Arial"/>
          <w:sz w:val="18"/>
          <w:szCs w:val="18"/>
        </w:rPr>
      </w:pPr>
      <w:r w:rsidRPr="00CC380F">
        <w:rPr>
          <w:rFonts w:ascii="Arial" w:hAnsi="Arial" w:cs="Arial"/>
          <w:bCs/>
          <w:sz w:val="18"/>
          <w:szCs w:val="18"/>
        </w:rPr>
        <w:t xml:space="preserve"> “Bajo protesta de decir verdad declaramos que los Estados Financieros y sus notas, son razonablemente correctos y son responsabilidad del emisor”.</w:t>
      </w:r>
    </w:p>
    <w:p w:rsidR="00721501" w:rsidRPr="007E42D2" w:rsidRDefault="00721501" w:rsidP="00721501">
      <w:pPr>
        <w:pStyle w:val="Texto"/>
        <w:spacing w:after="0" w:line="276" w:lineRule="auto"/>
        <w:rPr>
          <w:szCs w:val="18"/>
          <w:lang w:val="es-MX"/>
        </w:rPr>
      </w:pPr>
    </w:p>
    <w:p w:rsidR="00721501" w:rsidRDefault="00721501" w:rsidP="00721501">
      <w:pPr>
        <w:pStyle w:val="Texto"/>
        <w:spacing w:after="0" w:line="276" w:lineRule="auto"/>
        <w:rPr>
          <w:szCs w:val="18"/>
        </w:rPr>
      </w:pPr>
    </w:p>
    <w:p w:rsidR="00CC380F" w:rsidRDefault="00CC380F" w:rsidP="00721501">
      <w:pPr>
        <w:pStyle w:val="Texto"/>
        <w:spacing w:after="0" w:line="276" w:lineRule="auto"/>
        <w:rPr>
          <w:szCs w:val="18"/>
        </w:rPr>
      </w:pPr>
    </w:p>
    <w:p w:rsidR="00CC380F" w:rsidRPr="007E42D2" w:rsidRDefault="00CC380F"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B1750B" w:rsidP="00721501">
      <w:pPr>
        <w:pStyle w:val="Texto"/>
        <w:spacing w:after="0" w:line="276" w:lineRule="auto"/>
        <w:rPr>
          <w:szCs w:val="18"/>
        </w:rPr>
      </w:pPr>
      <w:r w:rsidRPr="00B1750B">
        <w:rPr>
          <w:noProof/>
          <w:szCs w:val="18"/>
        </w:rPr>
        <w:pict>
          <v:shape id="_x0000_s1061" type="#_x0000_t75" style="position:absolute;left:0;text-align:left;margin-left:3.75pt;margin-top:17.75pt;width:810.45pt;height:49pt;z-index:251660288">
            <v:imagedata r:id="rId13" o:title=""/>
            <w10:wrap type="topAndBottom"/>
          </v:shape>
          <o:OLEObject Type="Embed" ProgID="Excel.Sheet.12" ShapeID="_x0000_s1061" DrawAspect="Content" ObjectID="_1529137937" r:id="rId14"/>
        </w:pict>
      </w: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721501" w:rsidRPr="007E42D2" w:rsidRDefault="00721501" w:rsidP="00721501">
      <w:pPr>
        <w:pStyle w:val="Texto"/>
        <w:spacing w:after="0" w:line="276" w:lineRule="auto"/>
        <w:rPr>
          <w:szCs w:val="18"/>
        </w:rPr>
      </w:pPr>
    </w:p>
    <w:p w:rsidR="00676043" w:rsidRPr="00721501" w:rsidRDefault="00676043" w:rsidP="00721501">
      <w:pPr>
        <w:shd w:val="clear" w:color="auto" w:fill="FFFFFF" w:themeFill="background1"/>
        <w:jc w:val="center"/>
        <w:rPr>
          <w:rFonts w:ascii="Soberana Sans Light" w:hAnsi="Soberana Sans Light"/>
          <w:lang w:val="es-ES"/>
        </w:rPr>
      </w:pPr>
    </w:p>
    <w:sectPr w:rsidR="00676043" w:rsidRPr="00721501"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1BF" w:rsidRDefault="002021BF" w:rsidP="00EA5418">
      <w:pPr>
        <w:spacing w:after="0" w:line="240" w:lineRule="auto"/>
      </w:pPr>
      <w:r>
        <w:separator/>
      </w:r>
    </w:p>
  </w:endnote>
  <w:endnote w:type="continuationSeparator" w:id="0">
    <w:p w:rsidR="002021BF" w:rsidRDefault="002021B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37" w:rsidRPr="0013011C" w:rsidRDefault="00B1750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A7623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A76237" w:rsidRPr="0013011C">
          <w:rPr>
            <w:rFonts w:ascii="Soberana Sans Light" w:hAnsi="Soberana Sans Light"/>
          </w:rPr>
          <w:instrText>PAGE   \* MERGEFORMAT</w:instrText>
        </w:r>
        <w:r w:rsidRPr="0013011C">
          <w:rPr>
            <w:rFonts w:ascii="Soberana Sans Light" w:hAnsi="Soberana Sans Light"/>
          </w:rPr>
          <w:fldChar w:fldCharType="separate"/>
        </w:r>
        <w:r w:rsidR="00AF568A" w:rsidRPr="00AF568A">
          <w:rPr>
            <w:rFonts w:ascii="Soberana Sans Light" w:hAnsi="Soberana Sans Light"/>
            <w:noProof/>
            <w:lang w:val="es-ES"/>
          </w:rPr>
          <w:t>18</w:t>
        </w:r>
        <w:r w:rsidRPr="0013011C">
          <w:rPr>
            <w:rFonts w:ascii="Soberana Sans Light" w:hAnsi="Soberana Sans Light"/>
          </w:rPr>
          <w:fldChar w:fldCharType="end"/>
        </w:r>
      </w:sdtContent>
    </w:sdt>
  </w:p>
  <w:p w:rsidR="00A76237" w:rsidRDefault="00A7623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37" w:rsidRPr="008E3652" w:rsidRDefault="00B1750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A76237" w:rsidRPr="008E3652">
          <w:rPr>
            <w:rFonts w:ascii="Soberana Sans Light" w:hAnsi="Soberana Sans Light"/>
          </w:rPr>
          <w:t xml:space="preserve">Contable / </w:t>
        </w:r>
        <w:r w:rsidRPr="008E3652">
          <w:rPr>
            <w:rFonts w:ascii="Soberana Sans Light" w:hAnsi="Soberana Sans Light"/>
          </w:rPr>
          <w:fldChar w:fldCharType="begin"/>
        </w:r>
        <w:r w:rsidR="00A76237" w:rsidRPr="008E3652">
          <w:rPr>
            <w:rFonts w:ascii="Soberana Sans Light" w:hAnsi="Soberana Sans Light"/>
          </w:rPr>
          <w:instrText>PAGE   \* MERGEFORMAT</w:instrText>
        </w:r>
        <w:r w:rsidRPr="008E3652">
          <w:rPr>
            <w:rFonts w:ascii="Soberana Sans Light" w:hAnsi="Soberana Sans Light"/>
          </w:rPr>
          <w:fldChar w:fldCharType="separate"/>
        </w:r>
        <w:r w:rsidR="00AF568A" w:rsidRPr="00AF568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1BF" w:rsidRDefault="002021BF" w:rsidP="00EA5418">
      <w:pPr>
        <w:spacing w:after="0" w:line="240" w:lineRule="auto"/>
      </w:pPr>
      <w:r>
        <w:separator/>
      </w:r>
    </w:p>
  </w:footnote>
  <w:footnote w:type="continuationSeparator" w:id="0">
    <w:p w:rsidR="002021BF" w:rsidRDefault="002021B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37" w:rsidRDefault="00B1750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A76237" w:rsidRDefault="00A7623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76237" w:rsidRDefault="00A7623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76237" w:rsidRPr="00275FC6" w:rsidRDefault="00A7623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76237" w:rsidRDefault="00A7623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A76237" w:rsidRDefault="00A7623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76237" w:rsidRPr="00275FC6" w:rsidRDefault="00A76237" w:rsidP="00040466">
                    <w:pPr>
                      <w:jc w:val="both"/>
                      <w:rPr>
                        <w:rFonts w:ascii="Soberana Titular" w:hAnsi="Soberana Titular" w:cs="Arial"/>
                        <w:color w:val="808080" w:themeColor="background1" w:themeShade="80"/>
                        <w:sz w:val="42"/>
                        <w:szCs w:val="42"/>
                      </w:rPr>
                    </w:pPr>
                  </w:p>
                </w:txbxContent>
              </v:textbox>
            </v:shape>
          </v:group>
        </v:group>
      </w:pict>
    </w:r>
    <w:r w:rsidRPr="00B1750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37" w:rsidRPr="0013011C" w:rsidRDefault="00B1750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A7623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8"/>
  </w:num>
  <w:num w:numId="7">
    <w:abstractNumId w:val="4"/>
  </w:num>
  <w:num w:numId="8">
    <w:abstractNumId w:val="10"/>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evenAndOddHeaders/>
  <w:characterSpacingControl w:val="doNotCompress"/>
  <w:hdrShapeDefaults>
    <o:shapedefaults v:ext="edit" spidmax="22530"/>
    <o:shapelayout v:ext="edit">
      <o:idmap v:ext="edit" data="4"/>
    </o:shapelayout>
  </w:hdrShapeDefaults>
  <w:footnotePr>
    <w:footnote w:id="-1"/>
    <w:footnote w:id="0"/>
  </w:footnotePr>
  <w:endnotePr>
    <w:endnote w:id="-1"/>
    <w:endnote w:id="0"/>
  </w:endnotePr>
  <w:compat/>
  <w:rsids>
    <w:rsidRoot w:val="00EA5418"/>
    <w:rsid w:val="00001107"/>
    <w:rsid w:val="00010812"/>
    <w:rsid w:val="00014D8D"/>
    <w:rsid w:val="000207F5"/>
    <w:rsid w:val="00040466"/>
    <w:rsid w:val="00045A10"/>
    <w:rsid w:val="00097D72"/>
    <w:rsid w:val="000B30A9"/>
    <w:rsid w:val="000B6682"/>
    <w:rsid w:val="0013011C"/>
    <w:rsid w:val="001403EB"/>
    <w:rsid w:val="00142B45"/>
    <w:rsid w:val="00151C43"/>
    <w:rsid w:val="00160AC7"/>
    <w:rsid w:val="00165BB4"/>
    <w:rsid w:val="00171FD5"/>
    <w:rsid w:val="001A340E"/>
    <w:rsid w:val="001B1B72"/>
    <w:rsid w:val="001C1D6B"/>
    <w:rsid w:val="001C4054"/>
    <w:rsid w:val="001C6FD8"/>
    <w:rsid w:val="001D14A4"/>
    <w:rsid w:val="001E7072"/>
    <w:rsid w:val="002021BF"/>
    <w:rsid w:val="00203B05"/>
    <w:rsid w:val="00204C86"/>
    <w:rsid w:val="0021695C"/>
    <w:rsid w:val="0023749B"/>
    <w:rsid w:val="00237B8F"/>
    <w:rsid w:val="00241FC4"/>
    <w:rsid w:val="00261730"/>
    <w:rsid w:val="00264426"/>
    <w:rsid w:val="00271F23"/>
    <w:rsid w:val="00286DE7"/>
    <w:rsid w:val="002A39D5"/>
    <w:rsid w:val="002A70B3"/>
    <w:rsid w:val="002E146A"/>
    <w:rsid w:val="002E5837"/>
    <w:rsid w:val="00307316"/>
    <w:rsid w:val="003367AD"/>
    <w:rsid w:val="00342FEC"/>
    <w:rsid w:val="00347236"/>
    <w:rsid w:val="003652FD"/>
    <w:rsid w:val="00370C8C"/>
    <w:rsid w:val="00372F40"/>
    <w:rsid w:val="00396C2B"/>
    <w:rsid w:val="003A0303"/>
    <w:rsid w:val="003A2CA3"/>
    <w:rsid w:val="003B593D"/>
    <w:rsid w:val="003C22AD"/>
    <w:rsid w:val="003C6E21"/>
    <w:rsid w:val="003C742D"/>
    <w:rsid w:val="003D39F7"/>
    <w:rsid w:val="003D5DBF"/>
    <w:rsid w:val="003E7FD0"/>
    <w:rsid w:val="003F0EA4"/>
    <w:rsid w:val="003F4E9A"/>
    <w:rsid w:val="004311BE"/>
    <w:rsid w:val="0044253C"/>
    <w:rsid w:val="00444B28"/>
    <w:rsid w:val="00467398"/>
    <w:rsid w:val="004714CF"/>
    <w:rsid w:val="00484C0D"/>
    <w:rsid w:val="00497D8B"/>
    <w:rsid w:val="004A4059"/>
    <w:rsid w:val="004B2EF1"/>
    <w:rsid w:val="004C1309"/>
    <w:rsid w:val="004D41B8"/>
    <w:rsid w:val="004F5641"/>
    <w:rsid w:val="00522632"/>
    <w:rsid w:val="00522EF3"/>
    <w:rsid w:val="00533777"/>
    <w:rsid w:val="00540418"/>
    <w:rsid w:val="00541D37"/>
    <w:rsid w:val="005440A3"/>
    <w:rsid w:val="00550D71"/>
    <w:rsid w:val="005741C6"/>
    <w:rsid w:val="00574266"/>
    <w:rsid w:val="00591AFA"/>
    <w:rsid w:val="00595EF7"/>
    <w:rsid w:val="005C68EA"/>
    <w:rsid w:val="005D3D25"/>
    <w:rsid w:val="005D5CBB"/>
    <w:rsid w:val="005F042F"/>
    <w:rsid w:val="0061403E"/>
    <w:rsid w:val="006315C0"/>
    <w:rsid w:val="00675E03"/>
    <w:rsid w:val="00676043"/>
    <w:rsid w:val="00684A0C"/>
    <w:rsid w:val="006A5E74"/>
    <w:rsid w:val="006B1FE7"/>
    <w:rsid w:val="006D3398"/>
    <w:rsid w:val="006E5F6D"/>
    <w:rsid w:val="006E77DD"/>
    <w:rsid w:val="00721501"/>
    <w:rsid w:val="00730069"/>
    <w:rsid w:val="00735566"/>
    <w:rsid w:val="007500DF"/>
    <w:rsid w:val="0076707D"/>
    <w:rsid w:val="007702CF"/>
    <w:rsid w:val="00776B14"/>
    <w:rsid w:val="007856CB"/>
    <w:rsid w:val="00786D90"/>
    <w:rsid w:val="0079582C"/>
    <w:rsid w:val="007A44E5"/>
    <w:rsid w:val="007D0D88"/>
    <w:rsid w:val="007D6E9A"/>
    <w:rsid w:val="007E42D2"/>
    <w:rsid w:val="007F399B"/>
    <w:rsid w:val="007F7B3F"/>
    <w:rsid w:val="00811DAC"/>
    <w:rsid w:val="008145C6"/>
    <w:rsid w:val="0081774B"/>
    <w:rsid w:val="008412C5"/>
    <w:rsid w:val="00845773"/>
    <w:rsid w:val="00866E24"/>
    <w:rsid w:val="00876DAE"/>
    <w:rsid w:val="0089054E"/>
    <w:rsid w:val="008923E7"/>
    <w:rsid w:val="008A0679"/>
    <w:rsid w:val="008A6E4D"/>
    <w:rsid w:val="008A793D"/>
    <w:rsid w:val="008B0017"/>
    <w:rsid w:val="008B4998"/>
    <w:rsid w:val="008C06A2"/>
    <w:rsid w:val="008D47CA"/>
    <w:rsid w:val="008E3652"/>
    <w:rsid w:val="008E4688"/>
    <w:rsid w:val="008F0670"/>
    <w:rsid w:val="008F6D58"/>
    <w:rsid w:val="0093492C"/>
    <w:rsid w:val="00950AF1"/>
    <w:rsid w:val="00957043"/>
    <w:rsid w:val="00962411"/>
    <w:rsid w:val="00970359"/>
    <w:rsid w:val="0098590F"/>
    <w:rsid w:val="009B2071"/>
    <w:rsid w:val="009C60D3"/>
    <w:rsid w:val="009D54E1"/>
    <w:rsid w:val="009D5D4C"/>
    <w:rsid w:val="009E2AB5"/>
    <w:rsid w:val="009F23C4"/>
    <w:rsid w:val="00A02B65"/>
    <w:rsid w:val="00A20210"/>
    <w:rsid w:val="00A363B6"/>
    <w:rsid w:val="00A37922"/>
    <w:rsid w:val="00A46BF5"/>
    <w:rsid w:val="00A50FBF"/>
    <w:rsid w:val="00A51AF2"/>
    <w:rsid w:val="00A51EA8"/>
    <w:rsid w:val="00A76237"/>
    <w:rsid w:val="00A76932"/>
    <w:rsid w:val="00A959E1"/>
    <w:rsid w:val="00AA29A6"/>
    <w:rsid w:val="00AF33AD"/>
    <w:rsid w:val="00AF4D30"/>
    <w:rsid w:val="00AF568A"/>
    <w:rsid w:val="00B00D7A"/>
    <w:rsid w:val="00B146E2"/>
    <w:rsid w:val="00B1591A"/>
    <w:rsid w:val="00B1750B"/>
    <w:rsid w:val="00B20E69"/>
    <w:rsid w:val="00B5125E"/>
    <w:rsid w:val="00B55141"/>
    <w:rsid w:val="00B678AF"/>
    <w:rsid w:val="00B82FB5"/>
    <w:rsid w:val="00B849EE"/>
    <w:rsid w:val="00B84D02"/>
    <w:rsid w:val="00B9631D"/>
    <w:rsid w:val="00BA2940"/>
    <w:rsid w:val="00BC088B"/>
    <w:rsid w:val="00BC4072"/>
    <w:rsid w:val="00BE395B"/>
    <w:rsid w:val="00BE7825"/>
    <w:rsid w:val="00BF2EBC"/>
    <w:rsid w:val="00C125EA"/>
    <w:rsid w:val="00C16E53"/>
    <w:rsid w:val="00C431B4"/>
    <w:rsid w:val="00C86C59"/>
    <w:rsid w:val="00C91C5A"/>
    <w:rsid w:val="00CA5C31"/>
    <w:rsid w:val="00CA6521"/>
    <w:rsid w:val="00CC380F"/>
    <w:rsid w:val="00CC5BE2"/>
    <w:rsid w:val="00CD6D9A"/>
    <w:rsid w:val="00CD7583"/>
    <w:rsid w:val="00CE5B45"/>
    <w:rsid w:val="00CF53C2"/>
    <w:rsid w:val="00D00E92"/>
    <w:rsid w:val="00D055EC"/>
    <w:rsid w:val="00D17BCE"/>
    <w:rsid w:val="00D273C3"/>
    <w:rsid w:val="00D32F99"/>
    <w:rsid w:val="00D44728"/>
    <w:rsid w:val="00D54250"/>
    <w:rsid w:val="00D562FF"/>
    <w:rsid w:val="00D6187F"/>
    <w:rsid w:val="00D92E75"/>
    <w:rsid w:val="00DB02F7"/>
    <w:rsid w:val="00DC6639"/>
    <w:rsid w:val="00DE22DA"/>
    <w:rsid w:val="00DE459C"/>
    <w:rsid w:val="00DF0F5F"/>
    <w:rsid w:val="00DF45C5"/>
    <w:rsid w:val="00DF56C9"/>
    <w:rsid w:val="00E101CB"/>
    <w:rsid w:val="00E116A7"/>
    <w:rsid w:val="00E30318"/>
    <w:rsid w:val="00E32708"/>
    <w:rsid w:val="00E3353F"/>
    <w:rsid w:val="00E503DB"/>
    <w:rsid w:val="00E6698F"/>
    <w:rsid w:val="00E7619A"/>
    <w:rsid w:val="00E81F5F"/>
    <w:rsid w:val="00E9790E"/>
    <w:rsid w:val="00EA1523"/>
    <w:rsid w:val="00EA5418"/>
    <w:rsid w:val="00EE246A"/>
    <w:rsid w:val="00EE46FB"/>
    <w:rsid w:val="00EF4030"/>
    <w:rsid w:val="00EF7F06"/>
    <w:rsid w:val="00F04A23"/>
    <w:rsid w:val="00F17C0D"/>
    <w:rsid w:val="00F753B9"/>
    <w:rsid w:val="00F755D0"/>
    <w:rsid w:val="00F7672A"/>
    <w:rsid w:val="00F92F41"/>
    <w:rsid w:val="00FA11DA"/>
    <w:rsid w:val="00FA4D28"/>
    <w:rsid w:val="00FA5730"/>
    <w:rsid w:val="00FB1010"/>
    <w:rsid w:val="00FC35B9"/>
    <w:rsid w:val="00FC4DCD"/>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Office_Excel_97-20032.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Hoja_de_c_lculo_de_Microsoft_Office_Excel_97-20031.xls"/><Relationship Id="rId14" Type="http://schemas.openxmlformats.org/officeDocument/2006/relationships/package" Target="embeddings/Hoja_de_c_lculo_de_Microsoft_Office_Excel1.xlsx"/><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C215-62ED-4B58-AD73-4AC20ACF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3786</Words>
  <Characters>20823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OfnaRecFinancieros</cp:lastModifiedBy>
  <cp:revision>2</cp:revision>
  <cp:lastPrinted>2016-06-30T19:07:00Z</cp:lastPrinted>
  <dcterms:created xsi:type="dcterms:W3CDTF">2016-07-04T16:46:00Z</dcterms:created>
  <dcterms:modified xsi:type="dcterms:W3CDTF">2016-07-04T16:46:00Z</dcterms:modified>
</cp:coreProperties>
</file>