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9020"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6C010798"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E8D489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D273BD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52FD012"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064E0D06"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B56416B"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3718A673"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7B657ED" w14:textId="77777777" w:rsidR="00C70452" w:rsidRDefault="00C70452" w:rsidP="008F0134">
      <w:pPr>
        <w:pStyle w:val="EstiloVerdana16ptDerecha"/>
        <w:jc w:val="center"/>
        <w:rPr>
          <w:rFonts w:ascii="Trajan Pro" w:hAnsi="Trajan Pro"/>
          <w:b/>
          <w:sz w:val="36"/>
          <w:szCs w:val="36"/>
        </w:rPr>
      </w:pPr>
    </w:p>
    <w:p w14:paraId="39580A3F"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018DE2FD" w14:textId="77777777" w:rsidR="00A247E2" w:rsidRDefault="00A247E2" w:rsidP="00A247E2">
      <w:pPr>
        <w:pStyle w:val="EstiloVerdana16ptDerecha"/>
        <w:jc w:val="center"/>
        <w:rPr>
          <w:b/>
          <w:color w:val="002060"/>
        </w:rPr>
      </w:pPr>
    </w:p>
    <w:p w14:paraId="3B49BE0E" w14:textId="77777777" w:rsidR="00A247E2" w:rsidRDefault="00A247E2" w:rsidP="00A247E2">
      <w:pPr>
        <w:pStyle w:val="EstiloVerdana16ptDerecha"/>
        <w:jc w:val="center"/>
        <w:rPr>
          <w:b/>
          <w:color w:val="002060"/>
        </w:rPr>
      </w:pPr>
    </w:p>
    <w:p w14:paraId="170CF721" w14:textId="77777777" w:rsidR="00A247E2" w:rsidRDefault="00A247E2" w:rsidP="00A247E2">
      <w:pPr>
        <w:pStyle w:val="EstiloVerdana16ptDerecha"/>
        <w:jc w:val="center"/>
        <w:rPr>
          <w:b/>
          <w:color w:val="002060"/>
        </w:rPr>
      </w:pPr>
    </w:p>
    <w:p w14:paraId="67717C56" w14:textId="77777777" w:rsidR="00A247E2" w:rsidRDefault="00A247E2" w:rsidP="00A247E2">
      <w:pPr>
        <w:pStyle w:val="EstiloVerdana16ptDerecha"/>
        <w:jc w:val="center"/>
        <w:rPr>
          <w:b/>
          <w:color w:val="002060"/>
        </w:rPr>
      </w:pPr>
    </w:p>
    <w:p w14:paraId="07BBD6CC" w14:textId="77777777" w:rsidR="00A247E2" w:rsidRDefault="00A247E2" w:rsidP="00A247E2">
      <w:pPr>
        <w:pStyle w:val="EstiloVerdana16ptDerecha"/>
        <w:jc w:val="center"/>
        <w:rPr>
          <w:b/>
          <w:color w:val="002060"/>
        </w:rPr>
      </w:pPr>
    </w:p>
    <w:p w14:paraId="4C2C04A2"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OTROS PROGRAMAS</w:t>
      </w:r>
    </w:p>
    <w:p w14:paraId="4FBAA15A" w14:textId="77777777" w:rsidR="00185371" w:rsidRDefault="00185371" w:rsidP="00A247E2">
      <w:pPr>
        <w:pStyle w:val="EstiloVerdana16ptDerecha"/>
        <w:jc w:val="center"/>
        <w:rPr>
          <w:b/>
          <w:color w:val="808080" w:themeColor="background1" w:themeShade="80"/>
        </w:rPr>
      </w:pPr>
    </w:p>
    <w:p w14:paraId="45CCE61E" w14:textId="77777777" w:rsidR="005D623A" w:rsidRDefault="005D623A" w:rsidP="00A247E2">
      <w:pPr>
        <w:pStyle w:val="EstiloVerdana16ptDerecha"/>
        <w:jc w:val="center"/>
        <w:rPr>
          <w:b/>
          <w:color w:val="808080" w:themeColor="background1" w:themeShade="80"/>
        </w:rPr>
      </w:pPr>
    </w:p>
    <w:p w14:paraId="60A4E05E" w14:textId="77777777" w:rsidR="005D623A" w:rsidRDefault="005D623A" w:rsidP="00A247E2">
      <w:pPr>
        <w:pStyle w:val="EstiloVerdana16ptDerecha"/>
        <w:jc w:val="center"/>
        <w:rPr>
          <w:b/>
          <w:color w:val="808080" w:themeColor="background1" w:themeShade="80"/>
        </w:rPr>
      </w:pPr>
    </w:p>
    <w:p w14:paraId="30405D53"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30491790"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7F19C40E" w14:textId="77777777" w:rsidR="0078555E" w:rsidRPr="0078555E" w:rsidRDefault="0078555E" w:rsidP="0078555E"/>
    <w:p w14:paraId="1A8337A3"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OTROS PROGRAMAS</w:t>
      </w:r>
    </w:p>
    <w:p w14:paraId="36FA2715"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71B8122A"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62E4ACE0" w14:textId="77777777" w:rsidTr="003B11A1">
              <w:trPr>
                <w:gridAfter w:val="1"/>
                <w:wAfter w:w="7352" w:type="dxa"/>
                <w:trHeight w:val="467"/>
              </w:trPr>
              <w:tc>
                <w:tcPr>
                  <w:tcW w:w="0" w:type="auto"/>
                </w:tcPr>
                <w:p w14:paraId="35BA1351"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3E83D73A" w14:textId="77777777" w:rsidR="007B578F" w:rsidRPr="007B578F" w:rsidRDefault="007B578F" w:rsidP="008A46F3">
                  <w:pPr>
                    <w:rPr>
                      <w:i/>
                      <w:color w:val="A6A6A6" w:themeColor="background1" w:themeShade="A6"/>
                    </w:rPr>
                  </w:pPr>
                </w:p>
              </w:tc>
            </w:tr>
            <w:tr w:rsidR="007B578F" w:rsidRPr="007B578F" w14:paraId="2F434DA6" w14:textId="77777777" w:rsidTr="003B11A1">
              <w:trPr>
                <w:trHeight w:val="78"/>
              </w:trPr>
              <w:tc>
                <w:tcPr>
                  <w:tcW w:w="9781" w:type="dxa"/>
                  <w:gridSpan w:val="3"/>
                  <w:shd w:val="clear" w:color="auto" w:fill="F2F2F2" w:themeFill="background1" w:themeFillShade="F2"/>
                </w:tcPr>
                <w:p w14:paraId="79C90149"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4DD47DFA" w14:textId="77777777" w:rsidTr="003B11A1">
              <w:trPr>
                <w:trHeight w:val="78"/>
              </w:trPr>
              <w:tc>
                <w:tcPr>
                  <w:tcW w:w="9781" w:type="dxa"/>
                  <w:gridSpan w:val="3"/>
                  <w:shd w:val="clear" w:color="auto" w:fill="FFFFFF" w:themeFill="background1"/>
                </w:tcPr>
                <w:p w14:paraId="4406A428" w14:textId="77777777" w:rsidR="007B578F" w:rsidRPr="007B578F" w:rsidRDefault="007B578F" w:rsidP="008A46F3">
                  <w:r w:rsidRPr="007B578F">
                    <w:t>Municipio</w:t>
                  </w:r>
                </w:p>
              </w:tc>
            </w:tr>
            <w:tr w:rsidR="007B578F" w:rsidRPr="007B578F" w14:paraId="3623FAC5" w14:textId="77777777" w:rsidTr="003B11A1">
              <w:trPr>
                <w:trHeight w:val="78"/>
              </w:trPr>
              <w:tc>
                <w:tcPr>
                  <w:tcW w:w="9781" w:type="dxa"/>
                  <w:gridSpan w:val="3"/>
                  <w:shd w:val="clear" w:color="auto" w:fill="F2F2F2" w:themeFill="background1" w:themeFillShade="F2"/>
                </w:tcPr>
                <w:p w14:paraId="6BF1CBCA" w14:textId="77777777" w:rsidR="007B578F" w:rsidRPr="007B578F" w:rsidRDefault="00185371" w:rsidP="008A46F3">
                  <w:r>
                    <w:rPr>
                      <w:color w:val="A6A6A6" w:themeColor="background1" w:themeShade="A6"/>
                    </w:rPr>
                    <w:t>0 - Cobertura estatal</w:t>
                  </w:r>
                </w:p>
              </w:tc>
            </w:tr>
            <w:tr w:rsidR="007B578F" w:rsidRPr="007B578F" w14:paraId="280B77F8" w14:textId="77777777" w:rsidTr="003B11A1">
              <w:trPr>
                <w:trHeight w:val="173"/>
              </w:trPr>
              <w:tc>
                <w:tcPr>
                  <w:tcW w:w="0" w:type="auto"/>
                </w:tcPr>
                <w:p w14:paraId="1D58311C"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5B60B4F8" w14:textId="77777777" w:rsidR="007B578F" w:rsidRPr="007B578F" w:rsidRDefault="007B578F" w:rsidP="008A46F3">
                  <w:pPr>
                    <w:rPr>
                      <w:i/>
                      <w:color w:val="A6A6A6" w:themeColor="background1" w:themeShade="A6"/>
                    </w:rPr>
                  </w:pPr>
                </w:p>
              </w:tc>
            </w:tr>
            <w:tr w:rsidR="007B578F" w:rsidRPr="007B578F" w14:paraId="17B21F22" w14:textId="77777777" w:rsidTr="003B11A1">
              <w:trPr>
                <w:trHeight w:val="78"/>
              </w:trPr>
              <w:tc>
                <w:tcPr>
                  <w:tcW w:w="9781" w:type="dxa"/>
                  <w:gridSpan w:val="3"/>
                  <w:shd w:val="clear" w:color="auto" w:fill="F2F2F2" w:themeFill="background1" w:themeFillShade="F2"/>
                </w:tcPr>
                <w:p w14:paraId="5B0631D2" w14:textId="77777777" w:rsidR="007B578F" w:rsidRPr="007B578F" w:rsidRDefault="00185371" w:rsidP="008A46F3">
                  <w:r>
                    <w:rPr>
                      <w:color w:val="A6A6A6" w:themeColor="background1" w:themeShade="A6"/>
                    </w:rPr>
                    <w:t>OTROS PROGRAMAS</w:t>
                  </w:r>
                </w:p>
              </w:tc>
            </w:tr>
            <w:tr w:rsidR="007B578F" w:rsidRPr="007B578F" w14:paraId="292C9F3F" w14:textId="77777777" w:rsidTr="003B11A1">
              <w:trPr>
                <w:trHeight w:val="467"/>
              </w:trPr>
              <w:tc>
                <w:tcPr>
                  <w:tcW w:w="0" w:type="auto"/>
                </w:tcPr>
                <w:p w14:paraId="276106A9" w14:textId="77777777" w:rsidR="007B578F" w:rsidRPr="007B578F" w:rsidRDefault="007B578F" w:rsidP="008A46F3">
                  <w:r w:rsidRPr="007B578F">
                    <w:t>Año de la Evaluación</w:t>
                  </w:r>
                </w:p>
              </w:tc>
              <w:tc>
                <w:tcPr>
                  <w:tcW w:w="7583" w:type="dxa"/>
                  <w:gridSpan w:val="2"/>
                  <w:shd w:val="clear" w:color="auto" w:fill="auto"/>
                </w:tcPr>
                <w:p w14:paraId="50495AC9" w14:textId="77777777" w:rsidR="007B578F" w:rsidRPr="007B578F" w:rsidRDefault="007B578F" w:rsidP="008A46F3">
                  <w:pPr>
                    <w:rPr>
                      <w:i/>
                      <w:color w:val="A6A6A6" w:themeColor="background1" w:themeShade="A6"/>
                    </w:rPr>
                  </w:pPr>
                </w:p>
              </w:tc>
            </w:tr>
            <w:tr w:rsidR="007B578F" w:rsidRPr="007B578F" w14:paraId="258D028F" w14:textId="77777777" w:rsidTr="003B11A1">
              <w:trPr>
                <w:trHeight w:val="78"/>
              </w:trPr>
              <w:tc>
                <w:tcPr>
                  <w:tcW w:w="9781" w:type="dxa"/>
                  <w:gridSpan w:val="3"/>
                  <w:shd w:val="clear" w:color="auto" w:fill="F2F2F2" w:themeFill="background1" w:themeFillShade="F2"/>
                </w:tcPr>
                <w:p w14:paraId="2FE5FFA4"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70CD302D" w14:textId="77777777" w:rsidTr="003B11A1">
              <w:trPr>
                <w:gridAfter w:val="1"/>
                <w:wAfter w:w="939" w:type="dxa"/>
                <w:trHeight w:val="459"/>
              </w:trPr>
              <w:tc>
                <w:tcPr>
                  <w:tcW w:w="4590" w:type="dxa"/>
                </w:tcPr>
                <w:p w14:paraId="2DA7E278" w14:textId="77777777" w:rsidR="007B578F" w:rsidRPr="007B578F" w:rsidRDefault="007B578F" w:rsidP="0089082B">
                  <w:pPr>
                    <w:framePr w:hSpace="141" w:wrap="around" w:vAnchor="text" w:hAnchor="text" w:y="1"/>
                    <w:suppressOverlap/>
                  </w:pPr>
                  <w:r w:rsidRPr="007B578F">
                    <w:t>Tipo de Evaluación</w:t>
                  </w:r>
                </w:p>
              </w:tc>
              <w:tc>
                <w:tcPr>
                  <w:tcW w:w="4252" w:type="dxa"/>
                  <w:shd w:val="clear" w:color="auto" w:fill="auto"/>
                </w:tcPr>
                <w:p w14:paraId="1CA7EA1E" w14:textId="77777777" w:rsidR="007B578F" w:rsidRPr="007B578F" w:rsidRDefault="00187BC8" w:rsidP="0089082B">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4D8E75DC" w14:textId="77777777" w:rsidTr="003B11A1">
              <w:trPr>
                <w:trHeight w:val="77"/>
              </w:trPr>
              <w:tc>
                <w:tcPr>
                  <w:tcW w:w="4590" w:type="dxa"/>
                  <w:shd w:val="clear" w:color="auto" w:fill="F2F2F2" w:themeFill="background1" w:themeFillShade="F2"/>
                </w:tcPr>
                <w:p w14:paraId="0ABE1FCB" w14:textId="77777777" w:rsidR="00187BC8" w:rsidRPr="007B578F" w:rsidRDefault="00187BC8" w:rsidP="0089082B">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3AD66286" w14:textId="77777777" w:rsidR="00187BC8" w:rsidRPr="007B578F" w:rsidRDefault="00187BC8" w:rsidP="0089082B">
                  <w:pPr>
                    <w:framePr w:hSpace="141" w:wrap="around" w:vAnchor="text" w:hAnchor="text" w:y="1"/>
                    <w:suppressOverlap/>
                    <w:rPr>
                      <w:color w:val="A6A6A6" w:themeColor="background1" w:themeShade="A6"/>
                    </w:rPr>
                  </w:pPr>
                  <w:r>
                    <w:rPr>
                      <w:color w:val="A6A6A6" w:themeColor="background1" w:themeShade="A6"/>
                    </w:rPr>
                    <w:t>127,600.00</w:t>
                  </w:r>
                </w:p>
              </w:tc>
            </w:tr>
            <w:tr w:rsidR="005D623A" w:rsidRPr="007B578F" w14:paraId="4102CBB6" w14:textId="77777777" w:rsidTr="005D623A">
              <w:trPr>
                <w:trHeight w:val="77"/>
              </w:trPr>
              <w:tc>
                <w:tcPr>
                  <w:tcW w:w="4590" w:type="dxa"/>
                  <w:shd w:val="clear" w:color="auto" w:fill="auto"/>
                </w:tcPr>
                <w:p w14:paraId="6D4C6830" w14:textId="77777777" w:rsidR="005D623A" w:rsidRDefault="005D623A" w:rsidP="0089082B">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2745EF87" w14:textId="77777777" w:rsidR="005D623A" w:rsidRDefault="005D623A" w:rsidP="0089082B">
                  <w:pPr>
                    <w:framePr w:hSpace="141" w:wrap="around" w:vAnchor="text" w:hAnchor="text" w:y="1"/>
                    <w:suppressOverlap/>
                    <w:rPr>
                      <w:color w:val="A6A6A6" w:themeColor="background1" w:themeShade="A6"/>
                    </w:rPr>
                  </w:pPr>
                  <w:r w:rsidRPr="005D623A">
                    <w:t>Modalidad de Contratación</w:t>
                  </w:r>
                </w:p>
              </w:tc>
            </w:tr>
            <w:tr w:rsidR="005D623A" w:rsidRPr="007B578F" w14:paraId="3F9486C6" w14:textId="77777777" w:rsidTr="005D623A">
              <w:trPr>
                <w:trHeight w:val="77"/>
              </w:trPr>
              <w:tc>
                <w:tcPr>
                  <w:tcW w:w="4590" w:type="dxa"/>
                  <w:shd w:val="clear" w:color="auto" w:fill="F2F2F2" w:themeFill="background1" w:themeFillShade="F2"/>
                </w:tcPr>
                <w:p w14:paraId="234DCB67" w14:textId="77777777" w:rsidR="005D623A" w:rsidRDefault="005D623A" w:rsidP="0089082B">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7A80F06D" w14:textId="77777777" w:rsidR="005D623A" w:rsidRDefault="005D623A" w:rsidP="0089082B">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56C05469" w14:textId="77777777" w:rsidTr="005571FA">
              <w:trPr>
                <w:trHeight w:val="77"/>
              </w:trPr>
              <w:tc>
                <w:tcPr>
                  <w:tcW w:w="9781" w:type="dxa"/>
                  <w:gridSpan w:val="3"/>
                  <w:shd w:val="clear" w:color="auto" w:fill="auto"/>
                </w:tcPr>
                <w:p w14:paraId="40033977" w14:textId="77777777" w:rsidR="005D623A" w:rsidRPr="005D623A" w:rsidRDefault="005D623A" w:rsidP="0089082B">
                  <w:pPr>
                    <w:framePr w:hSpace="141" w:wrap="around" w:vAnchor="text" w:hAnchor="text" w:y="1"/>
                    <w:suppressOverlap/>
                  </w:pPr>
                  <w:r w:rsidRPr="005D623A">
                    <w:t>Evaluador</w:t>
                  </w:r>
                </w:p>
              </w:tc>
            </w:tr>
            <w:tr w:rsidR="005D623A" w:rsidRPr="007B578F" w14:paraId="78B5F5DB" w14:textId="77777777" w:rsidTr="005D623A">
              <w:trPr>
                <w:trHeight w:val="77"/>
              </w:trPr>
              <w:tc>
                <w:tcPr>
                  <w:tcW w:w="9781" w:type="dxa"/>
                  <w:gridSpan w:val="3"/>
                  <w:shd w:val="clear" w:color="auto" w:fill="F2F2F2" w:themeFill="background1" w:themeFillShade="F2"/>
                </w:tcPr>
                <w:p w14:paraId="2B73133E" w14:textId="77777777" w:rsidR="005D623A" w:rsidRPr="005D623A" w:rsidRDefault="005D623A" w:rsidP="0089082B">
                  <w:pPr>
                    <w:framePr w:hSpace="141" w:wrap="around" w:vAnchor="text" w:hAnchor="text" w:y="1"/>
                    <w:suppressOverlap/>
                  </w:pPr>
                  <w:r w:rsidRPr="005D623A">
                    <w:rPr>
                      <w:color w:val="A6A6A6" w:themeColor="background1" w:themeShade="A6"/>
                    </w:rPr>
                    <w:t>Dra. Alma Rosa Mendoza Rosas y M.C. José Roberto Nájera Torres.</w:t>
                  </w:r>
                </w:p>
              </w:tc>
            </w:tr>
          </w:tbl>
          <w:p w14:paraId="77A5C592" w14:textId="77777777" w:rsidR="007B578F" w:rsidRPr="007B578F" w:rsidRDefault="007B578F" w:rsidP="008A46F3"/>
        </w:tc>
        <w:tc>
          <w:tcPr>
            <w:tcW w:w="4081" w:type="dxa"/>
            <w:shd w:val="clear" w:color="auto" w:fill="auto"/>
          </w:tcPr>
          <w:p w14:paraId="2D996B59"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6FD62F4F" w14:textId="77777777" w:rsidTr="003B11A1">
        <w:trPr>
          <w:trHeight w:val="459"/>
        </w:trPr>
        <w:tc>
          <w:tcPr>
            <w:tcW w:w="4928" w:type="dxa"/>
          </w:tcPr>
          <w:p w14:paraId="3D9DD77C" w14:textId="77777777" w:rsidR="007B578F" w:rsidRPr="007B578F" w:rsidRDefault="007B578F" w:rsidP="008A46F3">
            <w:r w:rsidRPr="007B578F">
              <w:t>Coordinador de la Evaluación</w:t>
            </w:r>
          </w:p>
        </w:tc>
        <w:tc>
          <w:tcPr>
            <w:tcW w:w="4853" w:type="dxa"/>
            <w:shd w:val="clear" w:color="auto" w:fill="auto"/>
          </w:tcPr>
          <w:p w14:paraId="6B607E32" w14:textId="77777777" w:rsidR="007B578F" w:rsidRPr="007B578F" w:rsidRDefault="007B578F" w:rsidP="008A46F3">
            <w:pPr>
              <w:rPr>
                <w:i/>
                <w:color w:val="A6A6A6" w:themeColor="background1" w:themeShade="A6"/>
              </w:rPr>
            </w:pPr>
          </w:p>
        </w:tc>
      </w:tr>
      <w:tr w:rsidR="007B578F" w:rsidRPr="007B578F" w14:paraId="22672538" w14:textId="77777777" w:rsidTr="003B11A1">
        <w:trPr>
          <w:trHeight w:val="77"/>
        </w:trPr>
        <w:tc>
          <w:tcPr>
            <w:tcW w:w="9781" w:type="dxa"/>
            <w:gridSpan w:val="2"/>
            <w:shd w:val="clear" w:color="auto" w:fill="F2F2F2" w:themeFill="background1" w:themeFillShade="F2"/>
          </w:tcPr>
          <w:p w14:paraId="06E1E051"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2F20D643" w14:textId="77777777" w:rsidTr="003B11A1">
        <w:trPr>
          <w:trHeight w:val="459"/>
        </w:trPr>
        <w:tc>
          <w:tcPr>
            <w:tcW w:w="4928" w:type="dxa"/>
          </w:tcPr>
          <w:p w14:paraId="6A0BAC1C" w14:textId="77777777" w:rsidR="007B578F" w:rsidRPr="007B578F" w:rsidRDefault="007B578F" w:rsidP="008A46F3">
            <w:r w:rsidRPr="007B578F">
              <w:t>Objetivos de la Evaluación</w:t>
            </w:r>
          </w:p>
        </w:tc>
        <w:tc>
          <w:tcPr>
            <w:tcW w:w="4853" w:type="dxa"/>
            <w:shd w:val="clear" w:color="auto" w:fill="auto"/>
          </w:tcPr>
          <w:p w14:paraId="5CD6950C" w14:textId="77777777" w:rsidR="007B578F" w:rsidRPr="007B578F" w:rsidRDefault="007B578F" w:rsidP="008A46F3">
            <w:pPr>
              <w:rPr>
                <w:i/>
                <w:color w:val="A6A6A6" w:themeColor="background1" w:themeShade="A6"/>
              </w:rPr>
            </w:pPr>
          </w:p>
        </w:tc>
      </w:tr>
      <w:tr w:rsidR="007B578F" w:rsidRPr="007B578F" w14:paraId="3CF7BEF1" w14:textId="77777777" w:rsidTr="003B11A1">
        <w:trPr>
          <w:trHeight w:val="77"/>
        </w:trPr>
        <w:tc>
          <w:tcPr>
            <w:tcW w:w="9781" w:type="dxa"/>
            <w:gridSpan w:val="2"/>
            <w:shd w:val="clear" w:color="auto" w:fill="F2F2F2" w:themeFill="background1" w:themeFillShade="F2"/>
          </w:tcPr>
          <w:p w14:paraId="19C88735" w14:textId="77777777" w:rsidR="007B578F" w:rsidRPr="007B578F" w:rsidRDefault="00185371" w:rsidP="008A46F3">
            <w:pPr>
              <w:rPr>
                <w:color w:val="A6A6A6" w:themeColor="background1" w:themeShade="A6"/>
              </w:rPr>
            </w:pPr>
            <w:r>
              <w:rPr>
                <w:color w:val="A6A6A6" w:themeColor="background1" w:themeShade="A6"/>
              </w:rPr>
              <w:t>Evaluar los Indicadores del programa de Prestación gratuita de servicios de salud, medicamentos y demás insumos asociados (INSABI) del ejercicio fiscal 2021, con la finalidad de proveer información que retroalimente su diseño, gestión, planeación, operación y orientación de resultados.</w:t>
            </w:r>
          </w:p>
        </w:tc>
      </w:tr>
      <w:tr w:rsidR="007B578F" w:rsidRPr="007B578F" w14:paraId="40F25B6A" w14:textId="77777777" w:rsidTr="003B11A1">
        <w:trPr>
          <w:trHeight w:val="459"/>
        </w:trPr>
        <w:tc>
          <w:tcPr>
            <w:tcW w:w="4928" w:type="dxa"/>
          </w:tcPr>
          <w:p w14:paraId="0764F05B" w14:textId="77777777" w:rsidR="007B578F" w:rsidRPr="007B578F" w:rsidRDefault="007B578F" w:rsidP="008A46F3">
            <w:r w:rsidRPr="007B578F">
              <w:t>Resumen Ejecutivo de la Evaluación</w:t>
            </w:r>
          </w:p>
        </w:tc>
        <w:tc>
          <w:tcPr>
            <w:tcW w:w="4853" w:type="dxa"/>
            <w:shd w:val="clear" w:color="auto" w:fill="auto"/>
          </w:tcPr>
          <w:p w14:paraId="46658D81" w14:textId="77777777" w:rsidR="007B578F" w:rsidRPr="007B578F" w:rsidRDefault="007B578F" w:rsidP="008A46F3">
            <w:pPr>
              <w:rPr>
                <w:i/>
                <w:color w:val="A6A6A6" w:themeColor="background1" w:themeShade="A6"/>
              </w:rPr>
            </w:pPr>
          </w:p>
        </w:tc>
      </w:tr>
      <w:tr w:rsidR="007B578F" w:rsidRPr="007B578F" w14:paraId="08E80723" w14:textId="77777777" w:rsidTr="003B11A1">
        <w:trPr>
          <w:trHeight w:val="77"/>
        </w:trPr>
        <w:tc>
          <w:tcPr>
            <w:tcW w:w="9781" w:type="dxa"/>
            <w:gridSpan w:val="2"/>
            <w:shd w:val="clear" w:color="auto" w:fill="F2F2F2" w:themeFill="background1" w:themeFillShade="F2"/>
          </w:tcPr>
          <w:p w14:paraId="2CA9CB46" w14:textId="77777777" w:rsidR="007B578F" w:rsidRPr="007B578F" w:rsidRDefault="00185371" w:rsidP="008A46F3">
            <w:pPr>
              <w:rPr>
                <w:color w:val="A6A6A6" w:themeColor="background1" w:themeShade="A6"/>
              </w:rPr>
            </w:pPr>
            <w:r>
              <w:rPr>
                <w:color w:val="A6A6A6" w:themeColor="background1" w:themeShade="A6"/>
              </w:rPr>
              <w:t xml:space="preserve">En la evaluación de los indicadores del programa de Prestación gratuita de servicios de salud, medicamentos y demás insumos asociados (INSABI) para el ejercicio fiscal 2021, se verificó que los indicadores observaran los criterios mínimos para el apropiado monitoreo y la evaluación de los objetivos del programa.Se determinó que la ausencia de claridad y precisión en los objetivos, incidió en el diseño y la construcción de los indicadores; se encontró que para algunos objetivos del resumen narrativo de la MIR del programa existe desvinculación con sus indicadores; lo que no apoyó a dar seguimiento a los logros del INSABI. Al respecto, el objetivo del Fin presenta más de un objetivo y el objetivo del Propósito no se enfoca a resultados, esto es no contiene su población objetivo, ni la problemática que pretende solucionar. Además, el indicador del Propósito no se relaciona con este, por lo que no es posible cuantificar el desempeño del </w:t>
            </w:r>
            <w:r>
              <w:rPr>
                <w:color w:val="A6A6A6" w:themeColor="background1" w:themeShade="A6"/>
              </w:rPr>
              <w:lastRenderedPageBreak/>
              <w:t>programa. En cuanto a los indicadores a nivel de Componentes y de las Actividades, estos últimos, en su gran mayoría, son una desagregación de los indicadores de los Componentes 2 y 3. Por otra parte, con la finalidad de contribuir a la transparencia de la información es necesario precisar las variables de la mayoría de los métodos de cálculo de los indicadores; lo cual contribuirá a que se pueda replicar el cálculo de los indicadores. Otro aspecto que contribuye a lo señalado, son los medios de verificación que básicamente se encuentra en un sistema nacional de información como es el SINBA; si bien no toda la información necesaria y suficiente se encuentra en dicho sistema, este si existe en documentos internos que podrían publicarse por medio de informes. Finalmente, los indicadores de la MIR del programa sólo consideran la dimensión de eficacia, es fundamental considerar reportar cualidades diferentes al cumplimiento, con indicadores de eficiencia, calidad y economía que complemente a los de eficacia.</w:t>
            </w:r>
          </w:p>
        </w:tc>
      </w:tr>
    </w:tbl>
    <w:p w14:paraId="486680DD" w14:textId="77777777" w:rsidR="007B578F" w:rsidRDefault="007B578F" w:rsidP="00CF77AC">
      <w:pPr>
        <w:ind w:right="40"/>
        <w:jc w:val="center"/>
        <w:rPr>
          <w:b/>
        </w:rPr>
      </w:pPr>
    </w:p>
    <w:p w14:paraId="1F6A6C23"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50C349FD"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462"/>
        <w:gridCol w:w="4355"/>
        <w:gridCol w:w="4087"/>
      </w:tblGrid>
      <w:tr w:rsidR="00BE754E" w14:paraId="28FAD99A"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6EFA4F7D" w14:textId="77777777" w:rsidR="00BE754E" w:rsidRDefault="00BE754E" w:rsidP="00187BC8">
            <w:pPr>
              <w:ind w:right="40"/>
              <w:rPr>
                <w:b w:val="0"/>
              </w:rPr>
            </w:pPr>
            <w:r>
              <w:rPr>
                <w:b w:val="0"/>
              </w:rPr>
              <w:t>Tipo</w:t>
            </w:r>
          </w:p>
        </w:tc>
        <w:tc>
          <w:tcPr>
            <w:tcW w:w="2457" w:type="dxa"/>
          </w:tcPr>
          <w:p w14:paraId="13C873C9"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0C0EA5C9"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346E303C"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3A7AAAA8"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0EF1D456"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RESUMEN_EJECUTIVO_PAE_2022.pdf</w:t>
            </w:r>
          </w:p>
        </w:tc>
        <w:tc>
          <w:tcPr>
            <w:tcW w:w="4914" w:type="dxa"/>
            <w:shd w:val="clear" w:color="auto" w:fill="F2F2F2" w:themeFill="background1" w:themeFillShade="F2"/>
          </w:tcPr>
          <w:p w14:paraId="6E6BB0E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INSABI, ejercicio fiscal 2021, PAE 2022.</w:t>
            </w:r>
          </w:p>
        </w:tc>
      </w:tr>
      <w:tr w:rsidR="00BE754E" w14:paraId="3A7F650E"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023D4F22" w14:textId="77777777" w:rsidR="00BE754E" w:rsidRDefault="00BE754E" w:rsidP="00BE754E">
            <w:pPr>
              <w:ind w:right="40"/>
              <w:jc w:val="both"/>
              <w:rPr>
                <w:b w:val="0"/>
              </w:rPr>
            </w:pPr>
            <w:r>
              <w:rPr>
                <w:b w:val="0"/>
              </w:rPr>
              <w:t>Evaluación integral</w:t>
            </w:r>
          </w:p>
        </w:tc>
        <w:tc>
          <w:tcPr>
            <w:tcW w:w="2457" w:type="dxa"/>
          </w:tcPr>
          <w:p w14:paraId="05117CF5"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EVALUACIÓN_INSABI_PAE_2022_1.pdf</w:t>
            </w:r>
          </w:p>
        </w:tc>
        <w:tc>
          <w:tcPr>
            <w:tcW w:w="4914" w:type="dxa"/>
          </w:tcPr>
          <w:p w14:paraId="0AF37FED"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en materia de Indicadores del INSABI, ejercicio fiscal 2021, PAE 2022.</w:t>
            </w:r>
          </w:p>
        </w:tc>
      </w:tr>
      <w:tr w:rsidR="00BE754E" w14:paraId="5088DFC2"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4549CFC"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7D174CC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FICHA_CONAC_INSABI_PAE_2022.pdf</w:t>
            </w:r>
          </w:p>
        </w:tc>
        <w:tc>
          <w:tcPr>
            <w:tcW w:w="4914" w:type="dxa"/>
            <w:shd w:val="clear" w:color="auto" w:fill="F2F2F2" w:themeFill="background1" w:themeFillShade="F2"/>
          </w:tcPr>
          <w:p w14:paraId="01E886D2"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Se adjunta Ficha CONAC INSABI, ejercicio fiscal evaluado 2021, PAE 2022.</w:t>
            </w:r>
          </w:p>
        </w:tc>
      </w:tr>
      <w:tr w:rsidR="00BE754E" w14:paraId="3AE03DAB"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2DFCFB88" w14:textId="77777777" w:rsidR="00BE754E" w:rsidRDefault="00BE754E" w:rsidP="00BE754E">
            <w:pPr>
              <w:ind w:right="40"/>
              <w:jc w:val="both"/>
              <w:rPr>
                <w:b w:val="0"/>
              </w:rPr>
            </w:pPr>
            <w:r>
              <w:rPr>
                <w:b w:val="0"/>
              </w:rPr>
              <w:t>Posición institucional</w:t>
            </w:r>
          </w:p>
        </w:tc>
        <w:tc>
          <w:tcPr>
            <w:tcW w:w="2457" w:type="dxa"/>
          </w:tcPr>
          <w:p w14:paraId="5D4A6A05"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PI_INSABI.pdf</w:t>
            </w:r>
          </w:p>
        </w:tc>
        <w:tc>
          <w:tcPr>
            <w:tcW w:w="4914" w:type="dxa"/>
          </w:tcPr>
          <w:p w14:paraId="0AD224F3"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adjuntan Posición Institucionale_INSABI_2021_PAE_2022</w:t>
            </w:r>
          </w:p>
        </w:tc>
      </w:tr>
      <w:tr w:rsidR="00BE754E" w14:paraId="33E75803"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7AA9639"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7651DF0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TdR_EIndicadores2022.pdf</w:t>
            </w:r>
          </w:p>
        </w:tc>
        <w:tc>
          <w:tcPr>
            <w:tcW w:w="4914" w:type="dxa"/>
            <w:shd w:val="clear" w:color="auto" w:fill="F2F2F2" w:themeFill="background1" w:themeFillShade="F2"/>
          </w:tcPr>
          <w:p w14:paraId="3DE5CC9C"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 PAE 2022.</w:t>
            </w:r>
          </w:p>
        </w:tc>
      </w:tr>
      <w:tr w:rsidR="00BE754E" w14:paraId="72717806"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D282EAD" w14:textId="77777777" w:rsidR="00BE754E" w:rsidRDefault="00BE754E" w:rsidP="00BE754E">
            <w:pPr>
              <w:ind w:right="40"/>
              <w:jc w:val="both"/>
              <w:rPr>
                <w:b w:val="0"/>
              </w:rPr>
            </w:pPr>
            <w:r>
              <w:rPr>
                <w:b w:val="0"/>
              </w:rPr>
              <w:t>Contrato</w:t>
            </w:r>
          </w:p>
        </w:tc>
        <w:tc>
          <w:tcPr>
            <w:tcW w:w="2457" w:type="dxa"/>
          </w:tcPr>
          <w:p w14:paraId="1993768C"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CONTRATO_Alma_Rosa_PAE_2022.pdf</w:t>
            </w:r>
          </w:p>
        </w:tc>
        <w:tc>
          <w:tcPr>
            <w:tcW w:w="4914" w:type="dxa"/>
          </w:tcPr>
          <w:p w14:paraId="4937883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Dra. Alma Rosa Mendoza Rosas y M.C. José Roberto Nájera Torres, PAE_2022.</w:t>
            </w:r>
          </w:p>
        </w:tc>
      </w:tr>
    </w:tbl>
    <w:p w14:paraId="06167A6A"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4439" w14:textId="77777777" w:rsidR="00E37AF2" w:rsidRDefault="00E37AF2" w:rsidP="00343190">
      <w:r>
        <w:separator/>
      </w:r>
    </w:p>
  </w:endnote>
  <w:endnote w:type="continuationSeparator" w:id="0">
    <w:p w14:paraId="72753BE1" w14:textId="77777777" w:rsidR="00E37AF2" w:rsidRDefault="00E37AF2"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53416ACD"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45B28E96" wp14:editId="6E14D786">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E37AF2">
          <w:rPr>
            <w:noProof/>
            <w:lang w:val="es-ES" w:eastAsia="zh-TW"/>
          </w:rPr>
          <w:pict w14:anchorId="309D1103">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6C22B7F4"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14A27822" wp14:editId="37E7743D">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519D" w14:textId="77777777" w:rsidR="00E37AF2" w:rsidRDefault="00E37AF2" w:rsidP="00343190">
      <w:r>
        <w:separator/>
      </w:r>
    </w:p>
  </w:footnote>
  <w:footnote w:type="continuationSeparator" w:id="0">
    <w:p w14:paraId="61BAD9FA" w14:textId="77777777" w:rsidR="00E37AF2" w:rsidRDefault="00E37AF2"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0121" w14:textId="77777777" w:rsidR="00FB4868" w:rsidRDefault="00E37AF2">
    <w:pPr>
      <w:pStyle w:val="Encabezado"/>
    </w:pPr>
    <w:r>
      <w:rPr>
        <w:noProof/>
        <w:lang w:val="es-MX" w:eastAsia="es-MX"/>
      </w:rPr>
      <w:pict w14:anchorId="22C89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1C9E"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05AE4C16" wp14:editId="0AA98AB0">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E37AF2">
      <w:rPr>
        <w:noProof/>
        <w:lang w:val="es-ES"/>
      </w:rPr>
      <w:pict w14:anchorId="253A393D">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049E0863"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3DB46B26" w14:textId="77777777" w:rsidR="005E47EA" w:rsidRDefault="005E47EA">
                <w:pPr>
                  <w:rPr>
                    <w:rFonts w:ascii="Adobe Caslon Pro Bold" w:hAnsi="Adobe Caslon Pro Bold" w:cs="Calibri"/>
                    <w:b/>
                    <w:bCs/>
                    <w:color w:val="807F83"/>
                    <w:sz w:val="16"/>
                    <w:szCs w:val="16"/>
                    <w:lang w:val="es-ES"/>
                  </w:rPr>
                </w:pPr>
              </w:p>
              <w:p w14:paraId="4D7F5896" w14:textId="77777777" w:rsidR="005E47EA" w:rsidRDefault="005E47EA">
                <w:pPr>
                  <w:rPr>
                    <w:rFonts w:ascii="Adobe Caslon Pro Bold" w:hAnsi="Adobe Caslon Pro Bold" w:cs="Calibri"/>
                    <w:b/>
                    <w:bCs/>
                    <w:color w:val="807F83"/>
                    <w:sz w:val="16"/>
                    <w:szCs w:val="16"/>
                    <w:lang w:val="es-ES"/>
                  </w:rPr>
                </w:pPr>
              </w:p>
              <w:p w14:paraId="29764CC8"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C113" w14:textId="77777777" w:rsidR="00FB4868" w:rsidRDefault="00E37AF2">
    <w:pPr>
      <w:pStyle w:val="Encabezado"/>
    </w:pPr>
    <w:r>
      <w:rPr>
        <w:noProof/>
        <w:lang w:val="es-MX" w:eastAsia="es-MX"/>
      </w:rPr>
      <w:pict w14:anchorId="45631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F06D9"/>
    <w:rsid w:val="00444295"/>
    <w:rsid w:val="00461439"/>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9082B"/>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37AF2"/>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7E140"/>
  <w15:docId w15:val="{C2A2BCB5-6585-4927-BE4F-6BD6801D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2022-07-19T21:40:00Z</dcterms:created>
  <dcterms:modified xsi:type="dcterms:W3CDTF">2022-07-19T21:40:00Z</dcterms:modified>
</cp:coreProperties>
</file>