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B1F6"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4815052E"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974953E"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388E5C11"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486ECB45"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5D7900C3"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61F2BDC"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4E2436D"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741A8C1" w14:textId="77777777" w:rsidR="00C70452" w:rsidRDefault="00C70452" w:rsidP="008F0134">
      <w:pPr>
        <w:pStyle w:val="EstiloVerdana16ptDerecha"/>
        <w:jc w:val="center"/>
        <w:rPr>
          <w:rFonts w:ascii="Trajan Pro" w:hAnsi="Trajan Pro"/>
          <w:b/>
          <w:sz w:val="36"/>
          <w:szCs w:val="36"/>
        </w:rPr>
      </w:pPr>
    </w:p>
    <w:p w14:paraId="1CF3CD35"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50141C9B" w14:textId="77777777" w:rsidR="00A247E2" w:rsidRDefault="00A247E2" w:rsidP="00A247E2">
      <w:pPr>
        <w:pStyle w:val="EstiloVerdana16ptDerecha"/>
        <w:jc w:val="center"/>
        <w:rPr>
          <w:b/>
          <w:color w:val="002060"/>
        </w:rPr>
      </w:pPr>
    </w:p>
    <w:p w14:paraId="2E9A428C" w14:textId="77777777" w:rsidR="00A247E2" w:rsidRDefault="00A247E2" w:rsidP="00A247E2">
      <w:pPr>
        <w:pStyle w:val="EstiloVerdana16ptDerecha"/>
        <w:jc w:val="center"/>
        <w:rPr>
          <w:b/>
          <w:color w:val="002060"/>
        </w:rPr>
      </w:pPr>
    </w:p>
    <w:p w14:paraId="6EF7BF56" w14:textId="77777777" w:rsidR="00A247E2" w:rsidRDefault="00A247E2" w:rsidP="00A247E2">
      <w:pPr>
        <w:pStyle w:val="EstiloVerdana16ptDerecha"/>
        <w:jc w:val="center"/>
        <w:rPr>
          <w:b/>
          <w:color w:val="002060"/>
        </w:rPr>
      </w:pPr>
    </w:p>
    <w:p w14:paraId="31743536" w14:textId="77777777" w:rsidR="00A247E2" w:rsidRDefault="00A247E2" w:rsidP="00A247E2">
      <w:pPr>
        <w:pStyle w:val="EstiloVerdana16ptDerecha"/>
        <w:jc w:val="center"/>
        <w:rPr>
          <w:b/>
          <w:color w:val="002060"/>
        </w:rPr>
      </w:pPr>
    </w:p>
    <w:p w14:paraId="522A32E8" w14:textId="77777777" w:rsidR="00A247E2" w:rsidRDefault="00A247E2" w:rsidP="00A247E2">
      <w:pPr>
        <w:pStyle w:val="EstiloVerdana16ptDerecha"/>
        <w:jc w:val="center"/>
        <w:rPr>
          <w:b/>
          <w:color w:val="002060"/>
        </w:rPr>
      </w:pPr>
    </w:p>
    <w:p w14:paraId="37EFC367"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FONE</w:t>
      </w:r>
    </w:p>
    <w:p w14:paraId="04280716" w14:textId="77777777" w:rsidR="00185371" w:rsidRDefault="00185371" w:rsidP="00A247E2">
      <w:pPr>
        <w:pStyle w:val="EstiloVerdana16ptDerecha"/>
        <w:jc w:val="center"/>
        <w:rPr>
          <w:b/>
          <w:color w:val="808080" w:themeColor="background1" w:themeShade="80"/>
        </w:rPr>
      </w:pPr>
    </w:p>
    <w:p w14:paraId="0EA4811B" w14:textId="77777777" w:rsidR="005D623A" w:rsidRDefault="005D623A" w:rsidP="00A247E2">
      <w:pPr>
        <w:pStyle w:val="EstiloVerdana16ptDerecha"/>
        <w:jc w:val="center"/>
        <w:rPr>
          <w:b/>
          <w:color w:val="808080" w:themeColor="background1" w:themeShade="80"/>
        </w:rPr>
      </w:pPr>
    </w:p>
    <w:p w14:paraId="57F99F6E" w14:textId="77777777" w:rsidR="005D623A" w:rsidRDefault="005D623A" w:rsidP="00A247E2">
      <w:pPr>
        <w:pStyle w:val="EstiloVerdana16ptDerecha"/>
        <w:jc w:val="center"/>
        <w:rPr>
          <w:b/>
          <w:color w:val="808080" w:themeColor="background1" w:themeShade="80"/>
        </w:rPr>
      </w:pPr>
    </w:p>
    <w:p w14:paraId="1E6628C3"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50368699"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56D6798B" w14:textId="77777777" w:rsidR="0078555E" w:rsidRPr="0078555E" w:rsidRDefault="0078555E" w:rsidP="0078555E"/>
    <w:p w14:paraId="7D019ACA"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FONE</w:t>
      </w:r>
    </w:p>
    <w:p w14:paraId="419C3AA8"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41521482"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098259D9" w14:textId="77777777" w:rsidTr="003B11A1">
              <w:trPr>
                <w:gridAfter w:val="1"/>
                <w:wAfter w:w="7352" w:type="dxa"/>
                <w:trHeight w:val="467"/>
              </w:trPr>
              <w:tc>
                <w:tcPr>
                  <w:tcW w:w="0" w:type="auto"/>
                </w:tcPr>
                <w:p w14:paraId="218321DD"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3EB6E52A" w14:textId="77777777" w:rsidR="007B578F" w:rsidRPr="007B578F" w:rsidRDefault="007B578F" w:rsidP="008A46F3">
                  <w:pPr>
                    <w:rPr>
                      <w:i/>
                      <w:color w:val="A6A6A6" w:themeColor="background1" w:themeShade="A6"/>
                    </w:rPr>
                  </w:pPr>
                </w:p>
              </w:tc>
            </w:tr>
            <w:tr w:rsidR="007B578F" w:rsidRPr="007B578F" w14:paraId="4A224A09" w14:textId="77777777" w:rsidTr="003B11A1">
              <w:trPr>
                <w:trHeight w:val="78"/>
              </w:trPr>
              <w:tc>
                <w:tcPr>
                  <w:tcW w:w="9781" w:type="dxa"/>
                  <w:gridSpan w:val="3"/>
                  <w:shd w:val="clear" w:color="auto" w:fill="F2F2F2" w:themeFill="background1" w:themeFillShade="F2"/>
                </w:tcPr>
                <w:p w14:paraId="68BD8849"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476AB88F" w14:textId="77777777" w:rsidTr="003B11A1">
              <w:trPr>
                <w:trHeight w:val="78"/>
              </w:trPr>
              <w:tc>
                <w:tcPr>
                  <w:tcW w:w="9781" w:type="dxa"/>
                  <w:gridSpan w:val="3"/>
                  <w:shd w:val="clear" w:color="auto" w:fill="FFFFFF" w:themeFill="background1"/>
                </w:tcPr>
                <w:p w14:paraId="207F1C3B" w14:textId="77777777" w:rsidR="007B578F" w:rsidRPr="007B578F" w:rsidRDefault="007B578F" w:rsidP="008A46F3">
                  <w:r w:rsidRPr="007B578F">
                    <w:t>Municipio</w:t>
                  </w:r>
                </w:p>
              </w:tc>
            </w:tr>
            <w:tr w:rsidR="007B578F" w:rsidRPr="007B578F" w14:paraId="308C4869" w14:textId="77777777" w:rsidTr="003B11A1">
              <w:trPr>
                <w:trHeight w:val="78"/>
              </w:trPr>
              <w:tc>
                <w:tcPr>
                  <w:tcW w:w="9781" w:type="dxa"/>
                  <w:gridSpan w:val="3"/>
                  <w:shd w:val="clear" w:color="auto" w:fill="F2F2F2" w:themeFill="background1" w:themeFillShade="F2"/>
                </w:tcPr>
                <w:p w14:paraId="64371778" w14:textId="77777777" w:rsidR="007B578F" w:rsidRPr="007B578F" w:rsidRDefault="00185371" w:rsidP="008A46F3">
                  <w:r>
                    <w:rPr>
                      <w:color w:val="A6A6A6" w:themeColor="background1" w:themeShade="A6"/>
                    </w:rPr>
                    <w:t>0 - Cobertura estatal</w:t>
                  </w:r>
                </w:p>
              </w:tc>
            </w:tr>
            <w:tr w:rsidR="007B578F" w:rsidRPr="007B578F" w14:paraId="0DA226A8" w14:textId="77777777" w:rsidTr="003B11A1">
              <w:trPr>
                <w:trHeight w:val="173"/>
              </w:trPr>
              <w:tc>
                <w:tcPr>
                  <w:tcW w:w="0" w:type="auto"/>
                </w:tcPr>
                <w:p w14:paraId="10C2BA9D"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197DE40B" w14:textId="77777777" w:rsidR="007B578F" w:rsidRPr="007B578F" w:rsidRDefault="007B578F" w:rsidP="008A46F3">
                  <w:pPr>
                    <w:rPr>
                      <w:i/>
                      <w:color w:val="A6A6A6" w:themeColor="background1" w:themeShade="A6"/>
                    </w:rPr>
                  </w:pPr>
                </w:p>
              </w:tc>
            </w:tr>
            <w:tr w:rsidR="007B578F" w:rsidRPr="007B578F" w14:paraId="5CFBF1D3" w14:textId="77777777" w:rsidTr="003B11A1">
              <w:trPr>
                <w:trHeight w:val="78"/>
              </w:trPr>
              <w:tc>
                <w:tcPr>
                  <w:tcW w:w="9781" w:type="dxa"/>
                  <w:gridSpan w:val="3"/>
                  <w:shd w:val="clear" w:color="auto" w:fill="F2F2F2" w:themeFill="background1" w:themeFillShade="F2"/>
                </w:tcPr>
                <w:p w14:paraId="20B1B866" w14:textId="77777777" w:rsidR="007B578F" w:rsidRPr="007B578F" w:rsidRDefault="00185371" w:rsidP="008A46F3">
                  <w:r>
                    <w:rPr>
                      <w:color w:val="A6A6A6" w:themeColor="background1" w:themeShade="A6"/>
                    </w:rPr>
                    <w:t>FONE</w:t>
                  </w:r>
                </w:p>
              </w:tc>
            </w:tr>
            <w:tr w:rsidR="007B578F" w:rsidRPr="007B578F" w14:paraId="7AC92189" w14:textId="77777777" w:rsidTr="003B11A1">
              <w:trPr>
                <w:trHeight w:val="467"/>
              </w:trPr>
              <w:tc>
                <w:tcPr>
                  <w:tcW w:w="0" w:type="auto"/>
                </w:tcPr>
                <w:p w14:paraId="48792483" w14:textId="77777777" w:rsidR="007B578F" w:rsidRPr="007B578F" w:rsidRDefault="007B578F" w:rsidP="008A46F3">
                  <w:r w:rsidRPr="007B578F">
                    <w:t>Año de la Evaluación</w:t>
                  </w:r>
                </w:p>
              </w:tc>
              <w:tc>
                <w:tcPr>
                  <w:tcW w:w="7583" w:type="dxa"/>
                  <w:gridSpan w:val="2"/>
                  <w:shd w:val="clear" w:color="auto" w:fill="auto"/>
                </w:tcPr>
                <w:p w14:paraId="6A7A8EE7" w14:textId="77777777" w:rsidR="007B578F" w:rsidRPr="007B578F" w:rsidRDefault="007B578F" w:rsidP="008A46F3">
                  <w:pPr>
                    <w:rPr>
                      <w:i/>
                      <w:color w:val="A6A6A6" w:themeColor="background1" w:themeShade="A6"/>
                    </w:rPr>
                  </w:pPr>
                </w:p>
              </w:tc>
            </w:tr>
            <w:tr w:rsidR="007B578F" w:rsidRPr="007B578F" w14:paraId="7333C77A" w14:textId="77777777" w:rsidTr="003B11A1">
              <w:trPr>
                <w:trHeight w:val="78"/>
              </w:trPr>
              <w:tc>
                <w:tcPr>
                  <w:tcW w:w="9781" w:type="dxa"/>
                  <w:gridSpan w:val="3"/>
                  <w:shd w:val="clear" w:color="auto" w:fill="F2F2F2" w:themeFill="background1" w:themeFillShade="F2"/>
                </w:tcPr>
                <w:p w14:paraId="11187B02"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7B87890D" w14:textId="77777777" w:rsidTr="003B11A1">
              <w:trPr>
                <w:gridAfter w:val="1"/>
                <w:wAfter w:w="939" w:type="dxa"/>
                <w:trHeight w:val="459"/>
              </w:trPr>
              <w:tc>
                <w:tcPr>
                  <w:tcW w:w="4590" w:type="dxa"/>
                </w:tcPr>
                <w:p w14:paraId="247885AA" w14:textId="77777777" w:rsidR="007B578F" w:rsidRPr="007B578F" w:rsidRDefault="007B578F" w:rsidP="008D1CD0">
                  <w:pPr>
                    <w:framePr w:hSpace="141" w:wrap="around" w:vAnchor="text" w:hAnchor="text" w:y="1"/>
                    <w:suppressOverlap/>
                  </w:pPr>
                  <w:r w:rsidRPr="007B578F">
                    <w:t>Tipo de Evaluación</w:t>
                  </w:r>
                </w:p>
              </w:tc>
              <w:tc>
                <w:tcPr>
                  <w:tcW w:w="4252" w:type="dxa"/>
                  <w:shd w:val="clear" w:color="auto" w:fill="auto"/>
                </w:tcPr>
                <w:p w14:paraId="3EAC856D" w14:textId="77777777" w:rsidR="007B578F" w:rsidRPr="007B578F" w:rsidRDefault="00187BC8" w:rsidP="008D1CD0">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33C524FA" w14:textId="77777777" w:rsidTr="003B11A1">
              <w:trPr>
                <w:trHeight w:val="77"/>
              </w:trPr>
              <w:tc>
                <w:tcPr>
                  <w:tcW w:w="4590" w:type="dxa"/>
                  <w:shd w:val="clear" w:color="auto" w:fill="F2F2F2" w:themeFill="background1" w:themeFillShade="F2"/>
                </w:tcPr>
                <w:p w14:paraId="19A1AB7D" w14:textId="77777777" w:rsidR="00187BC8" w:rsidRPr="007B578F" w:rsidRDefault="00187BC8" w:rsidP="008D1CD0">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14:paraId="6A3CA64F" w14:textId="77777777" w:rsidR="00187BC8" w:rsidRPr="007B578F" w:rsidRDefault="00187BC8" w:rsidP="008D1CD0">
                  <w:pPr>
                    <w:framePr w:hSpace="141" w:wrap="around" w:vAnchor="text" w:hAnchor="text" w:y="1"/>
                    <w:suppressOverlap/>
                    <w:rPr>
                      <w:color w:val="A6A6A6" w:themeColor="background1" w:themeShade="A6"/>
                    </w:rPr>
                  </w:pPr>
                  <w:r>
                    <w:rPr>
                      <w:color w:val="A6A6A6" w:themeColor="background1" w:themeShade="A6"/>
                    </w:rPr>
                    <w:t>232,000.00</w:t>
                  </w:r>
                </w:p>
              </w:tc>
            </w:tr>
            <w:tr w:rsidR="005D623A" w:rsidRPr="007B578F" w14:paraId="1F8CBC51" w14:textId="77777777" w:rsidTr="005D623A">
              <w:trPr>
                <w:trHeight w:val="77"/>
              </w:trPr>
              <w:tc>
                <w:tcPr>
                  <w:tcW w:w="4590" w:type="dxa"/>
                  <w:shd w:val="clear" w:color="auto" w:fill="auto"/>
                </w:tcPr>
                <w:p w14:paraId="2D286376" w14:textId="77777777" w:rsidR="005D623A" w:rsidRDefault="005D623A" w:rsidP="008D1CD0">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017C7B24" w14:textId="77777777" w:rsidR="005D623A" w:rsidRDefault="005D623A" w:rsidP="008D1CD0">
                  <w:pPr>
                    <w:framePr w:hSpace="141" w:wrap="around" w:vAnchor="text" w:hAnchor="text" w:y="1"/>
                    <w:suppressOverlap/>
                    <w:rPr>
                      <w:color w:val="A6A6A6" w:themeColor="background1" w:themeShade="A6"/>
                    </w:rPr>
                  </w:pPr>
                  <w:r w:rsidRPr="005D623A">
                    <w:t>Modalidad de Contratación</w:t>
                  </w:r>
                </w:p>
              </w:tc>
            </w:tr>
            <w:tr w:rsidR="005D623A" w:rsidRPr="007B578F" w14:paraId="24E04F39" w14:textId="77777777" w:rsidTr="005D623A">
              <w:trPr>
                <w:trHeight w:val="77"/>
              </w:trPr>
              <w:tc>
                <w:tcPr>
                  <w:tcW w:w="4590" w:type="dxa"/>
                  <w:shd w:val="clear" w:color="auto" w:fill="F2F2F2" w:themeFill="background1" w:themeFillShade="F2"/>
                </w:tcPr>
                <w:p w14:paraId="752137A8" w14:textId="77777777" w:rsidR="005D623A" w:rsidRDefault="005D623A" w:rsidP="008D1CD0">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16611145" w14:textId="77777777" w:rsidR="005D623A" w:rsidRDefault="005D623A" w:rsidP="008D1CD0">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19817D76" w14:textId="77777777" w:rsidTr="005571FA">
              <w:trPr>
                <w:trHeight w:val="77"/>
              </w:trPr>
              <w:tc>
                <w:tcPr>
                  <w:tcW w:w="9781" w:type="dxa"/>
                  <w:gridSpan w:val="3"/>
                  <w:shd w:val="clear" w:color="auto" w:fill="auto"/>
                </w:tcPr>
                <w:p w14:paraId="4C4BF84D" w14:textId="77777777" w:rsidR="005D623A" w:rsidRPr="005D623A" w:rsidRDefault="005D623A" w:rsidP="008D1CD0">
                  <w:pPr>
                    <w:framePr w:hSpace="141" w:wrap="around" w:vAnchor="text" w:hAnchor="text" w:y="1"/>
                    <w:suppressOverlap/>
                  </w:pPr>
                  <w:r w:rsidRPr="005D623A">
                    <w:t>Evaluador</w:t>
                  </w:r>
                </w:p>
              </w:tc>
            </w:tr>
            <w:tr w:rsidR="005D623A" w:rsidRPr="007B578F" w14:paraId="5F246CC8" w14:textId="77777777" w:rsidTr="005D623A">
              <w:trPr>
                <w:trHeight w:val="77"/>
              </w:trPr>
              <w:tc>
                <w:tcPr>
                  <w:tcW w:w="9781" w:type="dxa"/>
                  <w:gridSpan w:val="3"/>
                  <w:shd w:val="clear" w:color="auto" w:fill="F2F2F2" w:themeFill="background1" w:themeFillShade="F2"/>
                </w:tcPr>
                <w:p w14:paraId="17B6E964" w14:textId="77777777" w:rsidR="005D623A" w:rsidRPr="005D623A" w:rsidRDefault="005D623A" w:rsidP="008D1CD0">
                  <w:pPr>
                    <w:framePr w:hSpace="141" w:wrap="around" w:vAnchor="text" w:hAnchor="text" w:y="1"/>
                    <w:suppressOverlap/>
                  </w:pPr>
                  <w:r w:rsidRPr="005D623A">
                    <w:rPr>
                      <w:color w:val="A6A6A6" w:themeColor="background1" w:themeShade="A6"/>
                    </w:rPr>
                    <w:t>Dra. Alma Rosa Mendoza Rosas y M.C. José Roberto Nájera Torres.</w:t>
                  </w:r>
                </w:p>
              </w:tc>
            </w:tr>
          </w:tbl>
          <w:p w14:paraId="136E0B20" w14:textId="77777777" w:rsidR="007B578F" w:rsidRPr="007B578F" w:rsidRDefault="007B578F" w:rsidP="008A46F3"/>
        </w:tc>
        <w:tc>
          <w:tcPr>
            <w:tcW w:w="4081" w:type="dxa"/>
            <w:shd w:val="clear" w:color="auto" w:fill="auto"/>
          </w:tcPr>
          <w:p w14:paraId="7FAD95A0"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0C3CE1CB" w14:textId="77777777" w:rsidTr="003B11A1">
        <w:trPr>
          <w:trHeight w:val="459"/>
        </w:trPr>
        <w:tc>
          <w:tcPr>
            <w:tcW w:w="4928" w:type="dxa"/>
          </w:tcPr>
          <w:p w14:paraId="04E9A2F6" w14:textId="77777777" w:rsidR="007B578F" w:rsidRPr="007B578F" w:rsidRDefault="007B578F" w:rsidP="008A46F3">
            <w:r w:rsidRPr="007B578F">
              <w:t>Coordinador de la Evaluación</w:t>
            </w:r>
          </w:p>
        </w:tc>
        <w:tc>
          <w:tcPr>
            <w:tcW w:w="4853" w:type="dxa"/>
            <w:shd w:val="clear" w:color="auto" w:fill="auto"/>
          </w:tcPr>
          <w:p w14:paraId="121D61C8" w14:textId="77777777" w:rsidR="007B578F" w:rsidRPr="007B578F" w:rsidRDefault="007B578F" w:rsidP="008A46F3">
            <w:pPr>
              <w:rPr>
                <w:i/>
                <w:color w:val="A6A6A6" w:themeColor="background1" w:themeShade="A6"/>
              </w:rPr>
            </w:pPr>
          </w:p>
        </w:tc>
      </w:tr>
      <w:tr w:rsidR="007B578F" w:rsidRPr="007B578F" w14:paraId="4D2F2949" w14:textId="77777777" w:rsidTr="003B11A1">
        <w:trPr>
          <w:trHeight w:val="77"/>
        </w:trPr>
        <w:tc>
          <w:tcPr>
            <w:tcW w:w="9781" w:type="dxa"/>
            <w:gridSpan w:val="2"/>
            <w:shd w:val="clear" w:color="auto" w:fill="F2F2F2" w:themeFill="background1" w:themeFillShade="F2"/>
          </w:tcPr>
          <w:p w14:paraId="16AEDBB3"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4CEB24A6" w14:textId="77777777" w:rsidTr="003B11A1">
        <w:trPr>
          <w:trHeight w:val="459"/>
        </w:trPr>
        <w:tc>
          <w:tcPr>
            <w:tcW w:w="4928" w:type="dxa"/>
          </w:tcPr>
          <w:p w14:paraId="254FA565" w14:textId="77777777" w:rsidR="007B578F" w:rsidRPr="007B578F" w:rsidRDefault="007B578F" w:rsidP="008A46F3">
            <w:r w:rsidRPr="007B578F">
              <w:t>Objetivos de la Evaluación</w:t>
            </w:r>
          </w:p>
        </w:tc>
        <w:tc>
          <w:tcPr>
            <w:tcW w:w="4853" w:type="dxa"/>
            <w:shd w:val="clear" w:color="auto" w:fill="auto"/>
          </w:tcPr>
          <w:p w14:paraId="7B88DF4A" w14:textId="77777777" w:rsidR="007B578F" w:rsidRPr="007B578F" w:rsidRDefault="007B578F" w:rsidP="008A46F3">
            <w:pPr>
              <w:rPr>
                <w:i/>
                <w:color w:val="A6A6A6" w:themeColor="background1" w:themeShade="A6"/>
              </w:rPr>
            </w:pPr>
          </w:p>
        </w:tc>
      </w:tr>
      <w:tr w:rsidR="007B578F" w:rsidRPr="007B578F" w14:paraId="6DE098BA" w14:textId="77777777" w:rsidTr="003B11A1">
        <w:trPr>
          <w:trHeight w:val="77"/>
        </w:trPr>
        <w:tc>
          <w:tcPr>
            <w:tcW w:w="9781" w:type="dxa"/>
            <w:gridSpan w:val="2"/>
            <w:shd w:val="clear" w:color="auto" w:fill="F2F2F2" w:themeFill="background1" w:themeFillShade="F2"/>
          </w:tcPr>
          <w:p w14:paraId="73E9DD6D" w14:textId="77777777" w:rsidR="007B578F" w:rsidRPr="007B578F" w:rsidRDefault="00185371" w:rsidP="008A46F3">
            <w:pPr>
              <w:rPr>
                <w:color w:val="A6A6A6" w:themeColor="background1" w:themeShade="A6"/>
              </w:rPr>
            </w:pPr>
            <w:r>
              <w:rPr>
                <w:color w:val="A6A6A6" w:themeColor="background1" w:themeShade="A6"/>
              </w:rPr>
              <w:t>Evaluar los Indicadores del Fondo de Aportaciones para la Nómina Educativa y Gasto operativo (FONE) para el Estado de Tlaxcala del Ejercicio Fiscal 2021, con la finalidad de proveer información que retroalimente su diseño, gestión, planeación, operación y orientación de resultados.</w:t>
            </w:r>
          </w:p>
        </w:tc>
      </w:tr>
      <w:tr w:rsidR="007B578F" w:rsidRPr="007B578F" w14:paraId="4801D0D5" w14:textId="77777777" w:rsidTr="003B11A1">
        <w:trPr>
          <w:trHeight w:val="459"/>
        </w:trPr>
        <w:tc>
          <w:tcPr>
            <w:tcW w:w="4928" w:type="dxa"/>
          </w:tcPr>
          <w:p w14:paraId="5C501AC5" w14:textId="77777777" w:rsidR="007B578F" w:rsidRPr="007B578F" w:rsidRDefault="007B578F" w:rsidP="008A46F3">
            <w:r w:rsidRPr="007B578F">
              <w:t>Resumen Ejecutivo de la Evaluación</w:t>
            </w:r>
          </w:p>
        </w:tc>
        <w:tc>
          <w:tcPr>
            <w:tcW w:w="4853" w:type="dxa"/>
            <w:shd w:val="clear" w:color="auto" w:fill="auto"/>
          </w:tcPr>
          <w:p w14:paraId="081FD382" w14:textId="77777777" w:rsidR="007B578F" w:rsidRPr="007B578F" w:rsidRDefault="007B578F" w:rsidP="008A46F3">
            <w:pPr>
              <w:rPr>
                <w:i/>
                <w:color w:val="A6A6A6" w:themeColor="background1" w:themeShade="A6"/>
              </w:rPr>
            </w:pPr>
          </w:p>
        </w:tc>
      </w:tr>
      <w:tr w:rsidR="007B578F" w:rsidRPr="007B578F" w14:paraId="2F76584F" w14:textId="77777777" w:rsidTr="003B11A1">
        <w:trPr>
          <w:trHeight w:val="77"/>
        </w:trPr>
        <w:tc>
          <w:tcPr>
            <w:tcW w:w="9781" w:type="dxa"/>
            <w:gridSpan w:val="2"/>
            <w:shd w:val="clear" w:color="auto" w:fill="F2F2F2" w:themeFill="background1" w:themeFillShade="F2"/>
          </w:tcPr>
          <w:p w14:paraId="08B55479" w14:textId="77777777" w:rsidR="007B578F" w:rsidRPr="007B578F" w:rsidRDefault="00185371" w:rsidP="008A46F3">
            <w:pPr>
              <w:rPr>
                <w:color w:val="A6A6A6" w:themeColor="background1" w:themeShade="A6"/>
              </w:rPr>
            </w:pPr>
            <w:r>
              <w:rPr>
                <w:color w:val="A6A6A6" w:themeColor="background1" w:themeShade="A6"/>
              </w:rPr>
              <w:t xml:space="preserve">En la evaluación de los indicadores del FONE para el ejercicio fiscal 2021, se verificó que los indicadores observaran los criterios mínimos para el apropiado monitoreo y la evaluación de los objetivos del FONE.El establecimiento de objetivos del resumen narrativo con claridad, precisión y enfocados en el logro del FONE tiene un papel crucial en el diseño y la construcción de indicadores con estas características. Lo anterior se confirmó a través de la valoración de los indicadores del FONE por medio de los criterios CREMAA, al llegar a las siguientes conclusiones: Por una parte, el criterio de claridad en el nombre del indicador se cumple casi en la totalidad de los indicadores. Sin embargo, algunos están desvinculados del objetivo del que se derivan. De aquí que los factores relevantes se encuentren presenten en el nombre del indicador, pero a veces no coincide con el objetivo de medición y con el método de cálculo. Esta imprecisión en los </w:t>
            </w:r>
            <w:r>
              <w:rPr>
                <w:color w:val="A6A6A6" w:themeColor="background1" w:themeShade="A6"/>
              </w:rPr>
              <w:lastRenderedPageBreak/>
              <w:t>objetivos, como el establecido a nivel del Fin, impide señalar como relevante su indicador. Esta situación ocurre con el indicador de Propósito 4, y Componente 12, que al no ser parte explícita de la población objetivo resulta irrelevante para medir el logro del FONE. En contraste, los indicadores del Propósito 2 y 3 se consideran relevantes y adecuados para medir el logro del FONE; sin embargo, sus resultados no permiten describir el desempeño del FONE, dado que presenta metas laxas. Por otra parte, estos indicadores del Fin y del Propósito son monitoreables; ya que, se pueden sujetar a una comprobación independiente y a que tiene medios de verificación accesibles al público. Lo que contribuye a cumplir con el compromiso de transparentar la operación del FONE.En cuanto a los objetivos de los Componentes no describen productos y servicios públicos que produce o proporciona el FONE, y los objetivos de las Actividades no enuncian las acciones que forman parte de la gestión del FONE. Por lo que, si bien, estos objetivos tienen indicadores cuyo nombre es claro, sus métodos de cálculo no los son, en específico para los indicadores de los Componentes 6 y 14 y Actividades 15- 66. Por consiguiente, no se pueden juzgar como indicadores relevantes y adecuados. Además, no son monitoreables, ya que no se podría realizar una comprobación independiente del indicador y la información necesaria para su cálculo no está disponible al público. Por otro lado, todos los indicadores cumplen con el criterio económico, en razón de que el FONE dispone de información generada durante la operación de los responsables de su ejecución.Finalmente, los indicadores de la MIR del FONE sólo consideran la dimensión de eficacia, es fundamental considerar reportar cualidades diferentes al cumplimiento, con indicadores de eficiencia, calidad y economía que complemente a los de eficacia.</w:t>
            </w:r>
          </w:p>
        </w:tc>
      </w:tr>
    </w:tbl>
    <w:p w14:paraId="6A26AAEF" w14:textId="77777777" w:rsidR="007B578F" w:rsidRDefault="007B578F" w:rsidP="00CF77AC">
      <w:pPr>
        <w:ind w:right="40"/>
        <w:jc w:val="center"/>
        <w:rPr>
          <w:b/>
        </w:rPr>
      </w:pPr>
    </w:p>
    <w:p w14:paraId="687883AA"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725FFFB9"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511"/>
        <w:gridCol w:w="4407"/>
        <w:gridCol w:w="3986"/>
      </w:tblGrid>
      <w:tr w:rsidR="00BE754E" w14:paraId="5CD3A2D0"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67E25CC8" w14:textId="77777777" w:rsidR="00BE754E" w:rsidRDefault="00BE754E" w:rsidP="00187BC8">
            <w:pPr>
              <w:ind w:right="40"/>
              <w:rPr>
                <w:b w:val="0"/>
              </w:rPr>
            </w:pPr>
            <w:r>
              <w:rPr>
                <w:b w:val="0"/>
              </w:rPr>
              <w:t>Tipo</w:t>
            </w:r>
          </w:p>
        </w:tc>
        <w:tc>
          <w:tcPr>
            <w:tcW w:w="2457" w:type="dxa"/>
          </w:tcPr>
          <w:p w14:paraId="720E592B"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2B7FB1C5"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4416385F"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3E19F402"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04B2C087"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RESUMEN_EJECUTIVO_PAE_2022.pdf</w:t>
            </w:r>
          </w:p>
        </w:tc>
        <w:tc>
          <w:tcPr>
            <w:tcW w:w="4914" w:type="dxa"/>
            <w:shd w:val="clear" w:color="auto" w:fill="F2F2F2" w:themeFill="background1" w:themeFillShade="F2"/>
          </w:tcPr>
          <w:p w14:paraId="5890BFAD"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FONE, ejercicio fiscal 2021, PAE 2022.</w:t>
            </w:r>
          </w:p>
        </w:tc>
      </w:tr>
      <w:tr w:rsidR="00BE754E" w14:paraId="42570BB5"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237D7D43" w14:textId="77777777" w:rsidR="00BE754E" w:rsidRDefault="00BE754E" w:rsidP="00BE754E">
            <w:pPr>
              <w:ind w:right="40"/>
              <w:jc w:val="both"/>
              <w:rPr>
                <w:b w:val="0"/>
              </w:rPr>
            </w:pPr>
            <w:r>
              <w:rPr>
                <w:b w:val="0"/>
              </w:rPr>
              <w:t>Evaluación integral</w:t>
            </w:r>
          </w:p>
        </w:tc>
        <w:tc>
          <w:tcPr>
            <w:tcW w:w="2457" w:type="dxa"/>
          </w:tcPr>
          <w:p w14:paraId="203B4AA2"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EVALUACIÓN_FONE_PAE_2022_1.pdf</w:t>
            </w:r>
          </w:p>
        </w:tc>
        <w:tc>
          <w:tcPr>
            <w:tcW w:w="4914" w:type="dxa"/>
          </w:tcPr>
          <w:p w14:paraId="1DAAF3C8"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en materia de Indicadores del FONE, ejercicio fiscal 2021, PAE 2022</w:t>
            </w:r>
          </w:p>
        </w:tc>
      </w:tr>
      <w:tr w:rsidR="00BE754E" w14:paraId="68776C7C"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2069069B"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782F38B4"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FICHA_CONAC_FONE_PAE_2022.pdf</w:t>
            </w:r>
          </w:p>
        </w:tc>
        <w:tc>
          <w:tcPr>
            <w:tcW w:w="4914" w:type="dxa"/>
            <w:shd w:val="clear" w:color="auto" w:fill="F2F2F2" w:themeFill="background1" w:themeFillShade="F2"/>
          </w:tcPr>
          <w:p w14:paraId="469F4DC6"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Se adjunta Ficha CONAC FONE, ejercicio fiscal evaluado 2021, PAE 2022</w:t>
            </w:r>
          </w:p>
        </w:tc>
      </w:tr>
      <w:tr w:rsidR="00BE754E" w14:paraId="5FB6CA7E"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889BCCB" w14:textId="77777777" w:rsidR="00BE754E" w:rsidRDefault="00BE754E" w:rsidP="00BE754E">
            <w:pPr>
              <w:ind w:right="40"/>
              <w:jc w:val="both"/>
              <w:rPr>
                <w:b w:val="0"/>
              </w:rPr>
            </w:pPr>
            <w:r>
              <w:rPr>
                <w:b w:val="0"/>
              </w:rPr>
              <w:t>Posición institucional</w:t>
            </w:r>
          </w:p>
        </w:tc>
        <w:tc>
          <w:tcPr>
            <w:tcW w:w="2457" w:type="dxa"/>
          </w:tcPr>
          <w:p w14:paraId="671C993A"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PI_FONE.pdf</w:t>
            </w:r>
          </w:p>
        </w:tc>
        <w:tc>
          <w:tcPr>
            <w:tcW w:w="4914" w:type="dxa"/>
          </w:tcPr>
          <w:p w14:paraId="4F2F2BF9"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 Posicion Institucional_FONE_2021_PAE_2022</w:t>
            </w:r>
          </w:p>
        </w:tc>
      </w:tr>
      <w:tr w:rsidR="00BE754E" w14:paraId="2919C6BA"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2833837"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7F1053C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TdR_EIndicadores2022-FONE.pdf</w:t>
            </w:r>
          </w:p>
        </w:tc>
        <w:tc>
          <w:tcPr>
            <w:tcW w:w="4914" w:type="dxa"/>
            <w:shd w:val="clear" w:color="auto" w:fill="F2F2F2" w:themeFill="background1" w:themeFillShade="F2"/>
          </w:tcPr>
          <w:p w14:paraId="306B8D55"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TDR_Indicadores_FONE, PAE 2022</w:t>
            </w:r>
          </w:p>
        </w:tc>
      </w:tr>
      <w:tr w:rsidR="00BE754E" w14:paraId="0894F7A4"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5CE9A709" w14:textId="77777777" w:rsidR="00BE754E" w:rsidRDefault="00BE754E" w:rsidP="00BE754E">
            <w:pPr>
              <w:ind w:right="40"/>
              <w:jc w:val="both"/>
              <w:rPr>
                <w:b w:val="0"/>
              </w:rPr>
            </w:pPr>
            <w:r>
              <w:rPr>
                <w:b w:val="0"/>
              </w:rPr>
              <w:t>Contrato</w:t>
            </w:r>
          </w:p>
        </w:tc>
        <w:tc>
          <w:tcPr>
            <w:tcW w:w="2457" w:type="dxa"/>
          </w:tcPr>
          <w:p w14:paraId="0AB9D977"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CONTRATO_Alma_Rosa_PAE_2022.p</w:t>
            </w:r>
            <w:r>
              <w:lastRenderedPageBreak/>
              <w:t>df</w:t>
            </w:r>
          </w:p>
        </w:tc>
        <w:tc>
          <w:tcPr>
            <w:tcW w:w="4914" w:type="dxa"/>
          </w:tcPr>
          <w:p w14:paraId="16D871DD"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lastRenderedPageBreak/>
              <w:t xml:space="preserve">Contrato Dra. Alma Rosa </w:t>
            </w:r>
            <w:r>
              <w:lastRenderedPageBreak/>
              <w:t>Mendoza Rosas y M.C. José Roberto Nájera Torres, PAE_2022.</w:t>
            </w:r>
          </w:p>
        </w:tc>
      </w:tr>
    </w:tbl>
    <w:p w14:paraId="55ED0593"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1837" w14:textId="77777777" w:rsidR="00FE2E95" w:rsidRDefault="00FE2E95" w:rsidP="00343190">
      <w:r>
        <w:separator/>
      </w:r>
    </w:p>
  </w:endnote>
  <w:endnote w:type="continuationSeparator" w:id="0">
    <w:p w14:paraId="5B798520" w14:textId="77777777" w:rsidR="00FE2E95" w:rsidRDefault="00FE2E95"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0F357ADF"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7B3D7089" wp14:editId="7F132F0D">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FE2E95">
          <w:rPr>
            <w:noProof/>
            <w:lang w:val="es-ES" w:eastAsia="zh-TW"/>
          </w:rPr>
          <w:pict w14:anchorId="1E010C85">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576F9954"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294A1B77" wp14:editId="1B0C7335">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DE27" w14:textId="77777777" w:rsidR="00FE2E95" w:rsidRDefault="00FE2E95" w:rsidP="00343190">
      <w:r>
        <w:separator/>
      </w:r>
    </w:p>
  </w:footnote>
  <w:footnote w:type="continuationSeparator" w:id="0">
    <w:p w14:paraId="4F6A5EFD" w14:textId="77777777" w:rsidR="00FE2E95" w:rsidRDefault="00FE2E95"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CCF2" w14:textId="77777777" w:rsidR="00FB4868" w:rsidRDefault="00FE2E95">
    <w:pPr>
      <w:pStyle w:val="Encabezado"/>
    </w:pPr>
    <w:r>
      <w:rPr>
        <w:noProof/>
        <w:lang w:val="es-MX" w:eastAsia="es-MX"/>
      </w:rPr>
      <w:pict w14:anchorId="5FFAE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D669"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38A10136" wp14:editId="13B837FB">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FE2E95">
      <w:rPr>
        <w:noProof/>
        <w:lang w:val="es-ES"/>
      </w:rPr>
      <w:pict w14:anchorId="1D4856FA">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3F42D8DC"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0286548E" w14:textId="77777777" w:rsidR="005E47EA" w:rsidRDefault="005E47EA">
                <w:pPr>
                  <w:rPr>
                    <w:rFonts w:ascii="Adobe Caslon Pro Bold" w:hAnsi="Adobe Caslon Pro Bold" w:cs="Calibri"/>
                    <w:b/>
                    <w:bCs/>
                    <w:color w:val="807F83"/>
                    <w:sz w:val="16"/>
                    <w:szCs w:val="16"/>
                    <w:lang w:val="es-ES"/>
                  </w:rPr>
                </w:pPr>
              </w:p>
              <w:p w14:paraId="76667CE3" w14:textId="77777777" w:rsidR="005E47EA" w:rsidRDefault="005E47EA">
                <w:pPr>
                  <w:rPr>
                    <w:rFonts w:ascii="Adobe Caslon Pro Bold" w:hAnsi="Adobe Caslon Pro Bold" w:cs="Calibri"/>
                    <w:b/>
                    <w:bCs/>
                    <w:color w:val="807F83"/>
                    <w:sz w:val="16"/>
                    <w:szCs w:val="16"/>
                    <w:lang w:val="es-ES"/>
                  </w:rPr>
                </w:pPr>
              </w:p>
              <w:p w14:paraId="54D1FE3C"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5F56" w14:textId="77777777" w:rsidR="00FB4868" w:rsidRDefault="00FE2E95">
    <w:pPr>
      <w:pStyle w:val="Encabezado"/>
    </w:pPr>
    <w:r>
      <w:rPr>
        <w:noProof/>
        <w:lang w:val="es-MX" w:eastAsia="es-MX"/>
      </w:rPr>
      <w:pict w14:anchorId="47AC7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A3D59"/>
    <w:rsid w:val="008D17E9"/>
    <w:rsid w:val="008D1CD0"/>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 w:val="00FE2E95"/>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A2F4E"/>
  <w15:docId w15:val="{622E7287-1CEF-443D-ACD6-CE57C80D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Capdeville Cureño</dc:creator>
  <cp:lastModifiedBy>Usuario</cp:lastModifiedBy>
  <cp:revision>2</cp:revision>
  <cp:lastPrinted>2012-12-11T00:42:00Z</cp:lastPrinted>
  <dcterms:created xsi:type="dcterms:W3CDTF">2022-07-19T21:36:00Z</dcterms:created>
  <dcterms:modified xsi:type="dcterms:W3CDTF">2022-07-19T21:36:00Z</dcterms:modified>
</cp:coreProperties>
</file>