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5660"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42394810"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A8E6794"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34286378"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C7CD01C"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B4869A9"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140A47AC"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96C4BB4"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AA11765" w14:textId="77777777" w:rsidR="00C70452" w:rsidRDefault="00C70452" w:rsidP="008F0134">
      <w:pPr>
        <w:pStyle w:val="EstiloVerdana16ptDerecha"/>
        <w:jc w:val="center"/>
        <w:rPr>
          <w:rFonts w:ascii="Trajan Pro" w:hAnsi="Trajan Pro"/>
          <w:b/>
          <w:sz w:val="36"/>
          <w:szCs w:val="36"/>
        </w:rPr>
      </w:pPr>
    </w:p>
    <w:p w14:paraId="110B8A2F"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02C0F6BC" w14:textId="77777777" w:rsidR="00A247E2" w:rsidRDefault="00A247E2" w:rsidP="00A247E2">
      <w:pPr>
        <w:pStyle w:val="EstiloVerdana16ptDerecha"/>
        <w:jc w:val="center"/>
        <w:rPr>
          <w:b/>
          <w:color w:val="002060"/>
        </w:rPr>
      </w:pPr>
    </w:p>
    <w:p w14:paraId="3FC62C9D" w14:textId="77777777" w:rsidR="00A247E2" w:rsidRDefault="00A247E2" w:rsidP="00A247E2">
      <w:pPr>
        <w:pStyle w:val="EstiloVerdana16ptDerecha"/>
        <w:jc w:val="center"/>
        <w:rPr>
          <w:b/>
          <w:color w:val="002060"/>
        </w:rPr>
      </w:pPr>
    </w:p>
    <w:p w14:paraId="30AA6439" w14:textId="77777777" w:rsidR="00A247E2" w:rsidRDefault="00A247E2" w:rsidP="00A247E2">
      <w:pPr>
        <w:pStyle w:val="EstiloVerdana16ptDerecha"/>
        <w:jc w:val="center"/>
        <w:rPr>
          <w:b/>
          <w:color w:val="002060"/>
        </w:rPr>
      </w:pPr>
    </w:p>
    <w:p w14:paraId="13D39961" w14:textId="77777777" w:rsidR="00A247E2" w:rsidRDefault="00A247E2" w:rsidP="00A247E2">
      <w:pPr>
        <w:pStyle w:val="EstiloVerdana16ptDerecha"/>
        <w:jc w:val="center"/>
        <w:rPr>
          <w:b/>
          <w:color w:val="002060"/>
        </w:rPr>
      </w:pPr>
    </w:p>
    <w:p w14:paraId="37AFDA55" w14:textId="77777777" w:rsidR="00A247E2" w:rsidRDefault="00A247E2" w:rsidP="00A247E2">
      <w:pPr>
        <w:pStyle w:val="EstiloVerdana16ptDerecha"/>
        <w:jc w:val="center"/>
        <w:rPr>
          <w:b/>
          <w:color w:val="002060"/>
        </w:rPr>
      </w:pPr>
    </w:p>
    <w:p w14:paraId="7057BC47"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FAM</w:t>
      </w:r>
    </w:p>
    <w:p w14:paraId="70DEE1FB" w14:textId="77777777" w:rsidR="00185371" w:rsidRDefault="00185371" w:rsidP="00A247E2">
      <w:pPr>
        <w:pStyle w:val="EstiloVerdana16ptDerecha"/>
        <w:jc w:val="center"/>
        <w:rPr>
          <w:b/>
          <w:color w:val="808080" w:themeColor="background1" w:themeShade="80"/>
        </w:rPr>
      </w:pPr>
    </w:p>
    <w:p w14:paraId="3190537E" w14:textId="77777777" w:rsidR="005D623A" w:rsidRDefault="005D623A" w:rsidP="00A247E2">
      <w:pPr>
        <w:pStyle w:val="EstiloVerdana16ptDerecha"/>
        <w:jc w:val="center"/>
        <w:rPr>
          <w:b/>
          <w:color w:val="808080" w:themeColor="background1" w:themeShade="80"/>
        </w:rPr>
      </w:pPr>
    </w:p>
    <w:p w14:paraId="08DFE59D" w14:textId="77777777" w:rsidR="005D623A" w:rsidRDefault="005D623A" w:rsidP="00A247E2">
      <w:pPr>
        <w:pStyle w:val="EstiloVerdana16ptDerecha"/>
        <w:jc w:val="center"/>
        <w:rPr>
          <w:b/>
          <w:color w:val="808080" w:themeColor="background1" w:themeShade="80"/>
        </w:rPr>
      </w:pPr>
    </w:p>
    <w:p w14:paraId="10786D8A"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770EEEC4"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12EAD8C8" w14:textId="77777777" w:rsidR="0078555E" w:rsidRPr="0078555E" w:rsidRDefault="0078555E" w:rsidP="0078555E"/>
    <w:p w14:paraId="568B22A2"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FAM</w:t>
      </w:r>
    </w:p>
    <w:p w14:paraId="32BC809C"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5377AC22"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0425A914" w14:textId="77777777" w:rsidTr="003B11A1">
              <w:trPr>
                <w:gridAfter w:val="1"/>
                <w:wAfter w:w="7352" w:type="dxa"/>
                <w:trHeight w:val="467"/>
              </w:trPr>
              <w:tc>
                <w:tcPr>
                  <w:tcW w:w="0" w:type="auto"/>
                </w:tcPr>
                <w:p w14:paraId="049EBFC3"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592F3C35" w14:textId="77777777" w:rsidR="007B578F" w:rsidRPr="007B578F" w:rsidRDefault="007B578F" w:rsidP="008A46F3">
                  <w:pPr>
                    <w:rPr>
                      <w:i/>
                      <w:color w:val="A6A6A6" w:themeColor="background1" w:themeShade="A6"/>
                    </w:rPr>
                  </w:pPr>
                </w:p>
              </w:tc>
            </w:tr>
            <w:tr w:rsidR="007B578F" w:rsidRPr="007B578F" w14:paraId="6CD02C79" w14:textId="77777777" w:rsidTr="003B11A1">
              <w:trPr>
                <w:trHeight w:val="78"/>
              </w:trPr>
              <w:tc>
                <w:tcPr>
                  <w:tcW w:w="9781" w:type="dxa"/>
                  <w:gridSpan w:val="3"/>
                  <w:shd w:val="clear" w:color="auto" w:fill="F2F2F2" w:themeFill="background1" w:themeFillShade="F2"/>
                </w:tcPr>
                <w:p w14:paraId="33D4265A"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089939DB" w14:textId="77777777" w:rsidTr="003B11A1">
              <w:trPr>
                <w:trHeight w:val="78"/>
              </w:trPr>
              <w:tc>
                <w:tcPr>
                  <w:tcW w:w="9781" w:type="dxa"/>
                  <w:gridSpan w:val="3"/>
                  <w:shd w:val="clear" w:color="auto" w:fill="FFFFFF" w:themeFill="background1"/>
                </w:tcPr>
                <w:p w14:paraId="09471FBD" w14:textId="77777777" w:rsidR="007B578F" w:rsidRPr="007B578F" w:rsidRDefault="007B578F" w:rsidP="008A46F3">
                  <w:r w:rsidRPr="007B578F">
                    <w:t>Municipio</w:t>
                  </w:r>
                </w:p>
              </w:tc>
            </w:tr>
            <w:tr w:rsidR="007B578F" w:rsidRPr="007B578F" w14:paraId="212E6EA9" w14:textId="77777777" w:rsidTr="003B11A1">
              <w:trPr>
                <w:trHeight w:val="78"/>
              </w:trPr>
              <w:tc>
                <w:tcPr>
                  <w:tcW w:w="9781" w:type="dxa"/>
                  <w:gridSpan w:val="3"/>
                  <w:shd w:val="clear" w:color="auto" w:fill="F2F2F2" w:themeFill="background1" w:themeFillShade="F2"/>
                </w:tcPr>
                <w:p w14:paraId="794D2FC4" w14:textId="77777777" w:rsidR="007B578F" w:rsidRPr="007B578F" w:rsidRDefault="00185371" w:rsidP="008A46F3">
                  <w:r>
                    <w:rPr>
                      <w:color w:val="A6A6A6" w:themeColor="background1" w:themeShade="A6"/>
                    </w:rPr>
                    <w:t>0 - Cobertura estatal</w:t>
                  </w:r>
                </w:p>
              </w:tc>
            </w:tr>
            <w:tr w:rsidR="007B578F" w:rsidRPr="007B578F" w14:paraId="3A8D7762" w14:textId="77777777" w:rsidTr="003B11A1">
              <w:trPr>
                <w:trHeight w:val="173"/>
              </w:trPr>
              <w:tc>
                <w:tcPr>
                  <w:tcW w:w="0" w:type="auto"/>
                </w:tcPr>
                <w:p w14:paraId="0D5817FF"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079D59DF" w14:textId="77777777" w:rsidR="007B578F" w:rsidRPr="007B578F" w:rsidRDefault="007B578F" w:rsidP="008A46F3">
                  <w:pPr>
                    <w:rPr>
                      <w:i/>
                      <w:color w:val="A6A6A6" w:themeColor="background1" w:themeShade="A6"/>
                    </w:rPr>
                  </w:pPr>
                </w:p>
              </w:tc>
            </w:tr>
            <w:tr w:rsidR="007B578F" w:rsidRPr="007B578F" w14:paraId="3EB80555" w14:textId="77777777" w:rsidTr="003B11A1">
              <w:trPr>
                <w:trHeight w:val="78"/>
              </w:trPr>
              <w:tc>
                <w:tcPr>
                  <w:tcW w:w="9781" w:type="dxa"/>
                  <w:gridSpan w:val="3"/>
                  <w:shd w:val="clear" w:color="auto" w:fill="F2F2F2" w:themeFill="background1" w:themeFillShade="F2"/>
                </w:tcPr>
                <w:p w14:paraId="6029CD5B" w14:textId="77777777" w:rsidR="007B578F" w:rsidRPr="007B578F" w:rsidRDefault="00185371" w:rsidP="008A46F3">
                  <w:r>
                    <w:rPr>
                      <w:color w:val="A6A6A6" w:themeColor="background1" w:themeShade="A6"/>
                    </w:rPr>
                    <w:t>FAM</w:t>
                  </w:r>
                </w:p>
              </w:tc>
            </w:tr>
            <w:tr w:rsidR="007B578F" w:rsidRPr="007B578F" w14:paraId="63DB42DC" w14:textId="77777777" w:rsidTr="003B11A1">
              <w:trPr>
                <w:trHeight w:val="467"/>
              </w:trPr>
              <w:tc>
                <w:tcPr>
                  <w:tcW w:w="0" w:type="auto"/>
                </w:tcPr>
                <w:p w14:paraId="34B16F96" w14:textId="77777777" w:rsidR="007B578F" w:rsidRPr="007B578F" w:rsidRDefault="007B578F" w:rsidP="008A46F3">
                  <w:r w:rsidRPr="007B578F">
                    <w:t>Año de la Evaluación</w:t>
                  </w:r>
                </w:p>
              </w:tc>
              <w:tc>
                <w:tcPr>
                  <w:tcW w:w="7583" w:type="dxa"/>
                  <w:gridSpan w:val="2"/>
                  <w:shd w:val="clear" w:color="auto" w:fill="auto"/>
                </w:tcPr>
                <w:p w14:paraId="1612A1F0" w14:textId="77777777" w:rsidR="007B578F" w:rsidRPr="007B578F" w:rsidRDefault="007B578F" w:rsidP="008A46F3">
                  <w:pPr>
                    <w:rPr>
                      <w:i/>
                      <w:color w:val="A6A6A6" w:themeColor="background1" w:themeShade="A6"/>
                    </w:rPr>
                  </w:pPr>
                </w:p>
              </w:tc>
            </w:tr>
            <w:tr w:rsidR="007B578F" w:rsidRPr="007B578F" w14:paraId="50DD59A9" w14:textId="77777777" w:rsidTr="003B11A1">
              <w:trPr>
                <w:trHeight w:val="78"/>
              </w:trPr>
              <w:tc>
                <w:tcPr>
                  <w:tcW w:w="9781" w:type="dxa"/>
                  <w:gridSpan w:val="3"/>
                  <w:shd w:val="clear" w:color="auto" w:fill="F2F2F2" w:themeFill="background1" w:themeFillShade="F2"/>
                </w:tcPr>
                <w:p w14:paraId="6DA0E77B"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08ED646E" w14:textId="77777777" w:rsidTr="003B11A1">
              <w:trPr>
                <w:gridAfter w:val="1"/>
                <w:wAfter w:w="939" w:type="dxa"/>
                <w:trHeight w:val="459"/>
              </w:trPr>
              <w:tc>
                <w:tcPr>
                  <w:tcW w:w="4590" w:type="dxa"/>
                </w:tcPr>
                <w:p w14:paraId="56C58B86" w14:textId="77777777" w:rsidR="007B578F" w:rsidRPr="007B578F" w:rsidRDefault="007B578F" w:rsidP="00D72F4C">
                  <w:pPr>
                    <w:framePr w:hSpace="141" w:wrap="around" w:vAnchor="text" w:hAnchor="text" w:y="1"/>
                    <w:suppressOverlap/>
                  </w:pPr>
                  <w:r w:rsidRPr="007B578F">
                    <w:t>Tipo de Evaluación</w:t>
                  </w:r>
                </w:p>
              </w:tc>
              <w:tc>
                <w:tcPr>
                  <w:tcW w:w="4252" w:type="dxa"/>
                  <w:shd w:val="clear" w:color="auto" w:fill="auto"/>
                </w:tcPr>
                <w:p w14:paraId="7386796E" w14:textId="77777777" w:rsidR="007B578F" w:rsidRPr="007B578F" w:rsidRDefault="00187BC8" w:rsidP="00D72F4C">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7E7068D6" w14:textId="77777777" w:rsidTr="003B11A1">
              <w:trPr>
                <w:trHeight w:val="77"/>
              </w:trPr>
              <w:tc>
                <w:tcPr>
                  <w:tcW w:w="4590" w:type="dxa"/>
                  <w:shd w:val="clear" w:color="auto" w:fill="F2F2F2" w:themeFill="background1" w:themeFillShade="F2"/>
                </w:tcPr>
                <w:p w14:paraId="16327FFE" w14:textId="77777777" w:rsidR="00187BC8" w:rsidRPr="007B578F" w:rsidRDefault="00187BC8" w:rsidP="00D72F4C">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14:paraId="2A64F74F" w14:textId="77777777" w:rsidR="00187BC8" w:rsidRPr="007B578F" w:rsidRDefault="00187BC8" w:rsidP="00D72F4C">
                  <w:pPr>
                    <w:framePr w:hSpace="141" w:wrap="around" w:vAnchor="text" w:hAnchor="text" w:y="1"/>
                    <w:suppressOverlap/>
                    <w:rPr>
                      <w:color w:val="A6A6A6" w:themeColor="background1" w:themeShade="A6"/>
                    </w:rPr>
                  </w:pPr>
                  <w:r>
                    <w:rPr>
                      <w:color w:val="A6A6A6" w:themeColor="background1" w:themeShade="A6"/>
                    </w:rPr>
                    <w:t>174,000.00</w:t>
                  </w:r>
                </w:p>
              </w:tc>
            </w:tr>
            <w:tr w:rsidR="005D623A" w:rsidRPr="007B578F" w14:paraId="466B9DBD" w14:textId="77777777" w:rsidTr="005D623A">
              <w:trPr>
                <w:trHeight w:val="77"/>
              </w:trPr>
              <w:tc>
                <w:tcPr>
                  <w:tcW w:w="4590" w:type="dxa"/>
                  <w:shd w:val="clear" w:color="auto" w:fill="auto"/>
                </w:tcPr>
                <w:p w14:paraId="3972E376" w14:textId="77777777" w:rsidR="005D623A" w:rsidRDefault="005D623A" w:rsidP="00D72F4C">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078CFA51" w14:textId="77777777" w:rsidR="005D623A" w:rsidRDefault="005D623A" w:rsidP="00D72F4C">
                  <w:pPr>
                    <w:framePr w:hSpace="141" w:wrap="around" w:vAnchor="text" w:hAnchor="text" w:y="1"/>
                    <w:suppressOverlap/>
                    <w:rPr>
                      <w:color w:val="A6A6A6" w:themeColor="background1" w:themeShade="A6"/>
                    </w:rPr>
                  </w:pPr>
                  <w:r w:rsidRPr="005D623A">
                    <w:t>Modalidad de Contratación</w:t>
                  </w:r>
                </w:p>
              </w:tc>
            </w:tr>
            <w:tr w:rsidR="005D623A" w:rsidRPr="007B578F" w14:paraId="713651E6" w14:textId="77777777" w:rsidTr="005D623A">
              <w:trPr>
                <w:trHeight w:val="77"/>
              </w:trPr>
              <w:tc>
                <w:tcPr>
                  <w:tcW w:w="4590" w:type="dxa"/>
                  <w:shd w:val="clear" w:color="auto" w:fill="F2F2F2" w:themeFill="background1" w:themeFillShade="F2"/>
                </w:tcPr>
                <w:p w14:paraId="298F2ADC" w14:textId="77777777" w:rsidR="005D623A" w:rsidRDefault="005D623A" w:rsidP="00D72F4C">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746C1389" w14:textId="77777777" w:rsidR="005D623A" w:rsidRDefault="005D623A" w:rsidP="00D72F4C">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6F90E5BE" w14:textId="77777777" w:rsidTr="005571FA">
              <w:trPr>
                <w:trHeight w:val="77"/>
              </w:trPr>
              <w:tc>
                <w:tcPr>
                  <w:tcW w:w="9781" w:type="dxa"/>
                  <w:gridSpan w:val="3"/>
                  <w:shd w:val="clear" w:color="auto" w:fill="auto"/>
                </w:tcPr>
                <w:p w14:paraId="4BF0CA62" w14:textId="77777777" w:rsidR="005D623A" w:rsidRPr="005D623A" w:rsidRDefault="005D623A" w:rsidP="00D72F4C">
                  <w:pPr>
                    <w:framePr w:hSpace="141" w:wrap="around" w:vAnchor="text" w:hAnchor="text" w:y="1"/>
                    <w:suppressOverlap/>
                  </w:pPr>
                  <w:r w:rsidRPr="005D623A">
                    <w:t>Evaluador</w:t>
                  </w:r>
                </w:p>
              </w:tc>
            </w:tr>
            <w:tr w:rsidR="005D623A" w:rsidRPr="007B578F" w14:paraId="0DD7660F" w14:textId="77777777" w:rsidTr="005D623A">
              <w:trPr>
                <w:trHeight w:val="77"/>
              </w:trPr>
              <w:tc>
                <w:tcPr>
                  <w:tcW w:w="9781" w:type="dxa"/>
                  <w:gridSpan w:val="3"/>
                  <w:shd w:val="clear" w:color="auto" w:fill="F2F2F2" w:themeFill="background1" w:themeFillShade="F2"/>
                </w:tcPr>
                <w:p w14:paraId="24CAA98E" w14:textId="77777777" w:rsidR="005D623A" w:rsidRPr="005D623A" w:rsidRDefault="005D623A" w:rsidP="00D72F4C">
                  <w:pPr>
                    <w:framePr w:hSpace="141" w:wrap="around" w:vAnchor="text" w:hAnchor="text" w:y="1"/>
                    <w:suppressOverlap/>
                  </w:pPr>
                  <w:r w:rsidRPr="005D623A">
                    <w:rPr>
                      <w:color w:val="A6A6A6" w:themeColor="background1" w:themeShade="A6"/>
                    </w:rPr>
                    <w:t>Especialistas en Control Interno y Organizacional, S.C., Mtra. Karen Italia Ruiz López, Mtra. Gabriela Luongo Raitschewa, Dra. Iris Adriana Landa Torres.</w:t>
                  </w:r>
                </w:p>
              </w:tc>
            </w:tr>
          </w:tbl>
          <w:p w14:paraId="1B730D24" w14:textId="77777777" w:rsidR="007B578F" w:rsidRPr="007B578F" w:rsidRDefault="007B578F" w:rsidP="008A46F3"/>
        </w:tc>
        <w:tc>
          <w:tcPr>
            <w:tcW w:w="4081" w:type="dxa"/>
            <w:shd w:val="clear" w:color="auto" w:fill="auto"/>
          </w:tcPr>
          <w:p w14:paraId="27CBE0B1"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22B4762B" w14:textId="77777777" w:rsidTr="003B11A1">
        <w:trPr>
          <w:trHeight w:val="459"/>
        </w:trPr>
        <w:tc>
          <w:tcPr>
            <w:tcW w:w="4928" w:type="dxa"/>
          </w:tcPr>
          <w:p w14:paraId="31137948" w14:textId="77777777" w:rsidR="007B578F" w:rsidRPr="007B578F" w:rsidRDefault="007B578F" w:rsidP="008A46F3">
            <w:r w:rsidRPr="007B578F">
              <w:t>Coordinador de la Evaluación</w:t>
            </w:r>
          </w:p>
        </w:tc>
        <w:tc>
          <w:tcPr>
            <w:tcW w:w="4853" w:type="dxa"/>
            <w:shd w:val="clear" w:color="auto" w:fill="auto"/>
          </w:tcPr>
          <w:p w14:paraId="53208C55" w14:textId="77777777" w:rsidR="007B578F" w:rsidRPr="007B578F" w:rsidRDefault="007B578F" w:rsidP="008A46F3">
            <w:pPr>
              <w:rPr>
                <w:i/>
                <w:color w:val="A6A6A6" w:themeColor="background1" w:themeShade="A6"/>
              </w:rPr>
            </w:pPr>
          </w:p>
        </w:tc>
      </w:tr>
      <w:tr w:rsidR="007B578F" w:rsidRPr="007B578F" w14:paraId="4E237E50" w14:textId="77777777" w:rsidTr="003B11A1">
        <w:trPr>
          <w:trHeight w:val="77"/>
        </w:trPr>
        <w:tc>
          <w:tcPr>
            <w:tcW w:w="9781" w:type="dxa"/>
            <w:gridSpan w:val="2"/>
            <w:shd w:val="clear" w:color="auto" w:fill="F2F2F2" w:themeFill="background1" w:themeFillShade="F2"/>
          </w:tcPr>
          <w:p w14:paraId="00260892"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38413637" w14:textId="77777777" w:rsidTr="003B11A1">
        <w:trPr>
          <w:trHeight w:val="459"/>
        </w:trPr>
        <w:tc>
          <w:tcPr>
            <w:tcW w:w="4928" w:type="dxa"/>
          </w:tcPr>
          <w:p w14:paraId="42B1A286" w14:textId="77777777" w:rsidR="007B578F" w:rsidRPr="007B578F" w:rsidRDefault="007B578F" w:rsidP="008A46F3">
            <w:r w:rsidRPr="007B578F">
              <w:t>Objetivos de la Evaluación</w:t>
            </w:r>
          </w:p>
        </w:tc>
        <w:tc>
          <w:tcPr>
            <w:tcW w:w="4853" w:type="dxa"/>
            <w:shd w:val="clear" w:color="auto" w:fill="auto"/>
          </w:tcPr>
          <w:p w14:paraId="33B4C047" w14:textId="77777777" w:rsidR="007B578F" w:rsidRPr="007B578F" w:rsidRDefault="007B578F" w:rsidP="008A46F3">
            <w:pPr>
              <w:rPr>
                <w:i/>
                <w:color w:val="A6A6A6" w:themeColor="background1" w:themeShade="A6"/>
              </w:rPr>
            </w:pPr>
          </w:p>
        </w:tc>
      </w:tr>
      <w:tr w:rsidR="007B578F" w:rsidRPr="007B578F" w14:paraId="2C3197E5" w14:textId="77777777" w:rsidTr="003B11A1">
        <w:trPr>
          <w:trHeight w:val="77"/>
        </w:trPr>
        <w:tc>
          <w:tcPr>
            <w:tcW w:w="9781" w:type="dxa"/>
            <w:gridSpan w:val="2"/>
            <w:shd w:val="clear" w:color="auto" w:fill="F2F2F2" w:themeFill="background1" w:themeFillShade="F2"/>
          </w:tcPr>
          <w:p w14:paraId="38C9AE54" w14:textId="77777777" w:rsidR="007B578F" w:rsidRPr="007B578F" w:rsidRDefault="00185371" w:rsidP="008A46F3">
            <w:pPr>
              <w:rPr>
                <w:color w:val="A6A6A6" w:themeColor="background1" w:themeShade="A6"/>
              </w:rPr>
            </w:pPr>
            <w:r>
              <w:rPr>
                <w:color w:val="A6A6A6" w:themeColor="background1" w:themeShade="A6"/>
              </w:rPr>
              <w:t>Evaluar los indicadores del Fondo de Aportaciones Múltiples del Ejercicio Fiscal 2021, con la finalidad de proveer información que retroalimente su diseño, gestión, planeación, operación y orientación de resultados.</w:t>
            </w:r>
          </w:p>
        </w:tc>
      </w:tr>
      <w:tr w:rsidR="007B578F" w:rsidRPr="007B578F" w14:paraId="61951C3E" w14:textId="77777777" w:rsidTr="003B11A1">
        <w:trPr>
          <w:trHeight w:val="459"/>
        </w:trPr>
        <w:tc>
          <w:tcPr>
            <w:tcW w:w="4928" w:type="dxa"/>
          </w:tcPr>
          <w:p w14:paraId="059CFBB2" w14:textId="77777777" w:rsidR="007B578F" w:rsidRPr="007B578F" w:rsidRDefault="007B578F" w:rsidP="008A46F3">
            <w:r w:rsidRPr="007B578F">
              <w:t>Resumen Ejecutivo de la Evaluación</w:t>
            </w:r>
          </w:p>
        </w:tc>
        <w:tc>
          <w:tcPr>
            <w:tcW w:w="4853" w:type="dxa"/>
            <w:shd w:val="clear" w:color="auto" w:fill="auto"/>
          </w:tcPr>
          <w:p w14:paraId="7270846C" w14:textId="77777777" w:rsidR="007B578F" w:rsidRPr="007B578F" w:rsidRDefault="007B578F" w:rsidP="008A46F3">
            <w:pPr>
              <w:rPr>
                <w:i/>
                <w:color w:val="A6A6A6" w:themeColor="background1" w:themeShade="A6"/>
              </w:rPr>
            </w:pPr>
          </w:p>
        </w:tc>
      </w:tr>
      <w:tr w:rsidR="007B578F" w:rsidRPr="007B578F" w14:paraId="55423A2D" w14:textId="77777777" w:rsidTr="003B11A1">
        <w:trPr>
          <w:trHeight w:val="77"/>
        </w:trPr>
        <w:tc>
          <w:tcPr>
            <w:tcW w:w="9781" w:type="dxa"/>
            <w:gridSpan w:val="2"/>
            <w:shd w:val="clear" w:color="auto" w:fill="F2F2F2" w:themeFill="background1" w:themeFillShade="F2"/>
          </w:tcPr>
          <w:p w14:paraId="30695DDA" w14:textId="77777777" w:rsidR="007B578F" w:rsidRPr="007B578F" w:rsidRDefault="00185371" w:rsidP="008A46F3">
            <w:pPr>
              <w:rPr>
                <w:color w:val="A6A6A6" w:themeColor="background1" w:themeShade="A6"/>
              </w:rPr>
            </w:pPr>
            <w:r>
              <w:rPr>
                <w:color w:val="A6A6A6" w:themeColor="background1" w:themeShade="A6"/>
              </w:rPr>
              <w:t xml:space="preserve">El Fondo de Aportaciones Múltiples ha representado, desde ejercicios fiscales anteriores, un reto para su ejecución. Ello, a causa de los distintos y contrastantes componentes que lo integran, así como ejecutores que participan. Por esta razón, resulta sumamente relevante reflejar en la Matriz de Indicadores, y en los indicadores en particular, los objetivos, las necesidades y la población que se pretende beneficiar con el Fondo.  Los componentes del FAM son cuatro: asistencia social e infraestructura para la educación básica, educación media superior y superior. Sin embargo, además de que cada componente trabaja de manera independiente, también los ejecutores, por ello, en la presente evaluación se dividió el análisis por ejecutor. Dicha separación permitió mayor profundidad en el análisis, y en el caso de la MIR, da pie a la identificación de áreas de oportunidad y aspectos que puedan ser mejorados en alineación a la Metodología de Marco </w:t>
            </w:r>
            <w:r>
              <w:rPr>
                <w:color w:val="A6A6A6" w:themeColor="background1" w:themeShade="A6"/>
              </w:rPr>
              <w:lastRenderedPageBreak/>
              <w:t>Lógico y la delimitación y estructuración de indicadores y sus aspectos técnicos.  Se observa que, a pesar de las dificultades metodológicas que en algunos casos se presentan, el FAM responde a problemáticas claras y relevantes para el estado de Tlaxcala y para el país en general. Por ello, este Fondo está alineado y respaldado por los planes de desarrollo estatal y federal, así como por la Agenda 2030.  Entre las complejidades del programa, identificar a la población objetivo resulta difícil, por ejemplo, cuando las obras o el equipamiento es recibido por un plantel o una institución, pero los receptores finales o beneficiarios de esto son las y los estudiantes. Por esta razón, es necesario clarificar lo anterior y con ello, desarrollar una estrategia de cobertura, así como procesos, mucho más sólidos. Esto también ayudará a darle claridad a los indicadores del proyecto FAM.  Asimismo, tomando en consideración que la Matriz de Indicadores para Resultados (MIR) es una herramienta básica de planeación y seguimiento para medir el desempeño de los programas, es importante diseñarla de acuerdo con las directrices establecidas por la Metodología de Marco Lógico recuperadas en documentos publicados por CONEVAL y la SHCP.  En general, atender las áreas de oportunidad señaladas constituyen una ventana para mejorar la eficiencia del Fondo, y a su vez, fortalecer la estrategia de atención a los problemas centrales que se enfrentan. Cabe mencionar que el FAM se desprende del Ramo 33, del orden federal, y se considera un solo Fondo. Sin embargo, cada dependencia ejecutora cuenta con un proyecto programático propio, pues poseen un nombre, programas operativos, presupuesto y MIR particulares, además de perseguir objetivos específicos dentro del estado de Tlaxcala.Esta evaluación realizó el análisis de indicadores a partir de criterios y dimensiones. En cuanto a los criterios, se tomaron como base los criterios CREMAA (Claridad, Relevancia, Economía, Monitoreo, Adecuado y Aportación Marginal), mientras que en lo que respecta a las dimensiones se alineó a eficacia, eficiencia, calidad, economía y valoración de la MIR por supuestos.  El estado de Tlaxcala a través de sus ejecutores demuestra responsabilidad en el uso de recursos federales del FAM, y un esfuerzo por cumplir con el Presupuesto basado en Resultados y la Gestión para Resultados. A pesar de las observaciones y recomendaciones vertidas en esta evaluación, se identifica y programa ejecutado de manera eficiente y eficaz.</w:t>
            </w:r>
          </w:p>
        </w:tc>
      </w:tr>
    </w:tbl>
    <w:p w14:paraId="68BEC336" w14:textId="77777777" w:rsidR="007B578F" w:rsidRDefault="007B578F" w:rsidP="00CF77AC">
      <w:pPr>
        <w:ind w:right="40"/>
        <w:jc w:val="center"/>
        <w:rPr>
          <w:b/>
        </w:rPr>
      </w:pPr>
    </w:p>
    <w:p w14:paraId="7953D9E9"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20DBC40C"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385"/>
        <w:gridCol w:w="4819"/>
        <w:gridCol w:w="3700"/>
      </w:tblGrid>
      <w:tr w:rsidR="00BE754E" w14:paraId="1407AABA"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29FCB257" w14:textId="77777777" w:rsidR="00BE754E" w:rsidRDefault="00BE754E" w:rsidP="00187BC8">
            <w:pPr>
              <w:ind w:right="40"/>
              <w:rPr>
                <w:b w:val="0"/>
              </w:rPr>
            </w:pPr>
            <w:r>
              <w:rPr>
                <w:b w:val="0"/>
              </w:rPr>
              <w:t>Tipo</w:t>
            </w:r>
          </w:p>
        </w:tc>
        <w:tc>
          <w:tcPr>
            <w:tcW w:w="2457" w:type="dxa"/>
          </w:tcPr>
          <w:p w14:paraId="5E526D00"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1B2C7816"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1AF07580"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52D6708"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39D65FFE"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RESUMEN_EJECUTIVO_FAM_PAE_2022.pdf</w:t>
            </w:r>
          </w:p>
        </w:tc>
        <w:tc>
          <w:tcPr>
            <w:tcW w:w="4914" w:type="dxa"/>
            <w:shd w:val="clear" w:color="auto" w:fill="F2F2F2" w:themeFill="background1" w:themeFillShade="F2"/>
          </w:tcPr>
          <w:p w14:paraId="702D750D"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FAM, ejercicio fiscal 2021, PAE 2022</w:t>
            </w:r>
          </w:p>
        </w:tc>
      </w:tr>
      <w:tr w:rsidR="00BE754E" w14:paraId="1498F8F0"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15D87A0E" w14:textId="77777777" w:rsidR="00BE754E" w:rsidRDefault="00BE754E" w:rsidP="00BE754E">
            <w:pPr>
              <w:ind w:right="40"/>
              <w:jc w:val="both"/>
              <w:rPr>
                <w:b w:val="0"/>
              </w:rPr>
            </w:pPr>
            <w:r>
              <w:rPr>
                <w:b w:val="0"/>
              </w:rPr>
              <w:t>Evaluación integral</w:t>
            </w:r>
          </w:p>
        </w:tc>
        <w:tc>
          <w:tcPr>
            <w:tcW w:w="2457" w:type="dxa"/>
          </w:tcPr>
          <w:p w14:paraId="2CCF3AA9"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EVALUACIÓN_FAM_PAE_2022.pdf</w:t>
            </w:r>
          </w:p>
        </w:tc>
        <w:tc>
          <w:tcPr>
            <w:tcW w:w="4914" w:type="dxa"/>
          </w:tcPr>
          <w:p w14:paraId="250A3B7D"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en materia de Indicadores del FAM, ejercicio fiscal 2021, PAE 2022</w:t>
            </w:r>
          </w:p>
        </w:tc>
      </w:tr>
      <w:tr w:rsidR="00BE754E" w14:paraId="41177E3B"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4B92D073"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5A53ADA2"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FICHA_CONAC_FAM_PAE_ 2022.pdf</w:t>
            </w:r>
          </w:p>
        </w:tc>
        <w:tc>
          <w:tcPr>
            <w:tcW w:w="4914" w:type="dxa"/>
            <w:shd w:val="clear" w:color="auto" w:fill="F2F2F2" w:themeFill="background1" w:themeFillShade="F2"/>
          </w:tcPr>
          <w:p w14:paraId="5739023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Se adjunta Ficha CONAC FAM, ejercicio fiscal evaluado 2021, PAE 2022</w:t>
            </w:r>
          </w:p>
        </w:tc>
      </w:tr>
      <w:tr w:rsidR="00BE754E" w14:paraId="5950E533"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3D526D62" w14:textId="77777777" w:rsidR="00BE754E" w:rsidRDefault="00BE754E" w:rsidP="00BE754E">
            <w:pPr>
              <w:ind w:right="40"/>
              <w:jc w:val="both"/>
              <w:rPr>
                <w:b w:val="0"/>
              </w:rPr>
            </w:pPr>
            <w:r>
              <w:rPr>
                <w:b w:val="0"/>
              </w:rPr>
              <w:t xml:space="preserve">Posición </w:t>
            </w:r>
            <w:r>
              <w:rPr>
                <w:b w:val="0"/>
              </w:rPr>
              <w:lastRenderedPageBreak/>
              <w:t>institucional</w:t>
            </w:r>
          </w:p>
        </w:tc>
        <w:tc>
          <w:tcPr>
            <w:tcW w:w="2457" w:type="dxa"/>
          </w:tcPr>
          <w:p w14:paraId="1E3B1B2D"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lastRenderedPageBreak/>
              <w:t>Posiciones_Institucionales_FAM_PAE_202</w:t>
            </w:r>
            <w:r>
              <w:lastRenderedPageBreak/>
              <w:t>2_1.pdf</w:t>
            </w:r>
          </w:p>
        </w:tc>
        <w:tc>
          <w:tcPr>
            <w:tcW w:w="4914" w:type="dxa"/>
          </w:tcPr>
          <w:p w14:paraId="5C8E4744"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lastRenderedPageBreak/>
              <w:t xml:space="preserve">Se adjuntan Posiciones </w:t>
            </w:r>
            <w:r>
              <w:lastRenderedPageBreak/>
              <w:t>Institucionales_FAM_2021_PAE_2022</w:t>
            </w:r>
          </w:p>
        </w:tc>
      </w:tr>
      <w:tr w:rsidR="00BE754E" w14:paraId="796D664C"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F75CC24" w14:textId="77777777" w:rsidR="00BE754E" w:rsidRDefault="00BE754E" w:rsidP="00130A5F">
            <w:pPr>
              <w:ind w:right="40"/>
              <w:jc w:val="both"/>
              <w:rPr>
                <w:b w:val="0"/>
              </w:rPr>
            </w:pPr>
            <w:r>
              <w:rPr>
                <w:b w:val="0"/>
              </w:rPr>
              <w:lastRenderedPageBreak/>
              <w:t>Términos de Referencia</w:t>
            </w:r>
          </w:p>
        </w:tc>
        <w:tc>
          <w:tcPr>
            <w:tcW w:w="2457" w:type="dxa"/>
            <w:shd w:val="clear" w:color="auto" w:fill="F2F2F2" w:themeFill="background1" w:themeFillShade="F2"/>
          </w:tcPr>
          <w:p w14:paraId="35254929"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TdR_EIndicadores2022-FAM.pdf</w:t>
            </w:r>
          </w:p>
        </w:tc>
        <w:tc>
          <w:tcPr>
            <w:tcW w:w="4914" w:type="dxa"/>
            <w:shd w:val="clear" w:color="auto" w:fill="F2F2F2" w:themeFill="background1" w:themeFillShade="F2"/>
          </w:tcPr>
          <w:p w14:paraId="727479B1"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TDR_Indicadores_FAM, PAE 2022</w:t>
            </w:r>
          </w:p>
        </w:tc>
      </w:tr>
      <w:tr w:rsidR="00BE754E" w14:paraId="32823E5A"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74FA5A22" w14:textId="77777777" w:rsidR="00BE754E" w:rsidRDefault="00BE754E" w:rsidP="00BE754E">
            <w:pPr>
              <w:ind w:right="40"/>
              <w:jc w:val="both"/>
              <w:rPr>
                <w:b w:val="0"/>
              </w:rPr>
            </w:pPr>
            <w:r>
              <w:rPr>
                <w:b w:val="0"/>
              </w:rPr>
              <w:t>Contrato</w:t>
            </w:r>
          </w:p>
        </w:tc>
        <w:tc>
          <w:tcPr>
            <w:tcW w:w="2457" w:type="dxa"/>
          </w:tcPr>
          <w:p w14:paraId="4360B32D"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CONTRATO_ESCIO_PAE_2022 (1).pdf</w:t>
            </w:r>
          </w:p>
        </w:tc>
        <w:tc>
          <w:tcPr>
            <w:tcW w:w="4914" w:type="dxa"/>
          </w:tcPr>
          <w:p w14:paraId="6FC6A3AE"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Especialistas en Control Interno y Organizacional, S.C.,PAE 2022</w:t>
            </w:r>
          </w:p>
        </w:tc>
      </w:tr>
    </w:tbl>
    <w:p w14:paraId="499ECB27"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5C44" w14:textId="77777777" w:rsidR="00C8744A" w:rsidRDefault="00C8744A" w:rsidP="00343190">
      <w:r>
        <w:separator/>
      </w:r>
    </w:p>
  </w:endnote>
  <w:endnote w:type="continuationSeparator" w:id="0">
    <w:p w14:paraId="35F3F413" w14:textId="77777777" w:rsidR="00C8744A" w:rsidRDefault="00C8744A"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49A9FA07"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74A3E929" wp14:editId="4F34B172">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C8744A">
          <w:rPr>
            <w:noProof/>
            <w:lang w:val="es-ES" w:eastAsia="zh-TW"/>
          </w:rPr>
          <w:pict w14:anchorId="33883D74">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39B22005"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0CAA5938" wp14:editId="7E2D7728">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EFA6" w14:textId="77777777" w:rsidR="00C8744A" w:rsidRDefault="00C8744A" w:rsidP="00343190">
      <w:r>
        <w:separator/>
      </w:r>
    </w:p>
  </w:footnote>
  <w:footnote w:type="continuationSeparator" w:id="0">
    <w:p w14:paraId="0793E50C" w14:textId="77777777" w:rsidR="00C8744A" w:rsidRDefault="00C8744A"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CD6E" w14:textId="77777777" w:rsidR="00FB4868" w:rsidRDefault="00C8744A">
    <w:pPr>
      <w:pStyle w:val="Encabezado"/>
    </w:pPr>
    <w:r>
      <w:rPr>
        <w:noProof/>
        <w:lang w:val="es-MX" w:eastAsia="es-MX"/>
      </w:rPr>
      <w:pict w14:anchorId="11384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8257"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37531F9E" wp14:editId="0AF0B09E">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C8744A">
      <w:rPr>
        <w:noProof/>
        <w:lang w:val="es-ES"/>
      </w:rPr>
      <w:pict w14:anchorId="4EB44410">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2D791CAB"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1A4DA7B0" w14:textId="77777777" w:rsidR="005E47EA" w:rsidRDefault="005E47EA">
                <w:pPr>
                  <w:rPr>
                    <w:rFonts w:ascii="Adobe Caslon Pro Bold" w:hAnsi="Adobe Caslon Pro Bold" w:cs="Calibri"/>
                    <w:b/>
                    <w:bCs/>
                    <w:color w:val="807F83"/>
                    <w:sz w:val="16"/>
                    <w:szCs w:val="16"/>
                    <w:lang w:val="es-ES"/>
                  </w:rPr>
                </w:pPr>
              </w:p>
              <w:p w14:paraId="3026BD11" w14:textId="77777777" w:rsidR="005E47EA" w:rsidRDefault="005E47EA">
                <w:pPr>
                  <w:rPr>
                    <w:rFonts w:ascii="Adobe Caslon Pro Bold" w:hAnsi="Adobe Caslon Pro Bold" w:cs="Calibri"/>
                    <w:b/>
                    <w:bCs/>
                    <w:color w:val="807F83"/>
                    <w:sz w:val="16"/>
                    <w:szCs w:val="16"/>
                    <w:lang w:val="es-ES"/>
                  </w:rPr>
                </w:pPr>
              </w:p>
              <w:p w14:paraId="592FFC82"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D395" w14:textId="77777777" w:rsidR="00FB4868" w:rsidRDefault="00C8744A">
    <w:pPr>
      <w:pStyle w:val="Encabezado"/>
    </w:pPr>
    <w:r>
      <w:rPr>
        <w:noProof/>
        <w:lang w:val="es-MX" w:eastAsia="es-MX"/>
      </w:rPr>
      <w:pict w14:anchorId="31413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70452"/>
    <w:rsid w:val="00C8744A"/>
    <w:rsid w:val="00C92386"/>
    <w:rsid w:val="00CA7532"/>
    <w:rsid w:val="00CB6BD4"/>
    <w:rsid w:val="00CD09C5"/>
    <w:rsid w:val="00CD122F"/>
    <w:rsid w:val="00CF632E"/>
    <w:rsid w:val="00CF77AC"/>
    <w:rsid w:val="00D00391"/>
    <w:rsid w:val="00D1478C"/>
    <w:rsid w:val="00D36985"/>
    <w:rsid w:val="00D67C46"/>
    <w:rsid w:val="00D72F4C"/>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664FD"/>
  <w15:docId w15:val="{12EE2463-2808-4139-BAF5-8C7D8C0E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2022-07-19T21:43:00Z</dcterms:created>
  <dcterms:modified xsi:type="dcterms:W3CDTF">2022-07-19T21:43:00Z</dcterms:modified>
</cp:coreProperties>
</file>